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10E26" w14:textId="241A541D" w:rsidR="00FD2489" w:rsidRDefault="000B41A2">
      <w:pPr>
        <w:pStyle w:val="Title"/>
      </w:pPr>
      <w:r w:rsidRPr="00572B95">
        <w:rPr>
          <w:highlight w:val="lightGray"/>
        </w:rPr>
        <w:t>Suspicious Transaction Report</w:t>
      </w:r>
    </w:p>
    <w:p w14:paraId="6618AE3B" w14:textId="77777777" w:rsidR="00FD2489" w:rsidRDefault="00FD2489">
      <w:pPr>
        <w:pStyle w:val="BodyText"/>
        <w:spacing w:before="127"/>
        <w:ind w:left="0" w:firstLine="0"/>
        <w:rPr>
          <w:rFonts w:ascii="Arial"/>
          <w:b/>
          <w:sz w:val="36"/>
        </w:rPr>
      </w:pPr>
    </w:p>
    <w:p w14:paraId="021F6B1D" w14:textId="7F04269C" w:rsidR="000B41A2" w:rsidRPr="00572B95" w:rsidRDefault="00000000">
      <w:pPr>
        <w:pStyle w:val="Heading1"/>
        <w:tabs>
          <w:tab w:val="left" w:pos="4194"/>
          <w:tab w:val="left" w:pos="4506"/>
        </w:tabs>
        <w:rPr>
          <w:spacing w:val="-10"/>
          <w:highlight w:val="lightGray"/>
        </w:rPr>
      </w:pPr>
      <w:r w:rsidRPr="00572B95">
        <w:rPr>
          <w:highlight w:val="lightGray"/>
        </w:rPr>
        <w:t>Alert ID: ALRT-</w:t>
      </w:r>
      <w:r w:rsidRPr="00572B95">
        <w:rPr>
          <w:spacing w:val="-2"/>
          <w:highlight w:val="lightGray"/>
        </w:rPr>
        <w:t>7PUZD2CO</w:t>
      </w:r>
    </w:p>
    <w:p w14:paraId="5BE0F2E3" w14:textId="5D4A29E4" w:rsidR="00FD2489" w:rsidRDefault="00000000">
      <w:pPr>
        <w:pStyle w:val="Heading1"/>
        <w:tabs>
          <w:tab w:val="left" w:pos="4194"/>
          <w:tab w:val="left" w:pos="4506"/>
        </w:tabs>
        <w:rPr>
          <w:spacing w:val="-2"/>
        </w:rPr>
      </w:pPr>
      <w:r w:rsidRPr="00572B95">
        <w:rPr>
          <w:highlight w:val="lightGray"/>
        </w:rPr>
        <w:t xml:space="preserve">Ticker/Security: Frasers Centrepoint </w:t>
      </w:r>
      <w:r w:rsidRPr="00572B95">
        <w:rPr>
          <w:spacing w:val="-2"/>
          <w:highlight w:val="lightGray"/>
        </w:rPr>
        <w:t>Trust</w:t>
      </w:r>
    </w:p>
    <w:p w14:paraId="4F412CE2" w14:textId="77777777" w:rsidR="000B41A2" w:rsidRDefault="000B41A2">
      <w:pPr>
        <w:pStyle w:val="Heading1"/>
        <w:tabs>
          <w:tab w:val="left" w:pos="4194"/>
          <w:tab w:val="left" w:pos="4506"/>
        </w:tabs>
        <w:rPr>
          <w:spacing w:val="-2"/>
        </w:rPr>
      </w:pPr>
    </w:p>
    <w:p w14:paraId="1F107C80" w14:textId="311F378C" w:rsidR="00FD2489" w:rsidRPr="000B41A2" w:rsidRDefault="00F0069F" w:rsidP="000B41A2">
      <w:pPr>
        <w:spacing w:before="1"/>
        <w:ind w:left="461"/>
        <w:rPr>
          <w:rFonts w:ascii="Arial"/>
          <w:b/>
          <w:sz w:val="20"/>
        </w:rPr>
      </w:pPr>
      <w:r w:rsidRPr="00F0069F">
        <w:rPr>
          <w:rFonts w:ascii="Arial"/>
          <w:b/>
          <w:sz w:val="20"/>
        </w:rPr>
        <w:t>Comprehensive analysis across internal communication and verification systems (email, chat, CRM, and eKYC) has identified this transaction as potentially suspicious, requiring additional review.</w:t>
      </w:r>
    </w:p>
    <w:p w14:paraId="4FF90AE2" w14:textId="77777777" w:rsidR="000B41A2" w:rsidRDefault="000B41A2">
      <w:pPr>
        <w:spacing w:before="1"/>
        <w:ind w:left="461"/>
        <w:rPr>
          <w:rFonts w:ascii="Arial"/>
          <w:b/>
          <w:spacing w:val="-2"/>
          <w:sz w:val="20"/>
        </w:rPr>
      </w:pPr>
    </w:p>
    <w:p w14:paraId="498FA91B" w14:textId="77777777" w:rsidR="00FD2489" w:rsidRDefault="00FD2489">
      <w:pPr>
        <w:pStyle w:val="BodyText"/>
        <w:spacing w:before="11"/>
        <w:ind w:left="0" w:firstLine="0"/>
        <w:rPr>
          <w:rFonts w:ascii="Arial"/>
          <w:b/>
          <w:sz w:val="9"/>
        </w:rPr>
      </w:pPr>
    </w:p>
    <w:tbl>
      <w:tblPr>
        <w:tblW w:w="0" w:type="auto"/>
        <w:tblInd w:w="644" w:type="dxa"/>
        <w:tblBorders>
          <w:top w:val="single" w:sz="2" w:space="0" w:color="CAD4E1"/>
          <w:left w:val="single" w:sz="2" w:space="0" w:color="CAD4E1"/>
          <w:bottom w:val="single" w:sz="2" w:space="0" w:color="CAD4E1"/>
          <w:right w:val="single" w:sz="2" w:space="0" w:color="CAD4E1"/>
          <w:insideH w:val="single" w:sz="2" w:space="0" w:color="CAD4E1"/>
          <w:insideV w:val="single" w:sz="2" w:space="0" w:color="CAD4E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6"/>
        <w:gridCol w:w="2597"/>
        <w:gridCol w:w="4988"/>
      </w:tblGrid>
      <w:tr w:rsidR="00FD2489" w14:paraId="1D45D0A9" w14:textId="77777777" w:rsidTr="000B41A2">
        <w:trPr>
          <w:trHeight w:val="350"/>
        </w:trPr>
        <w:tc>
          <w:tcPr>
            <w:tcW w:w="1926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E4F2FF"/>
          </w:tcPr>
          <w:p w14:paraId="2757507E" w14:textId="5D000953" w:rsidR="00FD2489" w:rsidRDefault="00060464">
            <w:pPr>
              <w:pStyle w:val="TableParagraph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0F162A"/>
                <w:sz w:val="19"/>
              </w:rPr>
              <w:t>Person of Interest</w:t>
            </w:r>
          </w:p>
        </w:tc>
        <w:tc>
          <w:tcPr>
            <w:tcW w:w="2597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E4F2FF"/>
          </w:tcPr>
          <w:p w14:paraId="5BB7C9E3" w14:textId="77777777" w:rsidR="00FD2489" w:rsidRPr="00637F63" w:rsidRDefault="00000000">
            <w:pPr>
              <w:pStyle w:val="TableParagraph"/>
              <w:rPr>
                <w:rFonts w:ascii="Arial"/>
                <w:b/>
                <w:color w:val="0F162A"/>
                <w:sz w:val="19"/>
              </w:rPr>
            </w:pPr>
            <w:r w:rsidRPr="00637F63">
              <w:rPr>
                <w:rFonts w:ascii="Arial"/>
                <w:b/>
                <w:color w:val="0F162A"/>
                <w:sz w:val="19"/>
              </w:rPr>
              <w:t>Email</w:t>
            </w:r>
          </w:p>
        </w:tc>
        <w:tc>
          <w:tcPr>
            <w:tcW w:w="498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E4F2FF"/>
          </w:tcPr>
          <w:p w14:paraId="34C8FAAF" w14:textId="77777777" w:rsidR="00FD2489" w:rsidRDefault="00000000">
            <w:pPr>
              <w:pStyle w:val="TableParagraph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0F162A"/>
                <w:sz w:val="19"/>
              </w:rPr>
              <w:t xml:space="preserve">Source </w:t>
            </w:r>
            <w:r>
              <w:rPr>
                <w:rFonts w:ascii="Arial"/>
                <w:b/>
                <w:color w:val="0F162A"/>
                <w:spacing w:val="-4"/>
                <w:sz w:val="19"/>
              </w:rPr>
              <w:t>File</w:t>
            </w:r>
          </w:p>
        </w:tc>
      </w:tr>
      <w:tr w:rsidR="00FD2489" w14:paraId="4CF0CB0E" w14:textId="77777777" w:rsidTr="000B41A2">
        <w:trPr>
          <w:trHeight w:val="988"/>
        </w:trPr>
        <w:tc>
          <w:tcPr>
            <w:tcW w:w="1926" w:type="dxa"/>
            <w:tcBorders>
              <w:left w:val="single" w:sz="8" w:space="0" w:color="FFFFFF"/>
              <w:right w:val="single" w:sz="8" w:space="0" w:color="FFFFFF"/>
            </w:tcBorders>
          </w:tcPr>
          <w:p w14:paraId="06748A31" w14:textId="7C25E918" w:rsidR="000B41A2" w:rsidRDefault="00000000">
            <w:pPr>
              <w:pStyle w:val="TableParagraph"/>
              <w:ind w:left="120"/>
              <w:rPr>
                <w:spacing w:val="-2"/>
                <w:sz w:val="19"/>
              </w:rPr>
            </w:pPr>
            <w:r>
              <w:rPr>
                <w:sz w:val="19"/>
              </w:rPr>
              <w:t xml:space="preserve">Tom </w:t>
            </w:r>
            <w:r>
              <w:rPr>
                <w:spacing w:val="-2"/>
                <w:sz w:val="19"/>
              </w:rPr>
              <w:t>Anderson</w:t>
            </w:r>
            <w:r w:rsidR="000B41A2">
              <w:rPr>
                <w:spacing w:val="-2"/>
                <w:sz w:val="19"/>
              </w:rPr>
              <w:t>; Harry Lim</w:t>
            </w:r>
          </w:p>
          <w:p w14:paraId="1A62A901" w14:textId="4B6540D2" w:rsidR="00FD2489" w:rsidRDefault="000B41A2">
            <w:pPr>
              <w:pStyle w:val="TableParagraph"/>
              <w:ind w:left="120"/>
              <w:rPr>
                <w:sz w:val="19"/>
              </w:rPr>
            </w:pPr>
            <w:r>
              <w:rPr>
                <w:spacing w:val="-2"/>
                <w:sz w:val="19"/>
              </w:rPr>
              <w:br/>
            </w:r>
          </w:p>
        </w:tc>
        <w:tc>
          <w:tcPr>
            <w:tcW w:w="2597" w:type="dxa"/>
            <w:tcBorders>
              <w:left w:val="single" w:sz="8" w:space="0" w:color="FFFFFF"/>
              <w:right w:val="single" w:sz="8" w:space="0" w:color="FFFFFF"/>
            </w:tcBorders>
          </w:tcPr>
          <w:p w14:paraId="55FA5B63" w14:textId="2FB0ACA0" w:rsidR="00FD2489" w:rsidRDefault="00FD2489">
            <w:pPr>
              <w:pStyle w:val="TableParagraph"/>
              <w:rPr>
                <w:sz w:val="19"/>
              </w:rPr>
            </w:pPr>
            <w:hyperlink r:id="rId5">
              <w:r>
                <w:rPr>
                  <w:spacing w:val="-2"/>
                  <w:sz w:val="19"/>
                </w:rPr>
                <w:t>tom.anderson@example.com</w:t>
              </w:r>
            </w:hyperlink>
            <w:r w:rsidR="000B41A2">
              <w:t>;</w:t>
            </w:r>
            <w:hyperlink r:id="rId6">
              <w:r w:rsidR="000B41A2">
                <w:rPr>
                  <w:spacing w:val="-2"/>
                  <w:sz w:val="19"/>
                </w:rPr>
                <w:t>harry.lim@example.com</w:t>
              </w:r>
            </w:hyperlink>
          </w:p>
        </w:tc>
        <w:tc>
          <w:tcPr>
            <w:tcW w:w="4988" w:type="dxa"/>
            <w:tcBorders>
              <w:left w:val="single" w:sz="8" w:space="0" w:color="FFFFFF"/>
              <w:right w:val="single" w:sz="8" w:space="0" w:color="FFFFFF"/>
            </w:tcBorders>
          </w:tcPr>
          <w:p w14:paraId="0090BE82" w14:textId="77777777" w:rsidR="00FD2489" w:rsidRDefault="00000000">
            <w:pPr>
              <w:pStyle w:val="TableParagraph"/>
              <w:spacing w:line="264" w:lineRule="auto"/>
              <w:ind w:right="115"/>
              <w:rPr>
                <w:sz w:val="19"/>
              </w:rPr>
            </w:pPr>
            <w:r>
              <w:rPr>
                <w:spacing w:val="-2"/>
                <w:sz w:val="19"/>
              </w:rPr>
              <w:t>My_Company_chat_history_01-08-2025_ 23-09-2025.xml</w:t>
            </w:r>
          </w:p>
          <w:p w14:paraId="4BE93706" w14:textId="77777777" w:rsidR="00FD2489" w:rsidRDefault="00000000">
            <w:pPr>
              <w:pStyle w:val="TableParagraph"/>
              <w:spacing w:before="27" w:line="312" w:lineRule="auto"/>
              <w:ind w:right="116"/>
              <w:rPr>
                <w:sz w:val="16"/>
              </w:rPr>
            </w:pPr>
            <w:r>
              <w:rPr>
                <w:color w:val="6B7280"/>
                <w:spacing w:val="-2"/>
                <w:sz w:val="16"/>
              </w:rPr>
              <w:t>C:\\TradeMY3\\data\Chat_History\My_Company_ chat_history_01-08-2025_23-09-2025.xml</w:t>
            </w:r>
          </w:p>
        </w:tc>
      </w:tr>
      <w:tr w:rsidR="000B41A2" w14:paraId="3F936A38" w14:textId="77777777" w:rsidTr="000B41A2">
        <w:trPr>
          <w:trHeight w:val="988"/>
        </w:trPr>
        <w:tc>
          <w:tcPr>
            <w:tcW w:w="9511" w:type="dxa"/>
            <w:gridSpan w:val="3"/>
            <w:tcBorders>
              <w:left w:val="single" w:sz="8" w:space="0" w:color="FFFFFF"/>
              <w:right w:val="single" w:sz="8" w:space="0" w:color="FFFFFF"/>
            </w:tcBorders>
            <w:shd w:val="clear" w:color="auto" w:fill="F7F9FB"/>
          </w:tcPr>
          <w:p w14:paraId="5C0D7763" w14:textId="77777777" w:rsidR="000B41A2" w:rsidRPr="000B41A2" w:rsidRDefault="000B41A2" w:rsidP="000B41A2">
            <w:pPr>
              <w:pStyle w:val="TableParagraph"/>
              <w:spacing w:before="27" w:line="312" w:lineRule="auto"/>
              <w:ind w:right="116"/>
              <w:rPr>
                <w:b/>
                <w:bCs/>
                <w:sz w:val="16"/>
              </w:rPr>
            </w:pPr>
            <w:r w:rsidRPr="000B41A2">
              <w:rPr>
                <w:b/>
                <w:bCs/>
                <w:sz w:val="16"/>
              </w:rPr>
              <w:t>Why This Is Insider Trading</w:t>
            </w:r>
          </w:p>
          <w:p w14:paraId="0BA9EBC8" w14:textId="0A91CC3F" w:rsidR="000B41A2" w:rsidRPr="000B41A2" w:rsidRDefault="000B41A2" w:rsidP="000B41A2">
            <w:pPr>
              <w:pStyle w:val="TableParagraph"/>
              <w:numPr>
                <w:ilvl w:val="0"/>
                <w:numId w:val="2"/>
              </w:numPr>
              <w:spacing w:before="27" w:line="312" w:lineRule="auto"/>
              <w:ind w:right="116"/>
              <w:rPr>
                <w:sz w:val="16"/>
              </w:rPr>
            </w:pPr>
            <w:r w:rsidRPr="000B41A2">
              <w:rPr>
                <w:sz w:val="16"/>
              </w:rPr>
              <w:t xml:space="preserve">The employees trade (or plan to trade) based on </w:t>
            </w:r>
            <w:r w:rsidRPr="000B41A2">
              <w:rPr>
                <w:b/>
                <w:bCs/>
                <w:sz w:val="16"/>
              </w:rPr>
              <w:t>non-public tenant-sales data</w:t>
            </w:r>
            <w:r w:rsidRPr="000B41A2">
              <w:rPr>
                <w:sz w:val="16"/>
              </w:rPr>
              <w:t xml:space="preserve"> obtained </w:t>
            </w:r>
            <w:r w:rsidRPr="000B41A2">
              <w:rPr>
                <w:b/>
                <w:bCs/>
                <w:sz w:val="16"/>
              </w:rPr>
              <w:t xml:space="preserve">directly from a </w:t>
            </w:r>
            <w:r>
              <w:rPr>
                <w:b/>
                <w:bCs/>
                <w:sz w:val="16"/>
              </w:rPr>
              <w:t>centre</w:t>
            </w:r>
            <w:r w:rsidRPr="000B41A2">
              <w:rPr>
                <w:b/>
                <w:bCs/>
                <w:sz w:val="16"/>
              </w:rPr>
              <w:t xml:space="preserve"> manager</w:t>
            </w:r>
            <w:r w:rsidRPr="000B41A2">
              <w:rPr>
                <w:sz w:val="16"/>
              </w:rPr>
              <w:t>, who is an insider of the issuer.</w:t>
            </w:r>
          </w:p>
          <w:p w14:paraId="10C710D4" w14:textId="77777777" w:rsidR="000B41A2" w:rsidRPr="000B41A2" w:rsidRDefault="000B41A2" w:rsidP="000B41A2">
            <w:pPr>
              <w:pStyle w:val="TableParagraph"/>
              <w:numPr>
                <w:ilvl w:val="0"/>
                <w:numId w:val="2"/>
              </w:numPr>
              <w:spacing w:before="27" w:line="312" w:lineRule="auto"/>
              <w:ind w:right="116"/>
              <w:rPr>
                <w:sz w:val="16"/>
              </w:rPr>
            </w:pPr>
            <w:r w:rsidRPr="000B41A2">
              <w:rPr>
                <w:sz w:val="16"/>
              </w:rPr>
              <w:t xml:space="preserve">The data (“+12% MoM”) is </w:t>
            </w:r>
            <w:r w:rsidRPr="000B41A2">
              <w:rPr>
                <w:b/>
                <w:bCs/>
                <w:sz w:val="16"/>
              </w:rPr>
              <w:t>material</w:t>
            </w:r>
            <w:r w:rsidRPr="000B41A2">
              <w:rPr>
                <w:sz w:val="16"/>
              </w:rPr>
              <w:t xml:space="preserve"> and will </w:t>
            </w:r>
            <w:r w:rsidRPr="000B41A2">
              <w:rPr>
                <w:b/>
                <w:bCs/>
                <w:sz w:val="16"/>
              </w:rPr>
              <w:t>affect valuation</w:t>
            </w:r>
            <w:r w:rsidRPr="000B41A2">
              <w:rPr>
                <w:sz w:val="16"/>
              </w:rPr>
              <w:t xml:space="preserve"> once released.</w:t>
            </w:r>
          </w:p>
          <w:p w14:paraId="3FDD5F32" w14:textId="77777777" w:rsidR="000B41A2" w:rsidRPr="000B41A2" w:rsidRDefault="000B41A2" w:rsidP="000B41A2">
            <w:pPr>
              <w:pStyle w:val="TableParagraph"/>
              <w:numPr>
                <w:ilvl w:val="0"/>
                <w:numId w:val="2"/>
              </w:numPr>
              <w:spacing w:before="27" w:line="312" w:lineRule="auto"/>
              <w:ind w:right="116"/>
              <w:rPr>
                <w:sz w:val="16"/>
              </w:rPr>
            </w:pPr>
            <w:r w:rsidRPr="000B41A2">
              <w:rPr>
                <w:sz w:val="16"/>
              </w:rPr>
              <w:t xml:space="preserve">They </w:t>
            </w:r>
            <w:r w:rsidRPr="000B41A2">
              <w:rPr>
                <w:b/>
                <w:bCs/>
                <w:sz w:val="16"/>
              </w:rPr>
              <w:t>know it’s unpublished</w:t>
            </w:r>
            <w:r w:rsidRPr="000B41A2">
              <w:rPr>
                <w:sz w:val="16"/>
              </w:rPr>
              <w:t xml:space="preserve"> (“Nothing public yet”) and still proceed.</w:t>
            </w:r>
          </w:p>
          <w:p w14:paraId="2A99D443" w14:textId="77777777" w:rsidR="000B41A2" w:rsidRPr="000B41A2" w:rsidRDefault="000B41A2" w:rsidP="000B41A2">
            <w:pPr>
              <w:pStyle w:val="TableParagraph"/>
              <w:numPr>
                <w:ilvl w:val="0"/>
                <w:numId w:val="2"/>
              </w:numPr>
              <w:spacing w:before="27" w:line="312" w:lineRule="auto"/>
              <w:ind w:right="116"/>
              <w:rPr>
                <w:sz w:val="16"/>
              </w:rPr>
            </w:pPr>
            <w:r w:rsidRPr="000B41A2">
              <w:rPr>
                <w:sz w:val="16"/>
              </w:rPr>
              <w:t xml:space="preserve">They </w:t>
            </w:r>
            <w:r w:rsidRPr="000B41A2">
              <w:rPr>
                <w:b/>
                <w:bCs/>
                <w:sz w:val="16"/>
              </w:rPr>
              <w:t>fail to seek pre-clearance or escalate</w:t>
            </w:r>
            <w:r w:rsidRPr="000B41A2">
              <w:rPr>
                <w:sz w:val="16"/>
              </w:rPr>
              <w:t xml:space="preserve"> to Compliance.</w:t>
            </w:r>
          </w:p>
          <w:p w14:paraId="2A4BF8C5" w14:textId="578BC9B2" w:rsidR="000B41A2" w:rsidRDefault="000B41A2">
            <w:pPr>
              <w:pStyle w:val="TableParagraph"/>
              <w:spacing w:before="27" w:line="312" w:lineRule="auto"/>
              <w:ind w:right="116"/>
              <w:rPr>
                <w:sz w:val="16"/>
              </w:rPr>
            </w:pPr>
          </w:p>
        </w:tc>
      </w:tr>
    </w:tbl>
    <w:p w14:paraId="155EB938" w14:textId="77777777" w:rsidR="00FD2489" w:rsidRDefault="00FD2489">
      <w:pPr>
        <w:pStyle w:val="BodyText"/>
        <w:spacing w:before="0"/>
        <w:ind w:left="0" w:firstLine="0"/>
        <w:rPr>
          <w:rFonts w:ascii="Arial"/>
          <w:b/>
        </w:rPr>
      </w:pPr>
    </w:p>
    <w:p w14:paraId="0FCD8714" w14:textId="77777777" w:rsidR="000B41A2" w:rsidRDefault="000B41A2">
      <w:pPr>
        <w:pStyle w:val="BodyText"/>
        <w:spacing w:before="34"/>
        <w:ind w:left="0" w:firstLine="0"/>
        <w:rPr>
          <w:rFonts w:ascii="Arial"/>
          <w:b/>
        </w:rPr>
      </w:pPr>
    </w:p>
    <w:p w14:paraId="61350515" w14:textId="354FF102" w:rsidR="000B41A2" w:rsidRDefault="000B41A2" w:rsidP="000B41A2">
      <w:pPr>
        <w:pStyle w:val="Heading1"/>
        <w:tabs>
          <w:tab w:val="left" w:pos="4194"/>
          <w:tab w:val="left" w:pos="4506"/>
        </w:tabs>
        <w:spacing w:before="1" w:line="268" w:lineRule="auto"/>
        <w:ind w:left="0" w:right="570"/>
        <w:rPr>
          <w:spacing w:val="-10"/>
        </w:rPr>
      </w:pPr>
      <w:r>
        <w:t xml:space="preserve">       </w:t>
      </w:r>
      <w:r w:rsidRPr="00572B95">
        <w:rPr>
          <w:highlight w:val="lightGray"/>
        </w:rPr>
        <w:t>Alert ID: ALRT-EQDPY17B</w:t>
      </w:r>
      <w:r>
        <w:tab/>
      </w:r>
    </w:p>
    <w:p w14:paraId="4F98ACF2" w14:textId="7D612693" w:rsidR="00FD2489" w:rsidRDefault="000B41A2" w:rsidP="000B41A2">
      <w:pPr>
        <w:pStyle w:val="Heading1"/>
        <w:tabs>
          <w:tab w:val="left" w:pos="4194"/>
          <w:tab w:val="left" w:pos="4506"/>
        </w:tabs>
        <w:spacing w:before="1" w:line="268" w:lineRule="auto"/>
        <w:ind w:left="0" w:right="570"/>
        <w:rPr>
          <w:spacing w:val="-4"/>
        </w:rPr>
      </w:pPr>
      <w:r>
        <w:t xml:space="preserve">       </w:t>
      </w:r>
      <w:r w:rsidRPr="00572B95">
        <w:rPr>
          <w:highlight w:val="lightGray"/>
        </w:rPr>
        <w:t>Ticker/Security:</w:t>
      </w:r>
      <w:r w:rsidRPr="00572B95">
        <w:rPr>
          <w:spacing w:val="-11"/>
          <w:highlight w:val="lightGray"/>
        </w:rPr>
        <w:t xml:space="preserve"> </w:t>
      </w:r>
      <w:r w:rsidRPr="00572B95">
        <w:rPr>
          <w:highlight w:val="lightGray"/>
        </w:rPr>
        <w:t>SIA</w:t>
      </w:r>
      <w:r w:rsidRPr="00572B95">
        <w:rPr>
          <w:spacing w:val="-11"/>
          <w:highlight w:val="lightGray"/>
        </w:rPr>
        <w:t xml:space="preserve"> </w:t>
      </w:r>
      <w:r w:rsidRPr="00572B95">
        <w:rPr>
          <w:highlight w:val="lightGray"/>
        </w:rPr>
        <w:t>Engineering</w:t>
      </w:r>
      <w:r w:rsidRPr="00572B95">
        <w:rPr>
          <w:spacing w:val="-11"/>
          <w:highlight w:val="lightGray"/>
        </w:rPr>
        <w:t xml:space="preserve"> </w:t>
      </w:r>
      <w:r w:rsidRPr="00572B95">
        <w:rPr>
          <w:highlight w:val="lightGray"/>
        </w:rPr>
        <w:t xml:space="preserve">Company </w:t>
      </w:r>
      <w:r w:rsidRPr="00572B95">
        <w:rPr>
          <w:spacing w:val="-4"/>
          <w:highlight w:val="lightGray"/>
        </w:rPr>
        <w:t>Ltd</w:t>
      </w:r>
    </w:p>
    <w:p w14:paraId="5A33A824" w14:textId="77777777" w:rsidR="000B41A2" w:rsidRDefault="000B41A2" w:rsidP="000B41A2">
      <w:pPr>
        <w:pStyle w:val="Heading1"/>
        <w:tabs>
          <w:tab w:val="left" w:pos="4194"/>
          <w:tab w:val="left" w:pos="4506"/>
        </w:tabs>
        <w:spacing w:before="1" w:line="268" w:lineRule="auto"/>
        <w:ind w:left="0" w:right="570"/>
        <w:rPr>
          <w:spacing w:val="-4"/>
        </w:rPr>
      </w:pPr>
    </w:p>
    <w:p w14:paraId="60F86964" w14:textId="38C49E4C" w:rsidR="000B41A2" w:rsidRPr="000B41A2" w:rsidRDefault="00F0069F" w:rsidP="000B41A2">
      <w:pPr>
        <w:spacing w:before="1"/>
        <w:ind w:left="461"/>
        <w:rPr>
          <w:rFonts w:ascii="Arial"/>
          <w:b/>
          <w:sz w:val="20"/>
        </w:rPr>
      </w:pPr>
      <w:r w:rsidRPr="00F0069F">
        <w:rPr>
          <w:rFonts w:ascii="Arial"/>
          <w:b/>
          <w:sz w:val="20"/>
        </w:rPr>
        <w:t>Comprehensive analysis across internal communication and verification systems (email, chat, CRM, and eKYC) has identified this transaction as potentially suspicious, requiring additional review.</w:t>
      </w:r>
    </w:p>
    <w:p w14:paraId="2E3E2676" w14:textId="77777777" w:rsidR="00FD2489" w:rsidRDefault="00FD2489">
      <w:pPr>
        <w:pStyle w:val="BodyText"/>
        <w:spacing w:before="11"/>
        <w:ind w:left="0" w:firstLine="0"/>
      </w:pPr>
    </w:p>
    <w:tbl>
      <w:tblPr>
        <w:tblW w:w="0" w:type="auto"/>
        <w:tblInd w:w="644" w:type="dxa"/>
        <w:tblBorders>
          <w:top w:val="single" w:sz="2" w:space="0" w:color="CAD4E1"/>
          <w:left w:val="single" w:sz="2" w:space="0" w:color="CAD4E1"/>
          <w:bottom w:val="single" w:sz="2" w:space="0" w:color="CAD4E1"/>
          <w:right w:val="single" w:sz="2" w:space="0" w:color="CAD4E1"/>
          <w:insideH w:val="single" w:sz="2" w:space="0" w:color="CAD4E1"/>
          <w:insideV w:val="single" w:sz="2" w:space="0" w:color="CAD4E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6"/>
        <w:gridCol w:w="2597"/>
        <w:gridCol w:w="4988"/>
      </w:tblGrid>
      <w:tr w:rsidR="000B41A2" w14:paraId="730A8548" w14:textId="77777777" w:rsidTr="00722383">
        <w:trPr>
          <w:trHeight w:val="350"/>
        </w:trPr>
        <w:tc>
          <w:tcPr>
            <w:tcW w:w="1926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E4F2FF"/>
          </w:tcPr>
          <w:p w14:paraId="58899CF9" w14:textId="52A69BDF" w:rsidR="000B41A2" w:rsidRDefault="00060464" w:rsidP="00060464">
            <w:pPr>
              <w:pStyle w:val="TableParagraph"/>
              <w:ind w:left="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0F162A"/>
                <w:sz w:val="19"/>
              </w:rPr>
              <w:t xml:space="preserve">  Person of Interest</w:t>
            </w:r>
          </w:p>
        </w:tc>
        <w:tc>
          <w:tcPr>
            <w:tcW w:w="2597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E4F2FF"/>
          </w:tcPr>
          <w:p w14:paraId="3257DE04" w14:textId="77777777" w:rsidR="000B41A2" w:rsidRDefault="000B41A2" w:rsidP="00722383">
            <w:pPr>
              <w:pStyle w:val="TableParagraph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0F162A"/>
                <w:spacing w:val="-2"/>
                <w:sz w:val="19"/>
              </w:rPr>
              <w:t>Email</w:t>
            </w:r>
          </w:p>
        </w:tc>
        <w:tc>
          <w:tcPr>
            <w:tcW w:w="498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E4F2FF"/>
          </w:tcPr>
          <w:p w14:paraId="6FED05F5" w14:textId="77777777" w:rsidR="000B41A2" w:rsidRDefault="000B41A2" w:rsidP="00722383">
            <w:pPr>
              <w:pStyle w:val="TableParagraph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0F162A"/>
                <w:sz w:val="19"/>
              </w:rPr>
              <w:t xml:space="preserve">Source </w:t>
            </w:r>
            <w:r>
              <w:rPr>
                <w:rFonts w:ascii="Arial"/>
                <w:b/>
                <w:color w:val="0F162A"/>
                <w:spacing w:val="-4"/>
                <w:sz w:val="19"/>
              </w:rPr>
              <w:t>File</w:t>
            </w:r>
          </w:p>
        </w:tc>
      </w:tr>
      <w:tr w:rsidR="000B41A2" w14:paraId="3FD246F8" w14:textId="77777777" w:rsidTr="00722383">
        <w:trPr>
          <w:trHeight w:val="988"/>
        </w:trPr>
        <w:tc>
          <w:tcPr>
            <w:tcW w:w="1926" w:type="dxa"/>
            <w:tcBorders>
              <w:left w:val="single" w:sz="8" w:space="0" w:color="FFFFFF"/>
              <w:right w:val="single" w:sz="8" w:space="0" w:color="FFFFFF"/>
            </w:tcBorders>
          </w:tcPr>
          <w:p w14:paraId="75A80FF7" w14:textId="59792FFE" w:rsidR="000B41A2" w:rsidRDefault="00572B95" w:rsidP="00722383">
            <w:pPr>
              <w:pStyle w:val="TableParagraph"/>
              <w:ind w:left="120"/>
              <w:rPr>
                <w:spacing w:val="-2"/>
                <w:sz w:val="19"/>
              </w:rPr>
            </w:pPr>
            <w:r w:rsidRPr="00572B95">
              <w:rPr>
                <w:sz w:val="19"/>
              </w:rPr>
              <w:t>Alex Tan</w:t>
            </w:r>
            <w:r w:rsidR="000B41A2">
              <w:rPr>
                <w:spacing w:val="-2"/>
                <w:sz w:val="19"/>
              </w:rPr>
              <w:t xml:space="preserve">; </w:t>
            </w:r>
            <w:r>
              <w:rPr>
                <w:spacing w:val="-2"/>
                <w:sz w:val="19"/>
              </w:rPr>
              <w:br/>
            </w:r>
            <w:r w:rsidRPr="00572B95">
              <w:rPr>
                <w:spacing w:val="-2"/>
                <w:sz w:val="19"/>
              </w:rPr>
              <w:t>Priya Singh</w:t>
            </w:r>
          </w:p>
          <w:p w14:paraId="4B797DD3" w14:textId="77777777" w:rsidR="000B41A2" w:rsidRDefault="000B41A2" w:rsidP="00722383">
            <w:pPr>
              <w:pStyle w:val="TableParagraph"/>
              <w:ind w:left="120"/>
              <w:rPr>
                <w:sz w:val="19"/>
              </w:rPr>
            </w:pPr>
            <w:r>
              <w:rPr>
                <w:spacing w:val="-2"/>
                <w:sz w:val="19"/>
              </w:rPr>
              <w:br/>
            </w:r>
          </w:p>
        </w:tc>
        <w:tc>
          <w:tcPr>
            <w:tcW w:w="2597" w:type="dxa"/>
            <w:tcBorders>
              <w:left w:val="single" w:sz="8" w:space="0" w:color="FFFFFF"/>
              <w:right w:val="single" w:sz="8" w:space="0" w:color="FFFFFF"/>
            </w:tcBorders>
          </w:tcPr>
          <w:p w14:paraId="0EDCF4AD" w14:textId="7D7A8E49" w:rsidR="000B41A2" w:rsidRDefault="00572B95" w:rsidP="00722383">
            <w:pPr>
              <w:pStyle w:val="TableParagraph"/>
              <w:rPr>
                <w:sz w:val="19"/>
              </w:rPr>
            </w:pPr>
            <w:hyperlink r:id="rId7">
              <w:r w:rsidRPr="00572B95">
                <w:rPr>
                  <w:spacing w:val="-2"/>
                  <w:sz w:val="19"/>
                </w:rPr>
                <w:t>Alex.Tan@example.com</w:t>
              </w:r>
            </w:hyperlink>
            <w:r w:rsidR="000B41A2" w:rsidRPr="00572B95">
              <w:rPr>
                <w:spacing w:val="-2"/>
                <w:sz w:val="19"/>
              </w:rPr>
              <w:t>;</w:t>
            </w:r>
            <w:r>
              <w:rPr>
                <w:spacing w:val="-2"/>
                <w:sz w:val="19"/>
              </w:rPr>
              <w:br/>
            </w:r>
            <w:r w:rsidRPr="00572B95">
              <w:rPr>
                <w:spacing w:val="-2"/>
                <w:sz w:val="19"/>
              </w:rPr>
              <w:t>Priya.Singh@example.com</w:t>
            </w:r>
          </w:p>
        </w:tc>
        <w:tc>
          <w:tcPr>
            <w:tcW w:w="4988" w:type="dxa"/>
            <w:tcBorders>
              <w:left w:val="single" w:sz="8" w:space="0" w:color="FFFFFF"/>
              <w:right w:val="single" w:sz="8" w:space="0" w:color="FFFFFF"/>
            </w:tcBorders>
          </w:tcPr>
          <w:p w14:paraId="4DA34F56" w14:textId="4519E678" w:rsidR="000B41A2" w:rsidRDefault="00572B95" w:rsidP="00722383">
            <w:pPr>
              <w:pStyle w:val="TableParagraph"/>
              <w:spacing w:line="264" w:lineRule="auto"/>
              <w:ind w:right="115"/>
              <w:rPr>
                <w:sz w:val="19"/>
              </w:rPr>
            </w:pPr>
            <w:r w:rsidRPr="00572B95">
              <w:rPr>
                <w:spacing w:val="-2"/>
                <w:sz w:val="19"/>
              </w:rPr>
              <w:t>My_Company_chat_history_01-07-2025_21-08-2025</w:t>
            </w:r>
            <w:r>
              <w:rPr>
                <w:spacing w:val="-2"/>
                <w:sz w:val="19"/>
              </w:rPr>
              <w:t>.XML</w:t>
            </w:r>
          </w:p>
          <w:p w14:paraId="0D2782D1" w14:textId="23F95E66" w:rsidR="000B41A2" w:rsidRDefault="000B41A2" w:rsidP="00722383">
            <w:pPr>
              <w:pStyle w:val="TableParagraph"/>
              <w:spacing w:before="27" w:line="312" w:lineRule="auto"/>
              <w:ind w:right="116"/>
              <w:rPr>
                <w:sz w:val="16"/>
              </w:rPr>
            </w:pPr>
            <w:r>
              <w:rPr>
                <w:color w:val="6B7280"/>
                <w:spacing w:val="-2"/>
                <w:sz w:val="16"/>
              </w:rPr>
              <w:t>C:\\TradeMY3\\data\Chat_History\</w:t>
            </w:r>
            <w:r w:rsidR="0035671C" w:rsidRPr="0035671C">
              <w:rPr>
                <w:color w:val="6B7280"/>
                <w:spacing w:val="-2"/>
                <w:sz w:val="16"/>
              </w:rPr>
              <w:t>My_Company_chat_history_01-07-2025_21-08-2025.xml</w:t>
            </w:r>
          </w:p>
        </w:tc>
      </w:tr>
      <w:tr w:rsidR="000B41A2" w:rsidRPr="00572B95" w14:paraId="46A3F284" w14:textId="77777777" w:rsidTr="00722383">
        <w:trPr>
          <w:trHeight w:val="988"/>
        </w:trPr>
        <w:tc>
          <w:tcPr>
            <w:tcW w:w="9511" w:type="dxa"/>
            <w:gridSpan w:val="3"/>
            <w:tcBorders>
              <w:left w:val="single" w:sz="8" w:space="0" w:color="FFFFFF"/>
              <w:right w:val="single" w:sz="8" w:space="0" w:color="FFFFFF"/>
            </w:tcBorders>
            <w:shd w:val="clear" w:color="auto" w:fill="F7F9FB"/>
          </w:tcPr>
          <w:p w14:paraId="00F97708" w14:textId="383FADDE" w:rsidR="000B41A2" w:rsidRPr="00572B95" w:rsidRDefault="00572B95" w:rsidP="00572B95">
            <w:pPr>
              <w:pStyle w:val="TableParagraph"/>
              <w:spacing w:before="27" w:line="312" w:lineRule="auto"/>
              <w:ind w:right="116"/>
              <w:rPr>
                <w:sz w:val="16"/>
              </w:rPr>
            </w:pPr>
            <w:r>
              <w:rPr>
                <w:sz w:val="16"/>
              </w:rPr>
              <w:t>Why</w:t>
            </w:r>
            <w:r w:rsidR="000B41A2" w:rsidRPr="000B41A2">
              <w:rPr>
                <w:sz w:val="16"/>
              </w:rPr>
              <w:t xml:space="preserve"> This Is Insider Trading</w:t>
            </w:r>
          </w:p>
          <w:p w14:paraId="2AA83CDE" w14:textId="1F824999" w:rsidR="000B41A2" w:rsidRDefault="000B41A2" w:rsidP="00572B95">
            <w:pPr>
              <w:pStyle w:val="TableParagraph"/>
              <w:spacing w:before="27" w:line="312" w:lineRule="auto"/>
              <w:ind w:left="720" w:right="116"/>
              <w:rPr>
                <w:sz w:val="16"/>
              </w:rPr>
            </w:pPr>
            <w:r w:rsidRPr="000B41A2">
              <w:rPr>
                <w:sz w:val="16"/>
              </w:rPr>
              <w:t>.</w:t>
            </w:r>
          </w:p>
          <w:p w14:paraId="4904A780" w14:textId="0D7DB6F9" w:rsidR="00572B95" w:rsidRPr="00572B95" w:rsidRDefault="00572B95" w:rsidP="00572B95">
            <w:pPr>
              <w:pStyle w:val="TableParagraph"/>
              <w:numPr>
                <w:ilvl w:val="0"/>
                <w:numId w:val="2"/>
              </w:numPr>
              <w:spacing w:before="27" w:line="312" w:lineRule="auto"/>
              <w:ind w:right="116"/>
              <w:rPr>
                <w:sz w:val="16"/>
              </w:rPr>
            </w:pPr>
            <w:r w:rsidRPr="00572B95">
              <w:rPr>
                <w:b/>
                <w:bCs/>
                <w:sz w:val="16"/>
              </w:rPr>
              <w:t>Possession of Material Non-Public Information (MNPI):</w:t>
            </w:r>
            <w:r w:rsidRPr="00572B95">
              <w:rPr>
                <w:sz w:val="16"/>
              </w:rPr>
              <w:br/>
              <w:t xml:space="preserve">Alex explicitly states he </w:t>
            </w:r>
            <w:r w:rsidRPr="00572B95">
              <w:rPr>
                <w:i/>
                <w:iCs/>
                <w:sz w:val="16"/>
              </w:rPr>
              <w:t>“just got an insider tip — the FDA is about to approve their new drug next week.”</w:t>
            </w:r>
            <w:r w:rsidRPr="00572B95">
              <w:rPr>
                <w:sz w:val="16"/>
              </w:rPr>
              <w:t xml:space="preserve"> This approval information is confidential and </w:t>
            </w:r>
            <w:r w:rsidR="00762817">
              <w:rPr>
                <w:sz w:val="16"/>
              </w:rPr>
              <w:t xml:space="preserve">has </w:t>
            </w:r>
            <w:r w:rsidRPr="00572B95">
              <w:rPr>
                <w:sz w:val="16"/>
              </w:rPr>
              <w:t xml:space="preserve">not yet </w:t>
            </w:r>
            <w:r w:rsidR="00762817">
              <w:rPr>
                <w:sz w:val="16"/>
              </w:rPr>
              <w:t xml:space="preserve">been </w:t>
            </w:r>
            <w:r w:rsidRPr="00572B95">
              <w:rPr>
                <w:sz w:val="16"/>
              </w:rPr>
              <w:t>disclosed publicly.</w:t>
            </w:r>
          </w:p>
          <w:p w14:paraId="529ABB21" w14:textId="77777777" w:rsidR="00572B95" w:rsidRPr="00572B95" w:rsidRDefault="00572B95" w:rsidP="00572B95">
            <w:pPr>
              <w:pStyle w:val="TableParagraph"/>
              <w:numPr>
                <w:ilvl w:val="0"/>
                <w:numId w:val="2"/>
              </w:numPr>
              <w:spacing w:before="27" w:line="312" w:lineRule="auto"/>
              <w:ind w:right="116"/>
              <w:rPr>
                <w:sz w:val="16"/>
              </w:rPr>
            </w:pPr>
            <w:r w:rsidRPr="00572B95">
              <w:rPr>
                <w:b/>
                <w:bCs/>
                <w:sz w:val="16"/>
              </w:rPr>
              <w:t>Materiality:</w:t>
            </w:r>
            <w:r w:rsidRPr="00572B95">
              <w:rPr>
                <w:sz w:val="16"/>
              </w:rPr>
              <w:br/>
              <w:t xml:space="preserve">FDA drug approvals are market-moving events that can cause substantial stock-price changes. Such news would clearly be considered </w:t>
            </w:r>
            <w:r w:rsidRPr="00572B95">
              <w:rPr>
                <w:i/>
                <w:iCs/>
                <w:sz w:val="16"/>
              </w:rPr>
              <w:t>material</w:t>
            </w:r>
            <w:r w:rsidRPr="00572B95">
              <w:rPr>
                <w:sz w:val="16"/>
              </w:rPr>
              <w:t xml:space="preserve"> by any reasonable investor.</w:t>
            </w:r>
          </w:p>
          <w:p w14:paraId="1509D4D5" w14:textId="7D02CEF9" w:rsidR="00572B95" w:rsidRPr="00572B95" w:rsidRDefault="00572B95" w:rsidP="00572B95">
            <w:pPr>
              <w:pStyle w:val="TableParagraph"/>
              <w:numPr>
                <w:ilvl w:val="0"/>
                <w:numId w:val="2"/>
              </w:numPr>
              <w:spacing w:before="27" w:line="312" w:lineRule="auto"/>
              <w:ind w:right="116"/>
              <w:rPr>
                <w:sz w:val="16"/>
              </w:rPr>
            </w:pPr>
            <w:r w:rsidRPr="00572B95">
              <w:rPr>
                <w:b/>
                <w:bCs/>
                <w:sz w:val="16"/>
              </w:rPr>
              <w:t>Source of Information:</w:t>
            </w:r>
            <w:r w:rsidRPr="00572B95">
              <w:rPr>
                <w:sz w:val="16"/>
              </w:rPr>
              <w:br/>
              <w:t xml:space="preserve">Alex obtained the information through his employment at </w:t>
            </w:r>
            <w:r w:rsidR="00637F63" w:rsidRPr="00637F63">
              <w:rPr>
                <w:b/>
                <w:bCs/>
                <w:sz w:val="16"/>
              </w:rPr>
              <w:t>SIA Engineering</w:t>
            </w:r>
            <w:r w:rsidRPr="00572B95">
              <w:rPr>
                <w:sz w:val="16"/>
              </w:rPr>
              <w:t xml:space="preserve">, making him an </w:t>
            </w:r>
            <w:r w:rsidRPr="00572B95">
              <w:rPr>
                <w:i/>
                <w:iCs/>
                <w:sz w:val="16"/>
              </w:rPr>
              <w:t>insider</w:t>
            </w:r>
            <w:r w:rsidRPr="00572B95">
              <w:rPr>
                <w:sz w:val="16"/>
              </w:rPr>
              <w:t xml:space="preserve"> with a fiduciary duty to maintain confidentiality.</w:t>
            </w:r>
          </w:p>
          <w:p w14:paraId="35369BD0" w14:textId="77777777" w:rsidR="00572B95" w:rsidRPr="00572B95" w:rsidRDefault="00572B95" w:rsidP="00572B95">
            <w:pPr>
              <w:pStyle w:val="TableParagraph"/>
              <w:numPr>
                <w:ilvl w:val="0"/>
                <w:numId w:val="2"/>
              </w:numPr>
              <w:spacing w:before="27" w:line="312" w:lineRule="auto"/>
              <w:ind w:right="116"/>
              <w:rPr>
                <w:sz w:val="16"/>
              </w:rPr>
            </w:pPr>
            <w:r w:rsidRPr="00572B95">
              <w:rPr>
                <w:b/>
                <w:bCs/>
                <w:sz w:val="16"/>
              </w:rPr>
              <w:t>Intent to Trade Before Public Disclosure:</w:t>
            </w:r>
            <w:r w:rsidRPr="00572B95">
              <w:rPr>
                <w:sz w:val="16"/>
              </w:rPr>
              <w:br/>
              <w:t xml:space="preserve">Alex plans to </w:t>
            </w:r>
            <w:r w:rsidRPr="00572B95">
              <w:rPr>
                <w:i/>
                <w:iCs/>
                <w:sz w:val="16"/>
              </w:rPr>
              <w:t>“buy a bunch of shares before the announcement,”</w:t>
            </w:r>
            <w:r w:rsidRPr="00572B95">
              <w:rPr>
                <w:sz w:val="16"/>
              </w:rPr>
              <w:t xml:space="preserve"> demonstrating intent to profit from MNPI prior to public release — a core element of insider trading.</w:t>
            </w:r>
          </w:p>
          <w:p w14:paraId="1333D5F6" w14:textId="70841346" w:rsidR="000B41A2" w:rsidRPr="00572B95" w:rsidRDefault="00572B95" w:rsidP="00572B95">
            <w:pPr>
              <w:pStyle w:val="TableParagraph"/>
              <w:numPr>
                <w:ilvl w:val="0"/>
                <w:numId w:val="2"/>
              </w:numPr>
              <w:spacing w:before="27" w:line="312" w:lineRule="auto"/>
              <w:ind w:right="116"/>
              <w:rPr>
                <w:sz w:val="16"/>
              </w:rPr>
            </w:pPr>
            <w:r w:rsidRPr="00572B95">
              <w:rPr>
                <w:b/>
                <w:bCs/>
                <w:sz w:val="16"/>
              </w:rPr>
              <w:t>Encouragement of Others to Trade:</w:t>
            </w:r>
            <w:r w:rsidRPr="00572B95">
              <w:rPr>
                <w:sz w:val="16"/>
              </w:rPr>
              <w:br/>
              <w:t>Alex urges Priya to buy as well (“</w:t>
            </w:r>
            <w:r w:rsidRPr="00572B95">
              <w:rPr>
                <w:i/>
                <w:iCs/>
                <w:sz w:val="16"/>
              </w:rPr>
              <w:t>You should too</w:t>
            </w:r>
            <w:r w:rsidRPr="00572B95">
              <w:rPr>
                <w:sz w:val="16"/>
              </w:rPr>
              <w:t xml:space="preserve">”), effectively </w:t>
            </w:r>
            <w:r w:rsidRPr="00572B95">
              <w:rPr>
                <w:i/>
                <w:iCs/>
                <w:sz w:val="16"/>
              </w:rPr>
              <w:t>tipping</w:t>
            </w:r>
            <w:r w:rsidRPr="00572B95">
              <w:rPr>
                <w:sz w:val="16"/>
              </w:rPr>
              <w:t xml:space="preserve"> another person to act on inside information, which extends liability to both the tipper and potential tippee.</w:t>
            </w:r>
          </w:p>
        </w:tc>
      </w:tr>
    </w:tbl>
    <w:p w14:paraId="2D7A6E73" w14:textId="15E45234" w:rsidR="00D70D10" w:rsidRPr="00572B95" w:rsidRDefault="00D70D10" w:rsidP="00572B95">
      <w:pPr>
        <w:pStyle w:val="TableParagraph"/>
        <w:spacing w:before="27" w:line="312" w:lineRule="auto"/>
        <w:ind w:left="0" w:right="116"/>
        <w:rPr>
          <w:sz w:val="16"/>
        </w:rPr>
      </w:pPr>
    </w:p>
    <w:sectPr w:rsidR="00D70D10" w:rsidRPr="00572B95">
      <w:pgSz w:w="11910" w:h="16840"/>
      <w:pgMar w:top="94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B02F3"/>
    <w:multiLevelType w:val="multilevel"/>
    <w:tmpl w:val="88A2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20CAF"/>
    <w:multiLevelType w:val="hybridMultilevel"/>
    <w:tmpl w:val="3864AECE"/>
    <w:lvl w:ilvl="0" w:tplc="BAA4A7B0">
      <w:numFmt w:val="bullet"/>
      <w:lvlText w:val="•"/>
      <w:lvlJc w:val="left"/>
      <w:pPr>
        <w:ind w:left="581" w:hanging="24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position w:val="-3"/>
        <w:sz w:val="24"/>
        <w:szCs w:val="24"/>
        <w:lang w:val="en-US" w:eastAsia="en-US" w:bidi="ar-SA"/>
      </w:rPr>
    </w:lvl>
    <w:lvl w:ilvl="1" w:tplc="83EEB2FC">
      <w:numFmt w:val="bullet"/>
      <w:lvlText w:val="•"/>
      <w:lvlJc w:val="left"/>
      <w:pPr>
        <w:ind w:left="1599" w:hanging="240"/>
      </w:pPr>
      <w:rPr>
        <w:rFonts w:hint="default"/>
        <w:lang w:val="en-US" w:eastAsia="en-US" w:bidi="ar-SA"/>
      </w:rPr>
    </w:lvl>
    <w:lvl w:ilvl="2" w:tplc="07B4BF9A">
      <w:numFmt w:val="bullet"/>
      <w:lvlText w:val="•"/>
      <w:lvlJc w:val="left"/>
      <w:pPr>
        <w:ind w:left="2618" w:hanging="240"/>
      </w:pPr>
      <w:rPr>
        <w:rFonts w:hint="default"/>
        <w:lang w:val="en-US" w:eastAsia="en-US" w:bidi="ar-SA"/>
      </w:rPr>
    </w:lvl>
    <w:lvl w:ilvl="3" w:tplc="1A6E5BC6">
      <w:numFmt w:val="bullet"/>
      <w:lvlText w:val="•"/>
      <w:lvlJc w:val="left"/>
      <w:pPr>
        <w:ind w:left="3638" w:hanging="240"/>
      </w:pPr>
      <w:rPr>
        <w:rFonts w:hint="default"/>
        <w:lang w:val="en-US" w:eastAsia="en-US" w:bidi="ar-SA"/>
      </w:rPr>
    </w:lvl>
    <w:lvl w:ilvl="4" w:tplc="4D0642FC">
      <w:numFmt w:val="bullet"/>
      <w:lvlText w:val="•"/>
      <w:lvlJc w:val="left"/>
      <w:pPr>
        <w:ind w:left="4657" w:hanging="240"/>
      </w:pPr>
      <w:rPr>
        <w:rFonts w:hint="default"/>
        <w:lang w:val="en-US" w:eastAsia="en-US" w:bidi="ar-SA"/>
      </w:rPr>
    </w:lvl>
    <w:lvl w:ilvl="5" w:tplc="52C27470">
      <w:numFmt w:val="bullet"/>
      <w:lvlText w:val="•"/>
      <w:lvlJc w:val="left"/>
      <w:pPr>
        <w:ind w:left="5676" w:hanging="240"/>
      </w:pPr>
      <w:rPr>
        <w:rFonts w:hint="default"/>
        <w:lang w:val="en-US" w:eastAsia="en-US" w:bidi="ar-SA"/>
      </w:rPr>
    </w:lvl>
    <w:lvl w:ilvl="6" w:tplc="7A9424C4">
      <w:numFmt w:val="bullet"/>
      <w:lvlText w:val="•"/>
      <w:lvlJc w:val="left"/>
      <w:pPr>
        <w:ind w:left="6696" w:hanging="240"/>
      </w:pPr>
      <w:rPr>
        <w:rFonts w:hint="default"/>
        <w:lang w:val="en-US" w:eastAsia="en-US" w:bidi="ar-SA"/>
      </w:rPr>
    </w:lvl>
    <w:lvl w:ilvl="7" w:tplc="EB2EC6B6">
      <w:numFmt w:val="bullet"/>
      <w:lvlText w:val="•"/>
      <w:lvlJc w:val="left"/>
      <w:pPr>
        <w:ind w:left="7715" w:hanging="240"/>
      </w:pPr>
      <w:rPr>
        <w:rFonts w:hint="default"/>
        <w:lang w:val="en-US" w:eastAsia="en-US" w:bidi="ar-SA"/>
      </w:rPr>
    </w:lvl>
    <w:lvl w:ilvl="8" w:tplc="A6DA9AE4">
      <w:numFmt w:val="bullet"/>
      <w:lvlText w:val="•"/>
      <w:lvlJc w:val="left"/>
      <w:pPr>
        <w:ind w:left="873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72BA101E"/>
    <w:multiLevelType w:val="multilevel"/>
    <w:tmpl w:val="0F5C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358690">
    <w:abstractNumId w:val="1"/>
  </w:num>
  <w:num w:numId="2" w16cid:durableId="159004238">
    <w:abstractNumId w:val="2"/>
  </w:num>
  <w:num w:numId="3" w16cid:durableId="31483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2489"/>
    <w:rsid w:val="00060464"/>
    <w:rsid w:val="000B41A2"/>
    <w:rsid w:val="0035671C"/>
    <w:rsid w:val="00482D6D"/>
    <w:rsid w:val="00572B95"/>
    <w:rsid w:val="00637F63"/>
    <w:rsid w:val="00736C44"/>
    <w:rsid w:val="00762817"/>
    <w:rsid w:val="007B2898"/>
    <w:rsid w:val="00A10EE5"/>
    <w:rsid w:val="00D70D10"/>
    <w:rsid w:val="00F0069F"/>
    <w:rsid w:val="00FD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4E7C5"/>
  <w15:docId w15:val="{44AD8A67-2299-4347-B0E5-6F5C9857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1A2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6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1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8"/>
      <w:ind w:left="580" w:hanging="23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461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8"/>
      <w:ind w:left="580" w:hanging="239"/>
    </w:pPr>
  </w:style>
  <w:style w:type="paragraph" w:customStyle="1" w:styleId="TableParagraph">
    <w:name w:val="Table Paragraph"/>
    <w:basedOn w:val="Normal"/>
    <w:uiPriority w:val="1"/>
    <w:qFormat/>
    <w:pPr>
      <w:spacing w:before="89"/>
      <w:ind w:left="119"/>
    </w:pPr>
  </w:style>
  <w:style w:type="table" w:styleId="TableGrid">
    <w:name w:val="Table Grid"/>
    <w:basedOn w:val="TableNormal"/>
    <w:uiPriority w:val="39"/>
    <w:rsid w:val="000B4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B41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72B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2B9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72B95"/>
    <w:rPr>
      <w:i/>
      <w:iCs/>
    </w:rPr>
  </w:style>
  <w:style w:type="character" w:styleId="Hyperlink">
    <w:name w:val="Hyperlink"/>
    <w:basedOn w:val="DefaultParagraphFont"/>
    <w:uiPriority w:val="99"/>
    <w:unhideWhenUsed/>
    <w:rsid w:val="00572B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m.anderson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ry.lim@example.com" TargetMode="External"/><Relationship Id="rId5" Type="http://schemas.openxmlformats.org/officeDocument/2006/relationships/hyperlink" Target="mailto:tom.anderson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335</Words>
  <Characters>2314</Characters>
  <Application>Microsoft Office Word</Application>
  <DocSecurity>0</DocSecurity>
  <Lines>72</Lines>
  <Paragraphs>40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High-Risk Alerts — Evidence</dc:title>
  <dc:subject>(unspecified)</dc:subject>
  <dc:creator>(anonymous)</dc:creator>
  <cp:lastModifiedBy>Mohammad Shariq Misbahi(UST,MY)</cp:lastModifiedBy>
  <cp:revision>8</cp:revision>
  <dcterms:created xsi:type="dcterms:W3CDTF">2025-10-16T13:29:00Z</dcterms:created>
  <dcterms:modified xsi:type="dcterms:W3CDTF">2025-10-17T04:53:00Z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2025-10-16T00:00:00Z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2025-10-16T00:00:00Z</vt:filetime>
  </property>
  <property fmtid="{D5CDD505-2E9C-101B-9397-08002B2CF9AE}" pid="5" name="Producer">
    <vt:lpwstr>ReportLab PDF Library - www.reportlab.com</vt:lpwstr>
  </property>
  <property fmtid="{D5CDD505-2E9C-101B-9397-08002B2CF9AE}" pid="6" name="GrammarlyDocumentId">
    <vt:lpwstr>518ac75b-c926-4e10-8dd4-f5a0b291885b</vt:lpwstr>
  </property>
</Properties>
</file>