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sz w:val="36"/>
          <w:szCs w:val="36"/>
        </w:rPr>
        <w:t xml:space="preserve">DOCUMENTO TÉCNICO</w:t>
      </w:r>
    </w:p>
    <w:p>
      <w:pPr>
        <w:spacing w:after="40" w:before="0"/>
        <w:jc w:val="center"/>
      </w:pPr>
      <w:r>
        <w:rPr>
          <w:rFonts w:ascii="Arial" w:cs="Arial" w:eastAsia="Arial" w:hAnsi="Arial"/>
          <w:b/>
          <w:bCs/>
          <w:sz w:val="26"/>
          <w:szCs w:val="26"/>
        </w:rPr>
        <w:t xml:space="preserve">Módulo 5 — Programas de Formación [Líneas y Redes]</w:t>
      </w:r>
    </w:p>
    <w:p>
      <w:pPr>
        <w:spacing w:after="40" w:before="0"/>
        <w:jc w:val="center"/>
      </w:pPr>
      <w:r>
        <w:rPr>
          <w:rFonts w:ascii="Arial" w:cs="Arial" w:eastAsia="Arial" w:hAnsi="Arial"/>
          <w:sz w:val="22"/>
          <w:szCs w:val="22"/>
        </w:rPr>
        <w:t xml:space="preserve">Sistema de Gestión de Horarios SENA</w:t>
      </w:r>
    </w:p>
    <w:p>
      <w:pPr>
        <w:spacing w:after="200" w:before="0"/>
        <w:jc w:val="center"/>
      </w:pPr>
      <w:r>
        <w:rPr>
          <w:rFonts w:ascii="Arial" w:cs="Arial" w:eastAsia="Arial" w:hAnsi="Arial"/>
          <w:sz w:val="20"/>
          <w:szCs w:val="20"/>
        </w:rPr>
        <w:t xml:space="preserve">Versión 10.0  |  MongoDB  |  Go · React · Docker</w:t>
      </w:r>
    </w:p>
    <w:p>
      <w:pPr>
        <w:pStyle w:val="Heading1"/>
        <w:spacing w:after="120" w:before="240"/>
      </w:pPr>
      <w:r>
        <w:rPr>
          <w:rFonts w:ascii="Arial" w:cs="Arial" w:eastAsia="Arial" w:hAnsi="Arial"/>
          <w:b/>
          <w:bCs/>
          <w:sz w:val="28"/>
          <w:szCs w:val="28"/>
        </w:rPr>
        <w:t xml:space="preserve">1. Descripción del Módulo</w:t>
      </w:r>
    </w:p>
    <w:p>
      <w:pPr>
        <w:spacing w:after="80" w:before="80"/>
        <w:jc w:val="both"/>
      </w:pPr>
      <w:r>
        <w:rPr>
          <w:rFonts w:ascii="Arial" w:cs="Arial" w:eastAsia="Arial" w:hAnsi="Arial"/>
          <w:sz w:val="22"/>
          <w:szCs w:val="22"/>
        </w:rPr>
        <w:t xml:space="preserve">El Módulo 5 — Programas de Formación [Líneas y Redes] gestiona la oferta académica del SENA desde su clasificación institucional hasta su estructura curricular interna. Es el módulo que cohesiona la jerarquía de conocimiento institucional con los programas de formación que generan fichas, competencias y resultados de aprendizaje.</w:t>
      </w:r>
    </w:p>
    <w:p>
      <w:pPr>
        <w:spacing w:after="80" w:before="80"/>
      </w:pPr>
      <w:r>
        <w:t xml:space="preserve"/>
      </w:r>
    </w:p>
    <w:p>
      <w:pPr>
        <w:spacing w:after="80" w:before="80"/>
        <w:jc w:val="both"/>
      </w:pPr>
      <w:r>
        <w:rPr>
          <w:rFonts w:ascii="Arial" w:cs="Arial" w:eastAsia="Arial" w:hAnsi="Arial"/>
          <w:sz w:val="22"/>
          <w:szCs w:val="22"/>
        </w:rPr>
        <w:t xml:space="preserve">Sin este módulo no es posible validar ninguna asignación de horario, porque el sistema no tendría forma de determinar a qué programa pertenece una ficha, qué competencias la componen, qué instructor está habilitado para orientarlas ni qué resultados de aprendizaje deben evidenciarse al finalizar cada bloque horario.</w:t>
      </w:r>
    </w:p>
    <w:p>
      <w:pPr>
        <w:spacing w:after="80" w:before="80"/>
      </w:pPr>
      <w:r>
        <w:t xml:space="preserve"/>
      </w:r>
    </w:p>
    <w:p>
      <w:pPr>
        <w:spacing w:after="80" w:before="80"/>
        <w:jc w:val="both"/>
      </w:pPr>
      <w:r>
        <w:rPr>
          <w:rFonts w:ascii="Arial" w:cs="Arial" w:eastAsia="Arial" w:hAnsi="Arial"/>
          <w:sz w:val="22"/>
          <w:szCs w:val="22"/>
        </w:rPr>
        <w:t xml:space="preserve">Este módulo fue enriquecido con información verificada directamente desde el portal oficial SOFIA Plus del SENA, documentación institucional del informe de programación titulada y los requisitos expresados por el instructor durante la clase.</w:t>
      </w:r>
    </w:p>
    <w:p>
      <w:pPr>
        <w:pStyle w:val="Heading1"/>
        <w:spacing w:after="120" w:before="240"/>
      </w:pPr>
      <w:r>
        <w:rPr>
          <w:rFonts w:ascii="Arial" w:cs="Arial" w:eastAsia="Arial" w:hAnsi="Arial"/>
          <w:b/>
          <w:bCs/>
          <w:sz w:val="28"/>
          <w:szCs w:val="28"/>
        </w:rPr>
        <w:t xml:space="preserve">2. Jerarquía Técnica del Dominio SENA</w:t>
      </w:r>
    </w:p>
    <w:p>
      <w:pPr>
        <w:spacing w:after="80" w:before="80"/>
        <w:jc w:val="both"/>
      </w:pPr>
      <w:r>
        <w:rPr>
          <w:rFonts w:ascii="Arial" w:cs="Arial" w:eastAsia="Arial" w:hAnsi="Arial"/>
          <w:sz w:val="22"/>
          <w:szCs w:val="22"/>
        </w:rPr>
        <w:t xml:space="preserve">La estructura de conocimiento del SENA sigue una jerarquía de seis niveles desde lo más macro hasta lo más operativo. Esta jerarquía está verificada desde la documentación oficial SENA y del informe de programación titulada entregado por el instructor.</w:t>
      </w:r>
    </w:p>
    <w:p>
      <w:pPr>
        <w:spacing w:after="80" w:before="80"/>
      </w:pPr>
      <w:r>
        <w:t xml:space="preserve"/>
      </w:r>
    </w:p>
    <w:p>
      <w:pPr>
        <w:pStyle w:val="Heading2"/>
        <w:spacing w:after="100" w:before="200"/>
      </w:pPr>
      <w:r>
        <w:rPr>
          <w:rFonts w:ascii="Arial" w:cs="Arial" w:eastAsia="Arial" w:hAnsi="Arial"/>
          <w:b/>
          <w:bCs/>
          <w:sz w:val="24"/>
          <w:szCs w:val="24"/>
        </w:rPr>
        <w:t xml:space="preserve">2.1 Estructura de la Jerarquía</w:t>
      </w:r>
    </w:p>
    <w:p>
      <w:pPr>
        <w:spacing w:after="40" w:before="40"/>
        <w:ind w:left="720"/>
      </w:pPr>
      <w:r>
        <w:rPr>
          <w:rFonts w:ascii="Courier New" w:cs="Courier New" w:eastAsia="Courier New" w:hAnsi="Courier New"/>
          <w:sz w:val="20"/>
          <w:szCs w:val="20"/>
        </w:rPr>
        <w:t xml:space="preserve">LÍNEA TECNOLÓGICA</w:t>
      </w:r>
    </w:p>
    <w:p>
      <w:pPr>
        <w:spacing w:after="40" w:before="40"/>
        <w:ind w:left="720"/>
      </w:pPr>
      <w:r>
        <w:rPr>
          <w:rFonts w:ascii="Courier New" w:cs="Courier New" w:eastAsia="Courier New" w:hAnsi="Courier New"/>
          <w:sz w:val="20"/>
          <w:szCs w:val="20"/>
        </w:rPr>
        <w:t xml:space="preserve">  └── RED TECNOLÓGICA</w:t>
      </w:r>
    </w:p>
    <w:p>
      <w:pPr>
        <w:spacing w:after="40" w:before="40"/>
        <w:ind w:left="720"/>
      </w:pPr>
      <w:r>
        <w:rPr>
          <w:rFonts w:ascii="Courier New" w:cs="Courier New" w:eastAsia="Courier New" w:hAnsi="Courier New"/>
          <w:sz w:val="20"/>
          <w:szCs w:val="20"/>
        </w:rPr>
        <w:t xml:space="preserve">        └── RED DE CONOCIMIENTO</w:t>
      </w:r>
    </w:p>
    <w:p>
      <w:pPr>
        <w:spacing w:after="40" w:before="40"/>
        <w:ind w:left="720"/>
      </w:pPr>
      <w:r>
        <w:rPr>
          <w:rFonts w:ascii="Courier New" w:cs="Courier New" w:eastAsia="Courier New" w:hAnsi="Courier New"/>
          <w:sz w:val="20"/>
          <w:szCs w:val="20"/>
        </w:rPr>
        <w:t xml:space="preserve">              └── PROGRAMA DE FORMACIÓN</w:t>
      </w:r>
    </w:p>
    <w:p>
      <w:pPr>
        <w:spacing w:after="40" w:before="40"/>
        <w:ind w:left="720"/>
      </w:pPr>
      <w:r>
        <w:rPr>
          <w:rFonts w:ascii="Courier New" w:cs="Courier New" w:eastAsia="Courier New" w:hAnsi="Courier New"/>
          <w:sz w:val="20"/>
          <w:szCs w:val="20"/>
        </w:rPr>
        <w:t xml:space="preserve">                    └── COMPETENCIA</w:t>
      </w:r>
    </w:p>
    <w:p>
      <w:pPr>
        <w:spacing w:after="40" w:before="40"/>
        <w:ind w:left="720"/>
      </w:pPr>
      <w:r>
        <w:rPr>
          <w:rFonts w:ascii="Courier New" w:cs="Courier New" w:eastAsia="Courier New" w:hAnsi="Courier New"/>
          <w:sz w:val="20"/>
          <w:szCs w:val="20"/>
        </w:rPr>
        <w:t xml:space="preserve">                          └── RESULTADO DE APRENDIZAJE (RAP)</w:t>
      </w:r>
    </w:p>
    <w:p>
      <w:pPr>
        <w:spacing w:after="80" w:before="80"/>
      </w:pPr>
      <w:r>
        <w:t xml:space="preserve"/>
      </w:r>
    </w:p>
    <w:p>
      <w:pPr>
        <w:pStyle w:val="Heading2"/>
        <w:spacing w:after="100" w:before="200"/>
      </w:pPr>
      <w:r>
        <w:rPr>
          <w:rFonts w:ascii="Arial" w:cs="Arial" w:eastAsia="Arial" w:hAnsi="Arial"/>
          <w:b/>
          <w:bCs/>
          <w:sz w:val="24"/>
          <w:szCs w:val="24"/>
        </w:rPr>
        <w:t xml:space="preserve">2.2 Descripción de Cada Nivel</w:t>
      </w:r>
    </w:p>
    <w:p>
      <w:pPr>
        <w:spacing w:after="80" w:before="80"/>
      </w:pPr>
      <w:r>
        <w:t xml:space="preserve"/>
      </w:r>
    </w:p>
    <w:p>
      <w:pPr>
        <w:spacing w:after="80" w:before="80"/>
        <w:jc w:val="both"/>
      </w:pPr>
      <w:r>
        <w:rPr>
          <w:rFonts w:ascii="Arial" w:cs="Arial" w:eastAsia="Arial" w:hAnsi="Arial"/>
          <w:b/>
          <w:bCs/>
          <w:sz w:val="22"/>
          <w:szCs w:val="22"/>
        </w:rPr>
        <w:t xml:space="preserve">Nivel 1 — Línea Tecnológica: </w:t>
      </w:r>
      <w:r>
        <w:rPr>
          <w:rFonts w:ascii="Arial" w:cs="Arial" w:eastAsia="Arial" w:hAnsi="Arial"/>
          <w:b w:val="false"/>
          <w:bCs w:val="false"/>
          <w:sz w:val="22"/>
          <w:szCs w:val="22"/>
        </w:rPr>
        <w:t xml:space="preserve">Es el nivel más macro de la jerarquía. Agrupa grandes áreas del saber técnico y tecnológico. Ejemplo verificado desde informe oficial del instructor: Tecnologías de la Información y las Comunicaciones — Gestión de la Información.</w:t>
      </w:r>
    </w:p>
    <w:p>
      <w:pPr>
        <w:spacing w:after="80" w:before="80"/>
      </w:pPr>
      <w:r>
        <w:t xml:space="preserve"/>
      </w:r>
    </w:p>
    <w:p>
      <w:pPr>
        <w:spacing w:after="80" w:before="80"/>
        <w:jc w:val="both"/>
      </w:pPr>
      <w:r>
        <w:rPr>
          <w:rFonts w:ascii="Arial" w:cs="Arial" w:eastAsia="Arial" w:hAnsi="Arial"/>
          <w:b/>
          <w:bCs/>
          <w:sz w:val="22"/>
          <w:szCs w:val="22"/>
        </w:rPr>
        <w:t xml:space="preserve">Nivel 2 — Red Tecnológica: </w:t>
      </w:r>
      <w:r>
        <w:rPr>
          <w:rFonts w:ascii="Arial" w:cs="Arial" w:eastAsia="Arial" w:hAnsi="Arial"/>
          <w:b w:val="false"/>
          <w:bCs w:val="false"/>
          <w:sz w:val="22"/>
          <w:szCs w:val="22"/>
        </w:rPr>
        <w:t xml:space="preserve">Agrupación técnica intermedia dentro de una Línea Tecnológica. Define el campo disciplinar específico. Ejemplo verificado: Tecnologías de la Información, Diseño y Desarrollo de Software.</w:t>
      </w:r>
    </w:p>
    <w:p>
      <w:pPr>
        <w:spacing w:after="80" w:before="80"/>
      </w:pPr>
      <w:r>
        <w:t xml:space="preserve"/>
      </w:r>
    </w:p>
    <w:p>
      <w:pPr>
        <w:spacing w:after="80" w:before="80"/>
        <w:jc w:val="both"/>
      </w:pPr>
      <w:r>
        <w:rPr>
          <w:rFonts w:ascii="Arial" w:cs="Arial" w:eastAsia="Arial" w:hAnsi="Arial"/>
          <w:b/>
          <w:bCs/>
          <w:sz w:val="22"/>
          <w:szCs w:val="22"/>
        </w:rPr>
        <w:t xml:space="preserve">Nivel 3 — Red de Conocimiento: </w:t>
      </w:r>
      <w:r>
        <w:rPr>
          <w:rFonts w:ascii="Arial" w:cs="Arial" w:eastAsia="Arial" w:hAnsi="Arial"/>
          <w:b w:val="false"/>
          <w:bCs w:val="false"/>
          <w:sz w:val="22"/>
          <w:szCs w:val="22"/>
        </w:rPr>
        <w:t xml:space="preserve">Sistema colaborativo disciplinar que agrupa programas con fundamento curricular común. Conecta la estructura nacional del SENA con los programas de cada centro. Ejemplo verificado: Red de Conocimiento en Informática, Diseño y Desarrollo de Software (Código de red: 420).</w:t>
      </w:r>
    </w:p>
    <w:p>
      <w:pPr>
        <w:spacing w:after="80" w:before="80"/>
      </w:pPr>
      <w:r>
        <w:t xml:space="preserve"/>
      </w:r>
    </w:p>
    <w:p>
      <w:pPr>
        <w:spacing w:after="80" w:before="80"/>
        <w:jc w:val="both"/>
      </w:pPr>
      <w:r>
        <w:rPr>
          <w:rFonts w:ascii="Arial" w:cs="Arial" w:eastAsia="Arial" w:hAnsi="Arial"/>
          <w:b/>
          <w:bCs/>
          <w:sz w:val="22"/>
          <w:szCs w:val="22"/>
        </w:rPr>
        <w:t xml:space="preserve">Nivel 4 — Programa de Formación: </w:t>
      </w:r>
      <w:r>
        <w:rPr>
          <w:rFonts w:ascii="Arial" w:cs="Arial" w:eastAsia="Arial" w:hAnsi="Arial"/>
          <w:b w:val="false"/>
          <w:bCs w:val="false"/>
          <w:sz w:val="22"/>
          <w:szCs w:val="22"/>
        </w:rPr>
        <w:t xml:space="preserve">El producto educativo específico con código oficial SENA, nivel de formación, modalidad y diseño curricular fijo. Ejemplo: Tecnólogo en Análisis y Desarrollo de Software, código 623931.</w:t>
      </w:r>
    </w:p>
    <w:p>
      <w:pPr>
        <w:spacing w:after="80" w:before="80"/>
      </w:pPr>
      <w:r>
        <w:t xml:space="preserve"/>
      </w:r>
    </w:p>
    <w:p>
      <w:pPr>
        <w:spacing w:after="80" w:before="80"/>
        <w:jc w:val="both"/>
      </w:pPr>
      <w:r>
        <w:rPr>
          <w:rFonts w:ascii="Arial" w:cs="Arial" w:eastAsia="Arial" w:hAnsi="Arial"/>
          <w:b/>
          <w:bCs/>
          <w:sz w:val="22"/>
          <w:szCs w:val="22"/>
        </w:rPr>
        <w:t xml:space="preserve">Nivel 5 — Competencia: </w:t>
      </w:r>
      <w:r>
        <w:rPr>
          <w:rFonts w:ascii="Arial" w:cs="Arial" w:eastAsia="Arial" w:hAnsi="Arial"/>
          <w:b w:val="false"/>
          <w:bCs w:val="false"/>
          <w:sz w:val="22"/>
          <w:szCs w:val="22"/>
        </w:rPr>
        <w:t xml:space="preserve">Capacidad técnica o transversal que el aprendiz debe desarrollar. Tiene código oficial SENA y una cantidad asignada de horas lectivas. Ejemplo: Construir software (código 228118003) — 320 horas lectivas.</w:t>
      </w:r>
    </w:p>
    <w:p>
      <w:pPr>
        <w:spacing w:after="80" w:before="80"/>
      </w:pPr>
      <w:r>
        <w:t xml:space="preserve"/>
      </w:r>
    </w:p>
    <w:p>
      <w:pPr>
        <w:spacing w:after="80" w:before="80"/>
        <w:jc w:val="both"/>
      </w:pPr>
      <w:r>
        <w:rPr>
          <w:rFonts w:ascii="Arial" w:cs="Arial" w:eastAsia="Arial" w:hAnsi="Arial"/>
          <w:b/>
          <w:bCs/>
          <w:sz w:val="22"/>
          <w:szCs w:val="22"/>
        </w:rPr>
        <w:t xml:space="preserve">Nivel 6 — Resultado de Aprendizaje (RAP): </w:t>
      </w:r>
      <w:r>
        <w:rPr>
          <w:rFonts w:ascii="Arial" w:cs="Arial" w:eastAsia="Arial" w:hAnsi="Arial"/>
          <w:b w:val="false"/>
          <w:bCs w:val="false"/>
          <w:sz w:val="22"/>
          <w:szCs w:val="22"/>
        </w:rPr>
        <w:t xml:space="preserve">Resultado medible que el aprendiz debe demostrar al finalizar una competencia. No es una clase ni un tema; es un logro verificable. Se escribe siempre en infinitivo más objeto. Ejemplo real del instructor: Construir servicios de ML según requerimientos del cliente.</w:t>
      </w:r>
    </w:p>
    <w:p>
      <w:pPr>
        <w:spacing w:after="80" w:before="80"/>
      </w:pPr>
      <w:r>
        <w:t xml:space="preserve"/>
      </w:r>
    </w:p>
    <w:p>
      <w:pPr>
        <w:pStyle w:val="Heading2"/>
        <w:spacing w:after="100" w:before="200"/>
      </w:pPr>
      <w:r>
        <w:rPr>
          <w:rFonts w:ascii="Arial" w:cs="Arial" w:eastAsia="Arial" w:hAnsi="Arial"/>
          <w:b/>
          <w:bCs/>
          <w:sz w:val="24"/>
          <w:szCs w:val="24"/>
        </w:rPr>
        <w:t xml:space="preserve">2.3 Ejemplo Real Verificado</w:t>
      </w:r>
    </w:p>
    <w:p>
      <w:pPr>
        <w:spacing w:after="80" w:before="80"/>
        <w:jc w:val="both"/>
      </w:pPr>
      <w:r>
        <w:rPr>
          <w:rFonts w:ascii="Arial" w:cs="Arial" w:eastAsia="Arial" w:hAnsi="Arial"/>
          <w:sz w:val="22"/>
          <w:szCs w:val="22"/>
        </w:rPr>
        <w:t xml:space="preserve">A continuación se muestra el ejemplo completo con datos reales extraídos del informe de programación titulada del instructor:</w:t>
      </w:r>
    </w:p>
    <w:p>
      <w:pPr>
        <w:spacing w:after="80" w:before="80"/>
      </w:pPr>
      <w:r>
        <w:t xml:space="preserve"/>
      </w:r>
    </w:p>
    <w:p>
      <w:pPr>
        <w:spacing w:after="40" w:before="40"/>
        <w:ind w:left="720"/>
      </w:pPr>
      <w:r>
        <w:rPr>
          <w:rFonts w:ascii="Courier New" w:cs="Courier New" w:eastAsia="Courier New" w:hAnsi="Courier New"/>
          <w:sz w:val="20"/>
          <w:szCs w:val="20"/>
        </w:rPr>
        <w:t xml:space="preserve">Línea Tecnológica:</w:t>
      </w:r>
    </w:p>
    <w:p>
      <w:pPr>
        <w:spacing w:after="40" w:before="40"/>
        <w:ind w:left="720"/>
      </w:pPr>
      <w:r>
        <w:rPr>
          <w:rFonts w:ascii="Courier New" w:cs="Courier New" w:eastAsia="Courier New" w:hAnsi="Courier New"/>
          <w:sz w:val="20"/>
          <w:szCs w:val="20"/>
        </w:rPr>
        <w:t xml:space="preserve">  Tecnologías de la Información y las Comunicaciones - Gestión de la Información</w:t>
      </w:r>
    </w:p>
    <w:p>
      <w:pPr>
        <w:spacing w:after="40" w:before="40"/>
        <w:ind w:left="720"/>
      </w:pPr>
      <w:r>
        <w:rPr>
          <w:rFonts w:ascii="Courier New" w:cs="Courier New" w:eastAsia="Courier New" w:hAnsi="Courier New"/>
          <w:sz w:val="20"/>
          <w:szCs w:val="20"/>
        </w:rPr>
        <w:t xml:space="preserve"/>
      </w:r>
    </w:p>
    <w:p>
      <w:pPr>
        <w:spacing w:after="40" w:before="40"/>
        <w:ind w:left="720"/>
      </w:pPr>
      <w:r>
        <w:rPr>
          <w:rFonts w:ascii="Courier New" w:cs="Courier New" w:eastAsia="Courier New" w:hAnsi="Courier New"/>
          <w:sz w:val="20"/>
          <w:szCs w:val="20"/>
        </w:rPr>
        <w:t xml:space="preserve">  └── Red Tecnológica:</w:t>
      </w:r>
    </w:p>
    <w:p>
      <w:pPr>
        <w:spacing w:after="40" w:before="40"/>
        <w:ind w:left="720"/>
      </w:pPr>
      <w:r>
        <w:rPr>
          <w:rFonts w:ascii="Courier New" w:cs="Courier New" w:eastAsia="Courier New" w:hAnsi="Courier New"/>
          <w:sz w:val="20"/>
          <w:szCs w:val="20"/>
        </w:rPr>
        <w:t xml:space="preserve">        Tecnologías de la Información, Diseño y Desarrollo de Software</w:t>
      </w:r>
    </w:p>
    <w:p>
      <w:pPr>
        <w:spacing w:after="40" w:before="40"/>
        <w:ind w:left="720"/>
      </w:pPr>
      <w:r>
        <w:rPr>
          <w:rFonts w:ascii="Courier New" w:cs="Courier New" w:eastAsia="Courier New" w:hAnsi="Courier New"/>
          <w:sz w:val="20"/>
          <w:szCs w:val="20"/>
        </w:rPr>
        <w:t xml:space="preserve"/>
      </w:r>
    </w:p>
    <w:p>
      <w:pPr>
        <w:spacing w:after="40" w:before="40"/>
        <w:ind w:left="720"/>
      </w:pPr>
      <w:r>
        <w:rPr>
          <w:rFonts w:ascii="Courier New" w:cs="Courier New" w:eastAsia="Courier New" w:hAnsi="Courier New"/>
          <w:sz w:val="20"/>
          <w:szCs w:val="20"/>
        </w:rPr>
        <w:t xml:space="preserve">        └── Red de Conocimiento (Cód. 420):</w:t>
      </w:r>
    </w:p>
    <w:p>
      <w:pPr>
        <w:spacing w:after="40" w:before="40"/>
        <w:ind w:left="720"/>
      </w:pPr>
      <w:r>
        <w:rPr>
          <w:rFonts w:ascii="Courier New" w:cs="Courier New" w:eastAsia="Courier New" w:hAnsi="Courier New"/>
          <w:sz w:val="20"/>
          <w:szCs w:val="20"/>
        </w:rPr>
        <w:t xml:space="preserve">              Red de Conocimiento en Informática, Diseño y Desarrollo de Software</w:t>
      </w:r>
    </w:p>
    <w:p>
      <w:pPr>
        <w:spacing w:after="40" w:before="40"/>
        <w:ind w:left="720"/>
      </w:pPr>
      <w:r>
        <w:rPr>
          <w:rFonts w:ascii="Courier New" w:cs="Courier New" w:eastAsia="Courier New" w:hAnsi="Courier New"/>
          <w:sz w:val="20"/>
          <w:szCs w:val="20"/>
        </w:rPr>
        <w:t xml:space="preserve"/>
      </w:r>
    </w:p>
    <w:p>
      <w:pPr>
        <w:spacing w:after="40" w:before="40"/>
        <w:ind w:left="720"/>
      </w:pPr>
      <w:r>
        <w:rPr>
          <w:rFonts w:ascii="Courier New" w:cs="Courier New" w:eastAsia="Courier New" w:hAnsi="Courier New"/>
          <w:sz w:val="20"/>
          <w:szCs w:val="20"/>
        </w:rPr>
        <w:t xml:space="preserve">              └── Programa de Formación (Cód. 623931):</w:t>
      </w:r>
    </w:p>
    <w:p>
      <w:pPr>
        <w:spacing w:after="40" w:before="40"/>
        <w:ind w:left="720"/>
      </w:pPr>
      <w:r>
        <w:rPr>
          <w:rFonts w:ascii="Courier New" w:cs="Courier New" w:eastAsia="Courier New" w:hAnsi="Courier New"/>
          <w:sz w:val="20"/>
          <w:szCs w:val="20"/>
        </w:rPr>
        <w:t xml:space="preserve">                    Tecnólogo en Análisis y Desarrollo de Software</w:t>
      </w:r>
    </w:p>
    <w:p>
      <w:pPr>
        <w:spacing w:after="40" w:before="40"/>
        <w:ind w:left="720"/>
      </w:pPr>
      <w:r>
        <w:rPr>
          <w:rFonts w:ascii="Courier New" w:cs="Courier New" w:eastAsia="Courier New" w:hAnsi="Courier New"/>
          <w:sz w:val="20"/>
          <w:szCs w:val="20"/>
        </w:rPr>
        <w:t xml:space="preserve"/>
      </w:r>
    </w:p>
    <w:p>
      <w:pPr>
        <w:spacing w:after="40" w:before="40"/>
        <w:ind w:left="720"/>
      </w:pPr>
      <w:r>
        <w:rPr>
          <w:rFonts w:ascii="Courier New" w:cs="Courier New" w:eastAsia="Courier New" w:hAnsi="Courier New"/>
          <w:sz w:val="20"/>
          <w:szCs w:val="20"/>
        </w:rPr>
        <w:t xml:space="preserve">                    └── Competencia (Cód. 228118003) — 320h lectivas:</w:t>
      </w:r>
    </w:p>
    <w:p>
      <w:pPr>
        <w:spacing w:after="40" w:before="40"/>
        <w:ind w:left="720"/>
      </w:pPr>
      <w:r>
        <w:rPr>
          <w:rFonts w:ascii="Courier New" w:cs="Courier New" w:eastAsia="Courier New" w:hAnsi="Courier New"/>
          <w:sz w:val="20"/>
          <w:szCs w:val="20"/>
        </w:rPr>
        <w:t xml:space="preserve">                          Construir software según requerimientos del sector</w:t>
      </w:r>
    </w:p>
    <w:p>
      <w:pPr>
        <w:spacing w:after="40" w:before="40"/>
        <w:ind w:left="720"/>
      </w:pPr>
      <w:r>
        <w:rPr>
          <w:rFonts w:ascii="Courier New" w:cs="Courier New" w:eastAsia="Courier New" w:hAnsi="Courier New"/>
          <w:sz w:val="20"/>
          <w:szCs w:val="20"/>
        </w:rPr>
        <w:t xml:space="preserve"/>
      </w:r>
    </w:p>
    <w:p>
      <w:pPr>
        <w:spacing w:after="40" w:before="40"/>
        <w:ind w:left="720"/>
      </w:pPr>
      <w:r>
        <w:rPr>
          <w:rFonts w:ascii="Courier New" w:cs="Courier New" w:eastAsia="Courier New" w:hAnsi="Courier New"/>
          <w:sz w:val="20"/>
          <w:szCs w:val="20"/>
        </w:rPr>
        <w:t xml:space="preserve">                          ├── RAP 1: Construir servicios de ML según requerimientos</w:t>
      </w:r>
    </w:p>
    <w:p>
      <w:pPr>
        <w:spacing w:after="40" w:before="40"/>
        <w:ind w:left="720"/>
      </w:pPr>
      <w:r>
        <w:rPr>
          <w:rFonts w:ascii="Courier New" w:cs="Courier New" w:eastAsia="Courier New" w:hAnsi="Courier New"/>
          <w:sz w:val="20"/>
          <w:szCs w:val="20"/>
        </w:rPr>
        <w:t xml:space="preserve">                          ├── RAP 2: Integrar APIs externas al sistema</w:t>
      </w:r>
    </w:p>
    <w:p>
      <w:pPr>
        <w:spacing w:after="40" w:before="40"/>
        <w:ind w:left="720"/>
      </w:pPr>
      <w:r>
        <w:rPr>
          <w:rFonts w:ascii="Courier New" w:cs="Courier New" w:eastAsia="Courier New" w:hAnsi="Courier New"/>
          <w:sz w:val="20"/>
          <w:szCs w:val="20"/>
        </w:rPr>
        <w:t xml:space="preserve">                          └── RAP 3: Documentar el desarrollo según estándares</w:t>
      </w:r>
    </w:p>
    <w:p>
      <w:pPr>
        <w:pStyle w:val="Heading1"/>
        <w:spacing w:after="120" w:before="240"/>
      </w:pPr>
      <w:r>
        <w:rPr>
          <w:rFonts w:ascii="Arial" w:cs="Arial" w:eastAsia="Arial" w:hAnsi="Arial"/>
          <w:b/>
          <w:bCs/>
          <w:sz w:val="28"/>
          <w:szCs w:val="28"/>
        </w:rPr>
        <w:t xml:space="preserve">3. Parametrización del Tipo de Formación</w:t>
      </w:r>
    </w:p>
    <w:p>
      <w:pPr>
        <w:spacing w:after="80" w:before="80"/>
        <w:jc w:val="both"/>
      </w:pPr>
      <w:r>
        <w:rPr>
          <w:rFonts w:ascii="Arial" w:cs="Arial" w:eastAsia="Arial" w:hAnsi="Arial"/>
          <w:sz w:val="22"/>
          <w:szCs w:val="22"/>
        </w:rPr>
        <w:t xml:space="preserve">El campo Tipo de Formación existe en SOFIA Plus como parámetro obligatorio de registro de cada programa. Define el proceso de formación que se ejecuta y el tipo de certificado que el SENA emite al aprendiz al finalizar. Todos los tipos descritos a continuación están verificados desde el portal oficial SOFIA Plus y documentación institucional del SENA.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860"/>
        <w:gridCol w:w="3300"/>
      </w:tblGrid>
      <w:tr>
        <w:trPr>
          <w:tblHeader/>
        </w:trPr>
        <w:tc>
          <w:tcPr>
            <w:tcW w:type="dxa" w:w="21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Tipo de Formación</w:t>
            </w:r>
          </w:p>
        </w:tc>
        <w:tc>
          <w:tcPr>
            <w:tcW w:type="dxa" w:w="21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Certificado que emite</w:t>
            </w:r>
          </w:p>
        </w:tc>
        <w:tc>
          <w:tcPr>
            <w:tcW w:type="dxa" w:w="18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Duración</w:t>
            </w:r>
          </w:p>
        </w:tc>
        <w:tc>
          <w:tcPr>
            <w:tcW w:type="dxa" w:w="33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Observación</w:t>
            </w:r>
          </w:p>
        </w:tc>
      </w:tr>
      <w:tr>
        <w:tc>
          <w:tcPr>
            <w:tcW w:type="dxa" w:w="21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Titulada</w:t>
            </w:r>
          </w:p>
        </w:tc>
        <w:tc>
          <w:tcPr>
            <w:tcW w:type="dxa" w:w="21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Título oficial SENA</w:t>
            </w:r>
          </w:p>
        </w:tc>
        <w:tc>
          <w:tcPr>
            <w:tcW w:type="dxa" w:w="18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Variable según nivel</w:t>
            </w:r>
          </w:p>
        </w:tc>
        <w:tc>
          <w:tcPr>
            <w:tcW w:type="dxa" w:w="3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Operario, Auxiliar, Técnico, Tecnólogo, Especialización Tecnológica. Diseño curricular fijo aprobado por el MEN.</w:t>
            </w:r>
          </w:p>
        </w:tc>
      </w:tr>
      <w:tr>
        <w:tc>
          <w:tcPr>
            <w:tcW w:type="dxa" w:w="21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Complementaria</w:t>
            </w:r>
          </w:p>
        </w:tc>
        <w:tc>
          <w:tcPr>
            <w:tcW w:type="dxa" w:w="21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Certificado de Aprobación</w:t>
            </w:r>
          </w:p>
        </w:tc>
        <w:tc>
          <w:tcPr>
            <w:tcW w:type="dxa" w:w="18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Presencial: hasta 200h / Virtual: 40–80h</w:t>
            </w:r>
          </w:p>
        </w:tc>
        <w:tc>
          <w:tcPr>
            <w:tcW w:type="dxa" w:w="33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Puede ser A la medida o No a la medida. Se oferta en Zajuna/AVA para modalidad virtual.</w:t>
            </w:r>
          </w:p>
        </w:tc>
      </w:tr>
      <w:tr>
        <w:tc>
          <w:tcPr>
            <w:tcW w:type="dxa" w:w="21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Evento de Divulgación Tecnológica (EDT)</w:t>
            </w:r>
          </w:p>
        </w:tc>
        <w:tc>
          <w:tcPr>
            <w:tcW w:type="dxa" w:w="21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Constancia de Participación</w:t>
            </w:r>
          </w:p>
        </w:tc>
        <w:tc>
          <w:tcPr>
            <w:tcW w:type="dxa" w:w="18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Corta duración</w:t>
            </w:r>
          </w:p>
        </w:tc>
        <w:tc>
          <w:tcPr>
            <w:tcW w:type="dxa" w:w="33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Jornadas, seminarios, eventos informativos. No genera título ni certificado de aprobación.</w:t>
            </w:r>
          </w:p>
        </w:tc>
      </w:tr>
      <w:tr>
        <w:tc>
          <w:tcPr>
            <w:tcW w:type="dxa" w:w="21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Certificación por Competencia Laboral</w:t>
            </w:r>
          </w:p>
        </w:tc>
        <w:tc>
          <w:tcPr>
            <w:tcW w:type="dxa" w:w="21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Certificado de Competencia</w:t>
            </w:r>
          </w:p>
        </w:tc>
        <w:tc>
          <w:tcPr>
            <w:tcW w:type="dxa" w:w="18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Sin proceso lectivo</w:t>
            </w:r>
          </w:p>
        </w:tc>
        <w:tc>
          <w:tcPr>
            <w:tcW w:type="dxa" w:w="33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Evalúa saberes previos sin importar dónde o cómo fueron adquiridos. Gratuito y voluntario.</w:t>
            </w:r>
          </w:p>
        </w:tc>
      </w:tr>
    </w:tbl>
    <w:p>
      <w:pPr>
        <w:pStyle w:val="Heading1"/>
        <w:spacing w:after="120" w:before="240"/>
      </w:pPr>
      <w:r>
        <w:rPr>
          <w:rFonts w:ascii="Arial" w:cs="Arial" w:eastAsia="Arial" w:hAnsi="Arial"/>
          <w:b/>
          <w:bCs/>
          <w:sz w:val="28"/>
          <w:szCs w:val="28"/>
        </w:rPr>
        <w:t xml:space="preserve">4. A la Medida vs. No a la Medida</w:t>
      </w:r>
    </w:p>
    <w:p>
      <w:pPr>
        <w:spacing w:after="80" w:before="80"/>
        <w:jc w:val="both"/>
      </w:pPr>
      <w:r>
        <w:rPr>
          <w:rFonts w:ascii="Arial" w:cs="Arial" w:eastAsia="Arial" w:hAnsi="Arial"/>
          <w:sz w:val="22"/>
          <w:szCs w:val="22"/>
        </w:rPr>
        <w:t xml:space="preserve">El campo A la medida es un campo booleano confirmado en el portal SOFIA Plus. Determina si el programa de formación fue diseñado específicamente para responder a las necesidades de una empresa o sector productivo particular, o si corresponde al catálogo estándar de oferta del SENA.</w:t>
      </w:r>
    </w:p>
    <w:p>
      <w:pPr>
        <w:spacing w:after="80" w:before="80"/>
      </w:pPr>
      <w:r>
        <w:t xml:space="preserve"/>
      </w:r>
    </w:p>
    <w:p>
      <w:pPr>
        <w:spacing w:after="80" w:before="80"/>
        <w:jc w:val="both"/>
      </w:pPr>
      <w:r>
        <w:rPr>
          <w:rFonts w:ascii="Arial" w:cs="Arial" w:eastAsia="Arial" w:hAnsi="Arial"/>
          <w:b/>
          <w:bCs/>
          <w:sz w:val="22"/>
          <w:szCs w:val="22"/>
        </w:rPr>
        <w:t xml:space="preserve">Definición oficial verificada desde SOFIA Plus: </w:t>
      </w:r>
      <w:r>
        <w:rPr>
          <w:rFonts w:ascii="Arial" w:cs="Arial" w:eastAsia="Arial" w:hAnsi="Arial"/>
          <w:b w:val="false"/>
          <w:bCs w:val="false"/>
          <w:sz w:val="22"/>
          <w:szCs w:val="22"/>
        </w:rPr>
        <w:t xml:space="preserve">Un programa de formación A la medida es aquel que responde a las necesidades del sector productivo atendiendo a criterios y requerimientos particulares del mismo.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Criterio</w:t>
            </w:r>
          </w:p>
        </w:tc>
        <w:tc>
          <w:tcPr>
            <w:tcW w:type="dxa" w:w="3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A la Medida</w:t>
            </w:r>
          </w:p>
        </w:tc>
        <w:tc>
          <w:tcPr>
            <w:tcW w:type="dxa" w:w="3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No a la Medida</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Definición</w:t>
            </w:r>
          </w:p>
        </w:tc>
        <w:tc>
          <w:tcPr>
            <w:tcW w:type="dxa" w:w="3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Diseñado para necesidades específicas de una empresa o sector productivo particular.</w:t>
            </w:r>
          </w:p>
        </w:tc>
        <w:tc>
          <w:tcPr>
            <w:tcW w:type="dxa" w:w="3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Programa estándar del catálogo oficial SENA, disponible para cualquier aprendiz.</w:t>
            </w:r>
          </w:p>
        </w:tc>
      </w:tr>
      <w:tr>
        <w:tc>
          <w:tcPr>
            <w:tcW w:type="dxa" w:w="21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Diseño curricular</w:t>
            </w:r>
          </w:p>
        </w:tc>
        <w:tc>
          <w:tcPr>
            <w:tcW w:type="dxa" w:w="36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Adaptado al requerimiento del contratante. Puede modificar horas y contenidos dentro de lo permitido.</w:t>
            </w:r>
          </w:p>
        </w:tc>
        <w:tc>
          <w:tcPr>
            <w:tcW w:type="dxa" w:w="36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Fijo según normativa del Ministerio de Educación Nacional. No se puede modificar.</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Tipo de formación</w:t>
            </w:r>
          </w:p>
        </w:tc>
        <w:tc>
          <w:tcPr>
            <w:tcW w:type="dxa" w:w="3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Solo aplica para Formación Complementaria.</w:t>
            </w:r>
          </w:p>
        </w:tc>
        <w:tc>
          <w:tcPr>
            <w:tcW w:type="dxa" w:w="3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Aplica para Formación Titulada y Complementaria estándar.</w:t>
            </w:r>
          </w:p>
        </w:tc>
      </w:tr>
      <w:tr>
        <w:tc>
          <w:tcPr>
            <w:tcW w:type="dxa" w:w="21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Certificado</w:t>
            </w:r>
          </w:p>
        </w:tc>
        <w:tc>
          <w:tcPr>
            <w:tcW w:type="dxa" w:w="36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Certificado de Aprobación con posible mención de la empresa contratante.</w:t>
            </w:r>
          </w:p>
        </w:tc>
        <w:tc>
          <w:tcPr>
            <w:tcW w:type="dxa" w:w="36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Certificado estándar SENA sin mención especial.</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En el modelo de datos</w:t>
            </w:r>
          </w:p>
        </w:tc>
        <w:tc>
          <w:tcPr>
            <w:tcW w:type="dxa" w:w="3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Campo a_la_medida: true en programa_formacion.</w:t>
            </w:r>
          </w:p>
        </w:tc>
        <w:tc>
          <w:tcPr>
            <w:tcW w:type="dxa" w:w="3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Campo a_la_medida: false en programa_formacion (valor por defecto).</w:t>
            </w:r>
          </w:p>
        </w:tc>
      </w:tr>
      <w:tr>
        <w:tc>
          <w:tcPr>
            <w:tcW w:type="dxa" w:w="21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Restricción técnica</w:t>
            </w:r>
          </w:p>
        </w:tc>
        <w:tc>
          <w:tcPr>
            <w:tcW w:type="dxa" w:w="36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Solo puede ser Complementaria. La formación Titulada no puede ser A la medida.</w:t>
            </w:r>
          </w:p>
        </w:tc>
        <w:tc>
          <w:tcPr>
            <w:tcW w:type="dxa" w:w="36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Sin restricción adicional de tipo.</w:t>
            </w:r>
          </w:p>
        </w:tc>
      </w:tr>
    </w:tbl>
    <w:p>
      <w:pPr>
        <w:pStyle w:val="Heading1"/>
        <w:spacing w:after="120" w:before="240"/>
      </w:pPr>
      <w:r>
        <w:rPr>
          <w:rFonts w:ascii="Arial" w:cs="Arial" w:eastAsia="Arial" w:hAnsi="Arial"/>
          <w:b/>
          <w:bCs/>
          <w:sz w:val="28"/>
          <w:szCs w:val="28"/>
        </w:rPr>
        <w:t xml:space="preserve">5. Diseño Curricular — Competencias y RAP</w:t>
      </w:r>
    </w:p>
    <w:p>
      <w:pPr>
        <w:pStyle w:val="Heading2"/>
        <w:spacing w:after="100" w:before="200"/>
      </w:pPr>
      <w:r>
        <w:rPr>
          <w:rFonts w:ascii="Arial" w:cs="Arial" w:eastAsia="Arial" w:hAnsi="Arial"/>
          <w:b/>
          <w:bCs/>
          <w:sz w:val="24"/>
          <w:szCs w:val="24"/>
        </w:rPr>
        <w:t xml:space="preserve">5.1 Tipos de Competencias</w:t>
      </w:r>
    </w:p>
    <w:p>
      <w:pPr>
        <w:spacing w:after="80" w:before="80"/>
        <w:jc w:val="both"/>
      </w:pPr>
      <w:r>
        <w:rPr>
          <w:rFonts w:ascii="Arial" w:cs="Arial" w:eastAsia="Arial" w:hAnsi="Arial"/>
          <w:sz w:val="22"/>
          <w:szCs w:val="22"/>
        </w:rPr>
        <w:t xml:space="preserve">Cada programa de formación tiene competencias clasificadas en tres tipos según su naturaleza y aplicabilidad. La clasificación está verificada desde la documentación oficial del SENA sobre diseño curricular.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3060"/>
        <w:gridCol w:w="3060"/>
      </w:tblGrid>
      <w:tr>
        <w:trPr>
          <w:tblHeader/>
        </w:trPr>
        <w:tc>
          <w:tcPr>
            <w:tcW w:type="dxa" w:w="1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Tipo</w:t>
            </w:r>
          </w:p>
        </w:tc>
        <w:tc>
          <w:tcPr>
            <w:tcW w:type="dxa" w:w="144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Código</w:t>
            </w:r>
          </w:p>
        </w:tc>
        <w:tc>
          <w:tcPr>
            <w:tcW w:type="dxa" w:w="30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Descripción</w:t>
            </w:r>
          </w:p>
        </w:tc>
        <w:tc>
          <w:tcPr>
            <w:tcW w:type="dxa" w:w="30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Ejemplo</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Específica (CE)</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CE-XXXX</w:t>
            </w:r>
          </w:p>
        </w:tc>
        <w:tc>
          <w:tcPr>
            <w:tcW w:type="dxa" w:w="30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Derivada de Normas de Competencia Laboral. Técnica, medible y directamente relacionada con el perfil de egreso del programa.</w:t>
            </w:r>
          </w:p>
        </w:tc>
        <w:tc>
          <w:tcPr>
            <w:tcW w:type="dxa" w:w="30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Construir software, Gestionar bases de datos, Analizar y consolidar la información.</w:t>
            </w:r>
          </w:p>
        </w:tc>
      </w:tr>
      <w:tr>
        <w:tc>
          <w:tcPr>
            <w:tcW w:type="dxa" w:w="18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Transversal (CT)</w:t>
            </w:r>
          </w:p>
        </w:tc>
        <w:tc>
          <w:tcPr>
            <w:tcW w:type="dxa" w:w="144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CT-XXXX</w:t>
            </w:r>
          </w:p>
        </w:tc>
        <w:tc>
          <w:tcPr>
            <w:tcW w:type="dxa" w:w="30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Aplica a todos los programas independientemente del área técnica. Incluye bilingüismo, SST y medio ambiente.</w:t>
            </w:r>
          </w:p>
        </w:tc>
        <w:tc>
          <w:tcPr>
            <w:tcW w:type="dxa" w:w="30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Comunicar en inglés técnico, Aplicar normas de seguridad y salud en el trabajo.</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Básica (CB)</w:t>
            </w:r>
          </w:p>
        </w:tc>
        <w:tc>
          <w:tcPr>
            <w:tcW w:type="dxa" w:w="144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CB-XXXX</w:t>
            </w:r>
          </w:p>
        </w:tc>
        <w:tc>
          <w:tcPr>
            <w:tcW w:type="dxa" w:w="30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Competencias de base para cualquier proceso formativo. Incluye ética, comunicación y matemáticas aplicadas.</w:t>
            </w:r>
          </w:p>
        </w:tc>
        <w:tc>
          <w:tcPr>
            <w:tcW w:type="dxa" w:w="30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Resolver problemas matemáticos aplicados, Comunicarse oralmente y por escrito.</w:t>
            </w:r>
          </w:p>
        </w:tc>
      </w:tr>
    </w:tbl>
    <w:p>
      <w:pPr>
        <w:spacing w:after="80" w:before="80"/>
      </w:pPr>
      <w:r>
        <w:t xml:space="preserve"/>
      </w:r>
    </w:p>
    <w:p>
      <w:pPr>
        <w:spacing w:after="80" w:before="80"/>
        <w:jc w:val="both"/>
      </w:pPr>
      <w:r>
        <w:rPr>
          <w:rFonts w:ascii="Arial" w:cs="Arial" w:eastAsia="Arial" w:hAnsi="Arial"/>
          <w:sz w:val="22"/>
          <w:szCs w:val="22"/>
        </w:rPr>
        <w:t xml:space="preserve">Regla de negocio crítica: Un instructor está habilitado para orientar una competencia completa (todos sus RAPs), no para un RAP individual. La colección instructor_competencia en el modelo vincula instructor + competencia + programa. Esto significa que si un instructor está habilitado para la competencia Construir software, puede orientar todos sus RAPs, incluyendo Construir servicio de ML.</w:t>
      </w:r>
    </w:p>
    <w:p>
      <w:pPr>
        <w:spacing w:after="80" w:before="80"/>
      </w:pPr>
      <w:r>
        <w:t xml:space="preserve"/>
      </w:r>
    </w:p>
    <w:p>
      <w:pPr>
        <w:pStyle w:val="Heading2"/>
        <w:spacing w:after="100" w:before="200"/>
      </w:pPr>
      <w:r>
        <w:rPr>
          <w:rFonts w:ascii="Arial" w:cs="Arial" w:eastAsia="Arial" w:hAnsi="Arial"/>
          <w:b/>
          <w:bCs/>
          <w:sz w:val="24"/>
          <w:szCs w:val="24"/>
        </w:rPr>
        <w:t xml:space="preserve">5.2 Resultados de Aprendizaje (RAP)</w:t>
      </w:r>
    </w:p>
    <w:p>
      <w:pPr>
        <w:spacing w:after="80" w:before="80"/>
        <w:jc w:val="both"/>
      </w:pPr>
      <w:r>
        <w:rPr>
          <w:rFonts w:ascii="Arial" w:cs="Arial" w:eastAsia="Arial" w:hAnsi="Arial"/>
          <w:sz w:val="22"/>
          <w:szCs w:val="22"/>
        </w:rPr>
        <w:t xml:space="preserve">Un RAP no es una clase ni un tema de clase. Es un resultado medible que el aprendiz debe demostrar al finalizar el proceso de formación de una competencia. Se escribe siempre con verbo en infinitivo más objeto verificable.</w:t>
      </w:r>
    </w:p>
    <w:p>
      <w:pPr>
        <w:spacing w:after="80" w:before="80"/>
      </w:pPr>
      <w:r>
        <w:t xml:space="preserve"/>
      </w:r>
    </w:p>
    <w:p>
      <w:pPr>
        <w:spacing w:after="80" w:before="80"/>
        <w:jc w:val="both"/>
      </w:pPr>
      <w:r>
        <w:rPr>
          <w:rFonts w:ascii="Arial" w:cs="Arial" w:eastAsia="Arial" w:hAnsi="Arial"/>
          <w:b/>
          <w:bCs/>
          <w:sz w:val="22"/>
          <w:szCs w:val="22"/>
        </w:rPr>
        <w:t xml:space="preserve">Ejemplo real del instructor: </w:t>
      </w:r>
      <w:r>
        <w:rPr>
          <w:rFonts w:ascii="Arial" w:cs="Arial" w:eastAsia="Arial" w:hAnsi="Arial"/>
          <w:b w:val="false"/>
          <w:bCs w:val="false"/>
          <w:sz w:val="22"/>
          <w:szCs w:val="22"/>
        </w:rPr>
        <w:t xml:space="preserve">RAP 1: Construir servicios de ML según requerimientos del cliente — RAP 2: Integrar APIs externas al sistema — RAP 3: Documentar el desarrollo según estándares técnicos establecidos.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80"/>
        <w:gridCol w:w="2160"/>
        <w:gridCol w:w="2220"/>
      </w:tblGrid>
      <w:tr>
        <w:trPr>
          <w:tblHeader/>
        </w:trPr>
        <w:tc>
          <w:tcPr>
            <w:tcW w:type="dxa" w:w="1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Tipo de RAP</w:t>
            </w:r>
          </w:p>
        </w:tc>
        <w:tc>
          <w:tcPr>
            <w:tcW w:type="dxa" w:w="31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Descripción</w:t>
            </w:r>
          </w:p>
        </w:tc>
        <w:tc>
          <w:tcPr>
            <w:tcW w:type="dxa" w:w="21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Evaluación</w:t>
            </w:r>
          </w:p>
        </w:tc>
        <w:tc>
          <w:tcPr>
            <w:tcW w:type="dxa" w:w="222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Competencia relacionada</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RAE — Específico</w:t>
            </w:r>
          </w:p>
        </w:tc>
        <w:tc>
          <w:tcPr>
            <w:tcW w:type="dxa" w:w="31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Resultado medible de una competencia técnica específica del programa. Es el más frecuente en diseños curriculares de formación titulada.</w:t>
            </w:r>
          </w:p>
        </w:tc>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Evidencias de desempeño y producto. En virtualidad se evalúa digitalmente en el LMS.</w:t>
            </w:r>
          </w:p>
        </w:tc>
        <w:tc>
          <w:tcPr>
            <w:tcW w:type="dxa" w:w="222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Específica (CE)</w:t>
            </w:r>
          </w:p>
        </w:tc>
      </w:tr>
      <w:tr>
        <w:tc>
          <w:tcPr>
            <w:tcW w:type="dxa" w:w="18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RAT — Transversal</w:t>
            </w:r>
          </w:p>
        </w:tc>
        <w:tc>
          <w:tcPr>
            <w:tcW w:type="dxa" w:w="31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Resultado de una competencia transversal aplicada al contexto del programa.</w:t>
            </w:r>
          </w:p>
        </w:tc>
        <w:tc>
          <w:tcPr>
            <w:tcW w:type="dxa" w:w="21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Evidencias de conocimiento integradas en actividades del programa.</w:t>
            </w:r>
          </w:p>
        </w:tc>
        <w:tc>
          <w:tcPr>
            <w:tcW w:type="dxa" w:w="222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Transversal (CT)</w:t>
            </w:r>
          </w:p>
        </w:tc>
      </w:tr>
      <w:tr>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RAB — Básico</w:t>
            </w:r>
          </w:p>
        </w:tc>
        <w:tc>
          <w:tcPr>
            <w:tcW w:type="dxa" w:w="31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Resultado de competencia básica demostrable en el contexto de cualquier programa.</w:t>
            </w:r>
          </w:p>
        </w:tc>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Evidencias de conocimiento verificadas por el instructor.</w:t>
            </w:r>
          </w:p>
        </w:tc>
        <w:tc>
          <w:tcPr>
            <w:tcW w:type="dxa" w:w="222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Básica (CB)</w:t>
            </w:r>
          </w:p>
        </w:tc>
      </w:tr>
    </w:tbl>
    <w:p>
      <w:pPr>
        <w:pStyle w:val="Heading1"/>
        <w:spacing w:after="120" w:before="240"/>
      </w:pPr>
      <w:r>
        <w:rPr>
          <w:rFonts w:ascii="Arial" w:cs="Arial" w:eastAsia="Arial" w:hAnsi="Arial"/>
          <w:b/>
          <w:bCs/>
          <w:sz w:val="28"/>
          <w:szCs w:val="28"/>
        </w:rPr>
        <w:t xml:space="preserve">6. Reglas de Negocio del Módulo</w:t>
      </w:r>
    </w:p>
    <w:p>
      <w:pPr>
        <w:spacing w:after="80" w:before="80"/>
        <w:jc w:val="both"/>
      </w:pPr>
      <w:r>
        <w:rPr>
          <w:rFonts w:ascii="Arial" w:cs="Arial" w:eastAsia="Arial" w:hAnsi="Arial"/>
          <w:sz w:val="22"/>
          <w:szCs w:val="22"/>
        </w:rPr>
        <w:t xml:space="preserve">Las siguientes reglas de negocio fueron identificadas y verificadas desde las fuentes indicadas en cada caso. Son las restricciones que el sistema debe respetar al operar sobre los datos de este módulo.</w:t>
      </w:r>
    </w:p>
    <w:p>
      <w:pPr>
        <w:spacing w:after="80" w:before="80"/>
      </w:pPr>
      <w:r>
        <w:t xml:space="preserve"/>
      </w:r>
    </w:p>
    <w:p>
      <w:pPr>
        <w:pStyle w:val="Heading2"/>
        <w:spacing w:after="100" w:before="200"/>
      </w:pPr>
      <w:r>
        <w:rPr>
          <w:rFonts w:ascii="Arial" w:cs="Arial" w:eastAsia="Arial" w:hAnsi="Arial"/>
          <w:b/>
          <w:bCs/>
          <w:sz w:val="24"/>
          <w:szCs w:val="24"/>
        </w:rPr>
        <w:t xml:space="preserve">Regla 1 — Habilitación por Competencia, no por RAP</w:t>
      </w:r>
    </w:p>
    <w:p>
      <w:pPr>
        <w:spacing w:after="80" w:before="80"/>
        <w:jc w:val="both"/>
      </w:pPr>
      <w:r>
        <w:rPr>
          <w:rFonts w:ascii="Arial" w:cs="Arial" w:eastAsia="Arial" w:hAnsi="Arial"/>
          <w:b/>
          <w:bCs/>
          <w:sz w:val="22"/>
          <w:szCs w:val="22"/>
        </w:rPr>
        <w:t xml:space="preserve">Fuente: </w:t>
      </w:r>
      <w:r>
        <w:rPr>
          <w:rFonts w:ascii="Arial" w:cs="Arial" w:eastAsia="Arial" w:hAnsi="Arial"/>
          <w:b w:val="false"/>
          <w:bCs w:val="false"/>
          <w:sz w:val="22"/>
          <w:szCs w:val="22"/>
        </w:rPr>
        <w:t xml:space="preserve">Requisito directo del instructor en clase.</w:t>
      </w:r>
    </w:p>
    <w:p>
      <w:pPr>
        <w:spacing w:after="80" w:before="80"/>
        <w:jc w:val="both"/>
      </w:pPr>
      <w:r>
        <w:rPr>
          <w:rFonts w:ascii="Arial" w:cs="Arial" w:eastAsia="Arial" w:hAnsi="Arial"/>
          <w:sz w:val="22"/>
          <w:szCs w:val="22"/>
        </w:rPr>
        <w:t xml:space="preserve">Un instructor está habilitado para orientar una competencia completa, lo que implica que puede orientar todos los RAPs que la componen. La habilitación no se otorga por RAP individual. En el modelo de datos, la colección instructor_competencia almacena la combinación instructor + competencia + programa, no instructor + RAP.</w:t>
      </w:r>
    </w:p>
    <w:p>
      <w:pPr>
        <w:spacing w:after="80" w:before="80"/>
      </w:pPr>
      <w:r>
        <w:t xml:space="preserve"/>
      </w:r>
    </w:p>
    <w:p>
      <w:pPr>
        <w:pStyle w:val="Heading2"/>
        <w:spacing w:after="100" w:before="200"/>
      </w:pPr>
      <w:r>
        <w:rPr>
          <w:rFonts w:ascii="Arial" w:cs="Arial" w:eastAsia="Arial" w:hAnsi="Arial"/>
          <w:b/>
          <w:bCs/>
          <w:sz w:val="24"/>
          <w:szCs w:val="24"/>
        </w:rPr>
        <w:t xml:space="preserve">Regla 2 — Un programa Titulado no puede ser A la medida</w:t>
      </w:r>
    </w:p>
    <w:p>
      <w:pPr>
        <w:spacing w:after="80" w:before="80"/>
        <w:jc w:val="both"/>
      </w:pPr>
      <w:r>
        <w:rPr>
          <w:rFonts w:ascii="Arial" w:cs="Arial" w:eastAsia="Arial" w:hAnsi="Arial"/>
          <w:b/>
          <w:bCs/>
          <w:sz w:val="22"/>
          <w:szCs w:val="22"/>
        </w:rPr>
        <w:t xml:space="preserve">Fuente: </w:t>
      </w:r>
      <w:r>
        <w:rPr>
          <w:rFonts w:ascii="Arial" w:cs="Arial" w:eastAsia="Arial" w:hAnsi="Arial"/>
          <w:b w:val="false"/>
          <w:bCs w:val="false"/>
          <w:sz w:val="22"/>
          <w:szCs w:val="22"/>
        </w:rPr>
        <w:t xml:space="preserve">Portal oficial SOFIA Plus y documentación institucional SENA.</w:t>
      </w:r>
    </w:p>
    <w:p>
      <w:pPr>
        <w:spacing w:after="80" w:before="80"/>
        <w:jc w:val="both"/>
      </w:pPr>
      <w:r>
        <w:rPr>
          <w:rFonts w:ascii="Arial" w:cs="Arial" w:eastAsia="Arial" w:hAnsi="Arial"/>
          <w:sz w:val="22"/>
          <w:szCs w:val="22"/>
        </w:rPr>
        <w:t xml:space="preserve">La formación Titulada tiene un diseño curricular fijo aprobado por el Ministerio de Educación Nacional. Por definición, no puede ser adaptado a medida de una empresa. Solo la formación Complementaria admite el campo a_la_medida = true. El sistema debe validar esta regla al registrar un nuevo programa de formación.</w:t>
      </w:r>
    </w:p>
    <w:p>
      <w:pPr>
        <w:spacing w:after="80" w:before="80"/>
      </w:pPr>
      <w:r>
        <w:t xml:space="preserve"/>
      </w:r>
    </w:p>
    <w:p>
      <w:pPr>
        <w:pStyle w:val="Heading2"/>
        <w:spacing w:after="100" w:before="200"/>
      </w:pPr>
      <w:r>
        <w:rPr>
          <w:rFonts w:ascii="Arial" w:cs="Arial" w:eastAsia="Arial" w:hAnsi="Arial"/>
          <w:b/>
          <w:bCs/>
          <w:sz w:val="24"/>
          <w:szCs w:val="24"/>
        </w:rPr>
        <w:t xml:space="preserve">Regla 3 — Permanencia mínima para traslados</w:t>
      </w:r>
    </w:p>
    <w:p>
      <w:pPr>
        <w:spacing w:after="80" w:before="80"/>
        <w:jc w:val="both"/>
      </w:pPr>
      <w:r>
        <w:rPr>
          <w:rFonts w:ascii="Arial" w:cs="Arial" w:eastAsia="Arial" w:hAnsi="Arial"/>
          <w:b/>
          <w:bCs/>
          <w:sz w:val="22"/>
          <w:szCs w:val="22"/>
        </w:rPr>
        <w:t xml:space="preserve">Fuente: </w:t>
      </w:r>
      <w:r>
        <w:rPr>
          <w:rFonts w:ascii="Arial" w:cs="Arial" w:eastAsia="Arial" w:hAnsi="Arial"/>
          <w:b w:val="false"/>
          <w:bCs w:val="false"/>
          <w:sz w:val="22"/>
          <w:szCs w:val="22"/>
        </w:rPr>
        <w:t xml:space="preserve">Informe de programación titulada del instructor.</w:t>
      </w:r>
    </w:p>
    <w:p>
      <w:pPr>
        <w:spacing w:after="80" w:before="80"/>
        <w:jc w:val="both"/>
      </w:pPr>
      <w:r>
        <w:rPr>
          <w:rFonts w:ascii="Arial" w:cs="Arial" w:eastAsia="Arial" w:hAnsi="Arial"/>
          <w:sz w:val="22"/>
          <w:szCs w:val="22"/>
        </w:rPr>
        <w:t xml:space="preserve">Para que un aprendiz pueda solicitar un traslado (cambio de jornada, de centro o de programa dentro de la misma red o línea de conocimiento), debe haber completado al menos el primer trimestre de formación en la ficha actual. La autorización del traslado también está condicionada a que existan cupos disponibles en el destino y a que el aprendiz esté a paz y salvo con su centro de formación.</w:t>
      </w:r>
    </w:p>
    <w:p>
      <w:pPr>
        <w:spacing w:after="80" w:before="80"/>
      </w:pPr>
      <w:r>
        <w:t xml:space="preserve"/>
      </w:r>
    </w:p>
    <w:p>
      <w:pPr>
        <w:pStyle w:val="Heading2"/>
        <w:spacing w:after="100" w:before="200"/>
      </w:pPr>
      <w:r>
        <w:rPr>
          <w:rFonts w:ascii="Arial" w:cs="Arial" w:eastAsia="Arial" w:hAnsi="Arial"/>
          <w:b/>
          <w:bCs/>
          <w:sz w:val="24"/>
          <w:szCs w:val="24"/>
        </w:rPr>
        <w:t xml:space="preserve">Regla 4 — Traslados no aplican a formación complementaria virtual</w:t>
      </w:r>
    </w:p>
    <w:p>
      <w:pPr>
        <w:spacing w:after="80" w:before="80"/>
        <w:jc w:val="both"/>
      </w:pPr>
      <w:r>
        <w:rPr>
          <w:rFonts w:ascii="Arial" w:cs="Arial" w:eastAsia="Arial" w:hAnsi="Arial"/>
          <w:b/>
          <w:bCs/>
          <w:sz w:val="22"/>
          <w:szCs w:val="22"/>
        </w:rPr>
        <w:t xml:space="preserve">Fuente: </w:t>
      </w:r>
      <w:r>
        <w:rPr>
          <w:rFonts w:ascii="Arial" w:cs="Arial" w:eastAsia="Arial" w:hAnsi="Arial"/>
          <w:b w:val="false"/>
          <w:bCs w:val="false"/>
          <w:sz w:val="22"/>
          <w:szCs w:val="22"/>
        </w:rPr>
        <w:t xml:space="preserve">Informe de programación titulada del instructor.</w:t>
      </w:r>
    </w:p>
    <w:p>
      <w:pPr>
        <w:spacing w:after="80" w:before="80"/>
        <w:jc w:val="both"/>
      </w:pPr>
      <w:r>
        <w:rPr>
          <w:rFonts w:ascii="Arial" w:cs="Arial" w:eastAsia="Arial" w:hAnsi="Arial"/>
          <w:sz w:val="22"/>
          <w:szCs w:val="22"/>
        </w:rPr>
        <w:t xml:space="preserve">El trámite de traslado no es aplicable a programas de formación complementaria en modalidad 100% virtual. Esto se debe a que la formación complementaria virtual opera con inscripciones continuas y aprendizaje autónomo masivo, sin grupos fijos ni fichas con jornada asignada. No existe un grupo al cual trasladarse ni un horario que deba coordinarse con otros aprendices.</w:t>
      </w:r>
    </w:p>
    <w:p>
      <w:pPr>
        <w:spacing w:after="80" w:before="80"/>
      </w:pPr>
      <w:r>
        <w:t xml:space="preserve"/>
      </w:r>
    </w:p>
    <w:p>
      <w:pPr>
        <w:pStyle w:val="Heading2"/>
        <w:spacing w:after="100" w:before="200"/>
      </w:pPr>
      <w:r>
        <w:rPr>
          <w:rFonts w:ascii="Arial" w:cs="Arial" w:eastAsia="Arial" w:hAnsi="Arial"/>
          <w:b/>
          <w:bCs/>
          <w:sz w:val="24"/>
          <w:szCs w:val="24"/>
        </w:rPr>
        <w:t xml:space="preserve">Regla 5 — Modalidad virtual y diseño curricular</w:t>
      </w:r>
    </w:p>
    <w:p>
      <w:pPr>
        <w:spacing w:after="80" w:before="80"/>
        <w:jc w:val="both"/>
      </w:pPr>
      <w:r>
        <w:rPr>
          <w:rFonts w:ascii="Arial" w:cs="Arial" w:eastAsia="Arial" w:hAnsi="Arial"/>
          <w:b/>
          <w:bCs/>
          <w:sz w:val="22"/>
          <w:szCs w:val="22"/>
        </w:rPr>
        <w:t xml:space="preserve">Fuente: </w:t>
      </w:r>
      <w:r>
        <w:rPr>
          <w:rFonts w:ascii="Arial" w:cs="Arial" w:eastAsia="Arial" w:hAnsi="Arial"/>
          <w:b w:val="false"/>
          <w:bCs w:val="false"/>
          <w:sz w:val="22"/>
          <w:szCs w:val="22"/>
        </w:rPr>
        <w:t xml:space="preserve">Documentación LMS Zajuna/AVA del SENA.</w:t>
      </w:r>
    </w:p>
    <w:p>
      <w:pPr>
        <w:spacing w:after="80" w:before="80"/>
        <w:jc w:val="both"/>
      </w:pPr>
      <w:r>
        <w:rPr>
          <w:rFonts w:ascii="Arial" w:cs="Arial" w:eastAsia="Arial" w:hAnsi="Arial"/>
          <w:sz w:val="22"/>
          <w:szCs w:val="22"/>
        </w:rPr>
        <w:t xml:space="preserve">En modalidad virtual, al construir la Ruta de Aprendizaje en el LMS (plataforma Zajuna o AVA), cada actividad de aprendizaje debe tener especificada explícitamente la modalidad como Virtual. Las evidencias del aprendiz (de conocimiento, de desempeño y de producto) se cargan y evalúan digitalmente a través del centro de control del instructor en el LMS. No se requiere ambiente físico para esta modalidad.</w:t>
      </w:r>
    </w:p>
    <w:p>
      <w:pPr>
        <w:spacing w:after="80" w:before="80"/>
      </w:pPr>
      <w:r>
        <w:t xml:space="preserve"/>
      </w:r>
    </w:p>
    <w:p>
      <w:pPr>
        <w:pStyle w:val="Heading2"/>
        <w:spacing w:after="100" w:before="200"/>
      </w:pPr>
      <w:r>
        <w:rPr>
          <w:rFonts w:ascii="Arial" w:cs="Arial" w:eastAsia="Arial" w:hAnsi="Arial"/>
          <w:b/>
          <w:bCs/>
          <w:sz w:val="24"/>
          <w:szCs w:val="24"/>
        </w:rPr>
        <w:t xml:space="preserve">Regla 6 — El programa determina las competencias válidas del bloque horario</w:t>
      </w:r>
    </w:p>
    <w:p>
      <w:pPr>
        <w:spacing w:after="80" w:before="80"/>
        <w:jc w:val="both"/>
      </w:pPr>
      <w:r>
        <w:rPr>
          <w:rFonts w:ascii="Arial" w:cs="Arial" w:eastAsia="Arial" w:hAnsi="Arial"/>
          <w:b/>
          <w:bCs/>
          <w:sz w:val="22"/>
          <w:szCs w:val="22"/>
        </w:rPr>
        <w:t xml:space="preserve">Fuente: </w:t>
      </w:r>
      <w:r>
        <w:rPr>
          <w:rFonts w:ascii="Arial" w:cs="Arial" w:eastAsia="Arial" w:hAnsi="Arial"/>
          <w:b w:val="false"/>
          <w:bCs w:val="false"/>
          <w:sz w:val="22"/>
          <w:szCs w:val="22"/>
        </w:rPr>
        <w:t xml:space="preserve">Problema 2 del audio de la reunión de levantamiento de requisitos.</w:t>
      </w:r>
    </w:p>
    <w:p>
      <w:pPr>
        <w:spacing w:after="80" w:before="80"/>
        <w:jc w:val="both"/>
      </w:pPr>
      <w:r>
        <w:rPr>
          <w:rFonts w:ascii="Arial" w:cs="Arial" w:eastAsia="Arial" w:hAnsi="Arial"/>
          <w:sz w:val="22"/>
          <w:szCs w:val="22"/>
        </w:rPr>
        <w:t xml:space="preserve">Cuando el motor de horarios va a crear un bloque horario, la competencia asignada a ese bloque debe pertenecer al programa de formación de la ficha. El motor verifica esta condición consultando la colección programa_competencia. Si la competencia no está en la malla del programa, el sistema rechaza la creación del bloque.</w:t>
      </w:r>
    </w:p>
    <w:p>
      <w:pPr>
        <w:spacing w:after="80" w:before="80"/>
      </w:pPr>
      <w:r>
        <w:t xml:space="preserve"/>
      </w:r>
    </w:p>
    <w:p>
      <w:pPr>
        <w:pStyle w:val="Heading2"/>
        <w:spacing w:after="100" w:before="200"/>
      </w:pPr>
      <w:r>
        <w:rPr>
          <w:rFonts w:ascii="Arial" w:cs="Arial" w:eastAsia="Arial" w:hAnsi="Arial"/>
          <w:b/>
          <w:bCs/>
          <w:sz w:val="24"/>
          <w:szCs w:val="24"/>
        </w:rPr>
        <w:t xml:space="preserve">Regla 7 — Los RAPs son únicos en el catálogo maestro</w:t>
      </w:r>
    </w:p>
    <w:p>
      <w:pPr>
        <w:spacing w:after="80" w:before="80"/>
        <w:jc w:val="both"/>
      </w:pPr>
      <w:r>
        <w:rPr>
          <w:rFonts w:ascii="Arial" w:cs="Arial" w:eastAsia="Arial" w:hAnsi="Arial"/>
          <w:b/>
          <w:bCs/>
          <w:sz w:val="22"/>
          <w:szCs w:val="22"/>
        </w:rPr>
        <w:t xml:space="preserve">Fuente: </w:t>
      </w:r>
      <w:r>
        <w:rPr>
          <w:rFonts w:ascii="Arial" w:cs="Arial" w:eastAsia="Arial" w:hAnsi="Arial"/>
          <w:b w:val="false"/>
          <w:bCs w:val="false"/>
          <w:sz w:val="22"/>
          <w:szCs w:val="22"/>
        </w:rPr>
        <w:t xml:space="preserve">Problema 3 del audio de la reunión de levantamiento de requisitos.</w:t>
      </w:r>
    </w:p>
    <w:p>
      <w:pPr>
        <w:spacing w:after="80" w:before="80"/>
        <w:jc w:val="both"/>
      </w:pPr>
      <w:r>
        <w:rPr>
          <w:rFonts w:ascii="Arial" w:cs="Arial" w:eastAsia="Arial" w:hAnsi="Arial"/>
          <w:sz w:val="22"/>
          <w:szCs w:val="22"/>
        </w:rPr>
        <w:t xml:space="preserve">Un resultado de aprendizaje como "Inglés 1" o "Construir servicios de ML" existe una sola vez en la colección resultado_aprendizaje. Los programas referencian ese catálogo maestro a través de la colección pivote programa_resultado. Ningún programa puede crear su propia copia de un RAP que ya existe en el catálogo. Esto elimina la duplicidad detectada en las versiones V6 a V9 del sistema.</w:t>
      </w:r>
    </w:p>
    <w:p>
      <w:pPr>
        <w:pStyle w:val="Heading1"/>
        <w:spacing w:after="120" w:before="240"/>
      </w:pPr>
      <w:r>
        <w:rPr>
          <w:rFonts w:ascii="Arial" w:cs="Arial" w:eastAsia="Arial" w:hAnsi="Arial"/>
          <w:b/>
          <w:bCs/>
          <w:sz w:val="28"/>
          <w:szCs w:val="28"/>
        </w:rPr>
        <w:t xml:space="preserve">7. Relación con Otros Módulos del Sistema</w:t>
      </w:r>
    </w:p>
    <w:p>
      <w:pPr>
        <w:spacing w:after="80" w:before="80"/>
        <w:jc w:val="both"/>
      </w:pPr>
      <w:r>
        <w:rPr>
          <w:rFonts w:ascii="Arial" w:cs="Arial" w:eastAsia="Arial" w:hAnsi="Arial"/>
          <w:sz w:val="22"/>
          <w:szCs w:val="22"/>
        </w:rPr>
        <w:t xml:space="preserve">El Módulo 5 es el núcleo académico del sistema. Todos los módulos que tienen que ver con la operación de horarios dependen directa o indirectamente de la información que gestiona este módulo.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Módulo</w:t>
            </w:r>
          </w:p>
        </w:tc>
        <w:tc>
          <w:tcPr>
            <w:tcW w:type="dxa" w:w="64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Cómo depende del Módulo 5</w:t>
            </w:r>
          </w:p>
        </w:tc>
      </w:tr>
      <w:tr>
        <w:tc>
          <w:tcPr>
            <w:tcW w:type="dxa" w:w="28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4 — Líneas y Redes</w:t>
            </w:r>
          </w:p>
        </w:tc>
        <w:tc>
          <w:tcPr>
            <w:tcW w:type="dxa" w:w="64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Las líneas de formación y redes de conocimiento son la clasificación jerárquica superior de los programas. El Módulo 5 consume directamente las entidades del Módulo 4.</w:t>
            </w:r>
          </w:p>
        </w:tc>
      </w:tr>
      <w:tr>
        <w:tc>
          <w:tcPr>
            <w:tcW w:type="dxa" w:w="28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6 — Programa Académico</w:t>
            </w:r>
          </w:p>
        </w:tc>
        <w:tc>
          <w:tcPr>
            <w:tcW w:type="dxa" w:w="64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Las competencias y RAPs están estructurados dentro del diseño curricular de cada programa. Sin el programa de formación del Módulo 5, las competencias no tienen contexto académico.</w:t>
            </w:r>
          </w:p>
        </w:tc>
      </w:tr>
      <w:tr>
        <w:tc>
          <w:tcPr>
            <w:tcW w:type="dxa" w:w="28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7 — Instructores</w:t>
            </w:r>
          </w:p>
        </w:tc>
        <w:tc>
          <w:tcPr>
            <w:tcW w:type="dxa" w:w="64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La habilitación de un instructor es específica para una competencia dentro de un programa de formación particular. El campo programa_id en instructor_competencia es clave foránea obligatoria.</w:t>
            </w:r>
          </w:p>
        </w:tc>
      </w:tr>
      <w:tr>
        <w:tc>
          <w:tcPr>
            <w:tcW w:type="dxa" w:w="28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9 — Fichas y Franjas Horarias</w:t>
            </w:r>
          </w:p>
        </w:tc>
        <w:tc>
          <w:tcPr>
            <w:tcW w:type="dxa" w:w="64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Cada ficha ejecuta un programa de formación específico. La FK programa_id en la colección ficha permite al motor conocer qué competencias son válidas para esa ficha.</w:t>
            </w:r>
          </w:p>
        </w:tc>
      </w:tr>
      <w:tr>
        <w:tc>
          <w:tcPr>
            <w:tcW w:type="dxa" w:w="28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11 — Motor de Horarios</w:t>
            </w:r>
          </w:p>
        </w:tc>
        <w:tc>
          <w:tcPr>
            <w:tcW w:type="dxa" w:w="64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El motor valida que la competencia del bloque pertenezca al programa de la ficha. Esta validación consulta directamente la colección programa_competencia del Módulo 5.</w:t>
            </w:r>
          </w:p>
        </w:tc>
      </w:tr>
      <w:tr>
        <w:tc>
          <w:tcPr>
            <w:tcW w:type="dxa" w:w="28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13 — Proyectos Formativos</w:t>
            </w:r>
          </w:p>
        </w:tc>
        <w:tc>
          <w:tcPr>
            <w:tcW w:type="dxa" w:w="64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Los proyectos formativos son requisito de grado de los programas Técnicos y Tecnólogos. El tipo de formación del programa determina si se requiere proyecto formativo o no.</w:t>
            </w:r>
          </w:p>
        </w:tc>
      </w:tr>
    </w:tbl>
    <w:p>
      <w:pPr>
        <w:pStyle w:val="Heading1"/>
        <w:spacing w:after="120" w:before="240"/>
      </w:pPr>
      <w:r>
        <w:rPr>
          <w:rFonts w:ascii="Arial" w:cs="Arial" w:eastAsia="Arial" w:hAnsi="Arial"/>
          <w:b/>
          <w:bCs/>
          <w:sz w:val="28"/>
          <w:szCs w:val="28"/>
        </w:rPr>
        <w:t xml:space="preserve">8. Modalidades de Formación y Virtualidad</w:t>
      </w:r>
    </w:p>
    <w:p>
      <w:pPr>
        <w:pStyle w:val="Heading2"/>
        <w:spacing w:after="100" w:before="200"/>
      </w:pPr>
      <w:r>
        <w:rPr>
          <w:rFonts w:ascii="Arial" w:cs="Arial" w:eastAsia="Arial" w:hAnsi="Arial"/>
          <w:b/>
          <w:bCs/>
          <w:sz w:val="24"/>
          <w:szCs w:val="24"/>
        </w:rPr>
        <w:t xml:space="preserve">9.1 Tipos de Modalidad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Modalidad</w:t>
            </w:r>
          </w:p>
        </w:tc>
        <w:tc>
          <w:tcPr>
            <w:tcW w:type="dxa" w:w="3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Descripción</w:t>
            </w:r>
          </w:p>
        </w:tc>
        <w:tc>
          <w:tcPr>
            <w:tcW w:type="dxa" w:w="36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Plataforma / Ambiente</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Presencial</w:t>
            </w:r>
          </w:p>
        </w:tc>
        <w:tc>
          <w:tcPr>
            <w:tcW w:type="dxa" w:w="3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Asistencia física al centro de formación en todas las sesiones.</w:t>
            </w:r>
          </w:p>
        </w:tc>
        <w:tc>
          <w:tcPr>
            <w:tcW w:type="dxa" w:w="3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Ambiente físico SENA: aula, laboratorio o taller.</w:t>
            </w:r>
          </w:p>
        </w:tc>
      </w:tr>
      <w:tr>
        <w:tc>
          <w:tcPr>
            <w:tcW w:type="dxa" w:w="21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Virtual</w:t>
            </w:r>
          </w:p>
        </w:tc>
        <w:tc>
          <w:tcPr>
            <w:tcW w:type="dxa" w:w="36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Formación completamente en línea. Para formación complementaria: 40 a 80 horas.</w:t>
            </w:r>
          </w:p>
        </w:tc>
        <w:tc>
          <w:tcPr>
            <w:tcW w:type="dxa" w:w="36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Plataforma Zajuna / AVA (Ambiente Virtual de Aprendizaje).</w:t>
            </w:r>
          </w:p>
        </w:tc>
      </w:tr>
      <w:tr>
        <w:tc>
          <w:tcPr>
            <w:tcW w:type="dxa" w:w="216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A distancia</w:t>
            </w:r>
          </w:p>
        </w:tc>
        <w:tc>
          <w:tcPr>
            <w:tcW w:type="dxa" w:w="3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Combinación de encuentros presenciales esporádicos y trabajo virtual autónomo.</w:t>
            </w:r>
          </w:p>
        </w:tc>
        <w:tc>
          <w:tcPr>
            <w:tcW w:type="dxa" w:w="36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LMS SENA más encuentros presenciales programados.</w:t>
            </w:r>
          </w:p>
        </w:tc>
      </w:tr>
      <w:tr>
        <w:tc>
          <w:tcPr>
            <w:tcW w:type="dxa" w:w="216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Combinada</w:t>
            </w:r>
          </w:p>
        </w:tc>
        <w:tc>
          <w:tcPr>
            <w:tcW w:type="dxa" w:w="36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Mitad del tiempo presencial, mitad virtual. Requiere planificación de ambos tipos de ambiente.</w:t>
            </w:r>
          </w:p>
        </w:tc>
        <w:tc>
          <w:tcPr>
            <w:tcW w:type="dxa" w:w="36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Ambiente físico más plataforma virtual simultáneamente.</w:t>
            </w:r>
          </w:p>
        </w:tc>
      </w:tr>
    </w:tbl>
    <w:p>
      <w:pPr>
        <w:spacing w:after="80" w:before="80"/>
      </w:pPr>
      <w:r>
        <w:t xml:space="preserve"/>
      </w:r>
    </w:p>
    <w:p>
      <w:pPr>
        <w:pStyle w:val="Heading2"/>
        <w:spacing w:after="100" w:before="200"/>
      </w:pPr>
      <w:r>
        <w:rPr>
          <w:rFonts w:ascii="Arial" w:cs="Arial" w:eastAsia="Arial" w:hAnsi="Arial"/>
          <w:b/>
          <w:bCs/>
          <w:sz w:val="24"/>
          <w:szCs w:val="24"/>
        </w:rPr>
        <w:t xml:space="preserve">9.2 Impacto de la Virtualidad en el Diseño Curricular</w:t>
      </w:r>
    </w:p>
    <w:p>
      <w:pPr>
        <w:spacing w:after="80" w:before="80"/>
        <w:jc w:val="both"/>
      </w:pPr>
      <w:r>
        <w:rPr>
          <w:rFonts w:ascii="Arial" w:cs="Arial" w:eastAsia="Arial" w:hAnsi="Arial"/>
          <w:sz w:val="22"/>
          <w:szCs w:val="22"/>
        </w:rPr>
        <w:t xml:space="preserve">En modalidad virtual, la construcción de la Ruta de Aprendizaje en el LMS tiene las siguientes implicaciones directas:</w:t>
      </w:r>
    </w:p>
    <w:p>
      <w:pPr>
        <w:spacing w:after="80" w:before="80"/>
      </w:pPr>
      <w:r>
        <w:t xml:space="preserve"/>
      </w:r>
    </w:p>
    <w:p>
      <w:pPr>
        <w:pStyle w:val="ListParagraph"/>
        <w:numPr>
          <w:ilvl w:val="0"/>
          <w:numId w:val="2"/>
        </w:numPr>
        <w:spacing w:after="40" w:before="40"/>
      </w:pPr>
      <w:r>
        <w:rPr>
          <w:rFonts w:ascii="Arial" w:cs="Arial" w:eastAsia="Arial" w:hAnsi="Arial"/>
          <w:b/>
          <w:bCs/>
          <w:sz w:val="22"/>
          <w:szCs w:val="22"/>
        </w:rPr>
        <w:t xml:space="preserve">Actividades de aprendizaje: </w:t>
      </w:r>
      <w:r>
        <w:rPr>
          <w:rFonts w:ascii="Arial" w:cs="Arial" w:eastAsia="Arial" w:hAnsi="Arial"/>
          <w:sz w:val="22"/>
          <w:szCs w:val="22"/>
        </w:rPr>
        <w:t xml:space="preserve">Cada actividad en la ruta debe tener especificada la modalidad como Virtual en el sistema del LMS.</w:t>
      </w:r>
    </w:p>
    <w:p>
      <w:pPr>
        <w:pStyle w:val="ListParagraph"/>
        <w:numPr>
          <w:ilvl w:val="0"/>
          <w:numId w:val="2"/>
        </w:numPr>
        <w:spacing w:after="40" w:before="40"/>
      </w:pPr>
      <w:r>
        <w:rPr>
          <w:rFonts w:ascii="Arial" w:cs="Arial" w:eastAsia="Arial" w:hAnsi="Arial"/>
          <w:b/>
          <w:bCs/>
          <w:sz w:val="22"/>
          <w:szCs w:val="22"/>
        </w:rPr>
        <w:t xml:space="preserve">Evidencias digitales: </w:t>
      </w:r>
      <w:r>
        <w:rPr>
          <w:rFonts w:ascii="Arial" w:cs="Arial" w:eastAsia="Arial" w:hAnsi="Arial"/>
          <w:sz w:val="22"/>
          <w:szCs w:val="22"/>
        </w:rPr>
        <w:t xml:space="preserve">Las evidencias de conocimiento, desempeño y producto se cargan y evalúan digitalmente a través del centro de control del instructor en la plataforma.</w:t>
      </w:r>
    </w:p>
    <w:p>
      <w:pPr>
        <w:pStyle w:val="ListParagraph"/>
        <w:numPr>
          <w:ilvl w:val="0"/>
          <w:numId w:val="2"/>
        </w:numPr>
        <w:spacing w:after="40" w:before="40"/>
      </w:pPr>
      <w:r>
        <w:rPr>
          <w:rFonts w:ascii="Arial" w:cs="Arial" w:eastAsia="Arial" w:hAnsi="Arial"/>
          <w:b/>
          <w:bCs/>
          <w:sz w:val="22"/>
          <w:szCs w:val="22"/>
        </w:rPr>
        <w:t xml:space="preserve">Sin ambiente físico: </w:t>
      </w:r>
      <w:r>
        <w:rPr>
          <w:rFonts w:ascii="Arial" w:cs="Arial" w:eastAsia="Arial" w:hAnsi="Arial"/>
          <w:sz w:val="22"/>
          <w:szCs w:val="22"/>
        </w:rPr>
        <w:t xml:space="preserve">Los bloques horarios de programas virtuales no requieren asignación de ambiente físico. El campo ambiente_id en bloque_horario puede ser nulo para esta modalidad.</w:t>
      </w:r>
    </w:p>
    <w:p>
      <w:pPr>
        <w:pStyle w:val="ListParagraph"/>
        <w:numPr>
          <w:ilvl w:val="0"/>
          <w:numId w:val="2"/>
        </w:numPr>
        <w:spacing w:after="40" w:before="40"/>
      </w:pPr>
      <w:r>
        <w:rPr>
          <w:rFonts w:ascii="Arial" w:cs="Arial" w:eastAsia="Arial" w:hAnsi="Arial"/>
          <w:b/>
          <w:bCs/>
          <w:sz w:val="22"/>
          <w:szCs w:val="22"/>
        </w:rPr>
        <w:t xml:space="preserve">Sin traslados: </w:t>
      </w:r>
      <w:r>
        <w:rPr>
          <w:rFonts w:ascii="Arial" w:cs="Arial" w:eastAsia="Arial" w:hAnsi="Arial"/>
          <w:sz w:val="22"/>
          <w:szCs w:val="22"/>
        </w:rPr>
        <w:t xml:space="preserve">Los programas de formación complementaria en modalidad 100% virtual no admiten el proceso de traslado de aprendices (Regla 4).</w:t>
      </w:r>
    </w:p>
    <w:p>
      <w:pPr>
        <w:pStyle w:val="Heading1"/>
        <w:spacing w:after="120" w:before="240"/>
      </w:pPr>
      <w:r>
        <w:rPr>
          <w:rFonts w:ascii="Arial" w:cs="Arial" w:eastAsia="Arial" w:hAnsi="Arial"/>
          <w:b/>
          <w:bCs/>
          <w:sz w:val="28"/>
          <w:szCs w:val="28"/>
        </w:rPr>
        <w:t xml:space="preserve">9. Fuentes de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4680"/>
      </w:tblGrid>
      <w:tr>
        <w:trPr>
          <w:tblHeader/>
        </w:trPr>
        <w:tc>
          <w:tcPr>
            <w:tcW w:type="dxa" w:w="28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Fuente</w:t>
            </w:r>
          </w:p>
        </w:tc>
        <w:tc>
          <w:tcPr>
            <w:tcW w:type="dxa" w:w="180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Tipo</w:t>
            </w:r>
          </w:p>
        </w:tc>
        <w:tc>
          <w:tcPr>
            <w:tcW w:type="dxa" w:w="4680"/>
            <w:tcBorders>
              <w:top w:val="single" w:color="000000" w:sz="1"/>
              <w:left w:val="single" w:color="000000" w:sz="1"/>
              <w:bottom w:val="single" w:color="000000" w:sz="1"/>
              <w:right w:val="single" w:color="000000" w:sz="1"/>
            </w:tcBorders>
            <w:shd w:fill="D9D9D9" w:val="clear"/>
            <w:tcMar>
              <w:top w:type="dxa" w:w="60"/>
              <w:left w:type="dxa" w:w="100"/>
              <w:bottom w:type="dxa" w:w="60"/>
              <w:right w:type="dxa" w:w="100"/>
            </w:tcMar>
          </w:tcPr>
          <w:p>
            <w:r>
              <w:rPr>
                <w:rFonts w:ascii="Arial" w:cs="Arial" w:eastAsia="Arial" w:hAnsi="Arial"/>
                <w:b/>
                <w:bCs/>
                <w:sz w:val="20"/>
                <w:szCs w:val="20"/>
              </w:rPr>
              <w:t xml:space="preserve">Contenido verificado</w:t>
            </w:r>
          </w:p>
        </w:tc>
      </w:tr>
      <w:tr>
        <w:tc>
          <w:tcPr>
            <w:tcW w:type="dxa" w:w="28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SOFIA Plus — Portal Oficial SENA</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Sistema institucional</w:t>
            </w:r>
          </w:p>
        </w:tc>
        <w:tc>
          <w:tcPr>
            <w:tcW w:type="dxa" w:w="46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Campo A la medida: Sí/No, tipos de formación, códigos de programa, certificados emitidos por tipo.</w:t>
            </w:r>
          </w:p>
        </w:tc>
      </w:tr>
      <w:tr>
        <w:tc>
          <w:tcPr>
            <w:tcW w:type="dxa" w:w="28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Informe de programación titulada</w:t>
            </w:r>
          </w:p>
        </w:tc>
        <w:tc>
          <w:tcPr>
            <w:tcW w:type="dxa" w:w="18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Documento institucional del instructor</w:t>
            </w:r>
          </w:p>
        </w:tc>
        <w:tc>
          <w:tcPr>
            <w:tcW w:type="dxa" w:w="46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Jerarquía Línea Tecnológica → Red Tecnológica → Red de Conocimiento → Programa. Reglas de traslado y permanencia mínima.</w:t>
            </w:r>
          </w:p>
        </w:tc>
      </w:tr>
      <w:tr>
        <w:tc>
          <w:tcPr>
            <w:tcW w:type="dxa" w:w="28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Instructor (clase y audio)</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Requisito directo</w:t>
            </w:r>
          </w:p>
        </w:tc>
        <w:tc>
          <w:tcPr>
            <w:tcW w:type="dxa" w:w="46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RAP Construir servicio de ML, regla de habilitación por competencia, regla de traslados en virtualidad.</w:t>
            </w:r>
          </w:p>
        </w:tc>
      </w:tr>
      <w:tr>
        <w:tc>
          <w:tcPr>
            <w:tcW w:type="dxa" w:w="28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Documentación oficial SENA</w:t>
            </w:r>
          </w:p>
        </w:tc>
        <w:tc>
          <w:tcPr>
            <w:tcW w:type="dxa" w:w="18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Normativa pública</w:t>
            </w:r>
          </w:p>
        </w:tc>
        <w:tc>
          <w:tcPr>
            <w:tcW w:type="dxa" w:w="46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Tipos de certificados y constancias por tipo de formación. Certificación por Competencia Laboral.</w:t>
            </w:r>
          </w:p>
        </w:tc>
      </w:tr>
      <w:tr>
        <w:tc>
          <w:tcPr>
            <w:tcW w:type="dxa" w:w="28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LMS Zajuna / AVA SENA</w:t>
            </w:r>
          </w:p>
        </w:tc>
        <w:tc>
          <w:tcPr>
            <w:tcW w:type="dxa" w:w="180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Plataforma institucional</w:t>
            </w:r>
          </w:p>
        </w:tc>
        <w:tc>
          <w:tcPr>
            <w:tcW w:type="dxa" w:w="4680"/>
            <w:tcBorders>
              <w:top w:val="single" w:color="000000" w:sz="1"/>
              <w:left w:val="single" w:color="000000" w:sz="1"/>
              <w:bottom w:val="single" w:color="000000" w:sz="1"/>
              <w:right w:val="single" w:color="000000" w:sz="1"/>
            </w:tcBorders>
            <w:shd w:fill="FFFFFF" w:val="clear"/>
            <w:tcMar>
              <w:top w:type="dxa" w:w="60"/>
              <w:left w:type="dxa" w:w="100"/>
              <w:bottom w:type="dxa" w:w="60"/>
              <w:right w:type="dxa" w:w="100"/>
            </w:tcMar>
          </w:tcPr>
          <w:p>
            <w:r>
              <w:rPr>
                <w:rFonts w:ascii="Arial" w:cs="Arial" w:eastAsia="Arial" w:hAnsi="Arial"/>
                <w:sz w:val="20"/>
                <w:szCs w:val="20"/>
              </w:rPr>
              <w:t xml:space="preserve">Modalidad virtual: duración 40–80h, evaluación digital de evidencias, ausencia de traslados.</w:t>
            </w:r>
          </w:p>
        </w:tc>
      </w:tr>
      <w:tr>
        <w:tc>
          <w:tcPr>
            <w:tcW w:type="dxa" w:w="28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Reunión de levantamiento de requisitos (audio)</w:t>
            </w:r>
          </w:p>
        </w:tc>
        <w:tc>
          <w:tcPr>
            <w:tcW w:type="dxa" w:w="180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Requisito del sistema</w:t>
            </w:r>
          </w:p>
        </w:tc>
        <w:tc>
          <w:tcPr>
            <w:tcW w:type="dxa" w:w="4680"/>
            <w:tcBorders>
              <w:top w:val="single" w:color="000000" w:sz="1"/>
              <w:left w:val="single" w:color="000000" w:sz="1"/>
              <w:bottom w:val="single" w:color="000000" w:sz="1"/>
              <w:right w:val="single" w:color="000000" w:sz="1"/>
            </w:tcBorders>
            <w:shd w:fill="F2F2F2" w:val="clear"/>
            <w:tcMar>
              <w:top w:type="dxa" w:w="60"/>
              <w:left w:type="dxa" w:w="100"/>
              <w:bottom w:type="dxa" w:w="60"/>
              <w:right w:type="dxa" w:w="100"/>
            </w:tcMar>
          </w:tcPr>
          <w:p>
            <w:r>
              <w:rPr>
                <w:rFonts w:ascii="Arial" w:cs="Arial" w:eastAsia="Arial" w:hAnsi="Arial"/>
                <w:sz w:val="20"/>
                <w:szCs w:val="20"/>
              </w:rPr>
              <w:t xml:space="preserve">Problema 2: habilitación instructor-competencia-programa. Problema 3: catálogo maestro de RAPs sin duplicados.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2026-06-02T15:30:51.361Z</dcterms:created>
  <dcterms:modified xsi:type="dcterms:W3CDTF">2026-06-02T15:30:51.371Z</dcterms:modified>
</cp:coreProperties>
</file>

<file path=docProps/custom.xml><?xml version="1.0" encoding="utf-8"?>
<Properties xmlns="http://schemas.openxmlformats.org/officeDocument/2006/custom-properties" xmlns:vt="http://schemas.openxmlformats.org/officeDocument/2006/docPropsVTypes"/>
</file>