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color w:val="1A3A5C"/>
          <w:sz w:val="30"/>
          <w:szCs w:val="30"/>
        </w:rPr>
        <w:t xml:space="preserve">Northern University Bangladesh</w:t>
      </w:r>
    </w:p>
    <w:p>
      <w:pPr>
        <w:spacing w:after="20"/>
        <w:jc w:val="center"/>
      </w:pPr>
      <w:r>
        <w:rPr>
          <w:color w:val="555555"/>
          <w:sz w:val="16"/>
          <w:szCs w:val="16"/>
        </w:rPr>
        <w:t xml:space="preserve">Plot 15, Block B, Banani, Dhaka 1213, Bangladesh</w:t>
      </w:r>
    </w:p>
    <w:p>
      <w:pPr>
        <w:spacing w:after="60"/>
        <w:jc w:val="center"/>
      </w:pPr>
      <w:r>
        <w:rPr>
          <w:color w:val="555555"/>
          <w:sz w:val="16"/>
          <w:szCs w:val="16"/>
        </w:rPr>
        <w:t xml:space="preserve">www.nub.edu.bd  |  Office of the Registrar</w:t>
      </w:r>
    </w:p>
    <w:p>
      <w:pPr>
        <w:pBdr>
          <w:bottom w:val="single" w:color="1A3A5C" w:sz="12" w:space="1"/>
        </w:pBdr>
        <w:spacing w:after="120"/>
      </w:pPr>
    </w:p>
    <w:p>
      <w:pPr>
        <w:spacing w:after="40" w:before="60"/>
        <w:jc w:val="center"/>
      </w:pPr>
      <w:r>
        <w:rPr>
          <w:b/>
          <w:bCs/>
          <w:color w:val="1A3A5C"/>
          <w:sz w:val="26"/>
          <w:szCs w:val="26"/>
        </w:rPr>
        <w:t xml:space="preserve">FEE POLICY &amp;amp; STRUCTURE — Academic Year 2026</w:t>
      </w:r>
    </w:p>
    <w:p>
      <w:pPr>
        <w:spacing w:after="20"/>
        <w:jc w:val="center"/>
      </w:pPr>
      <w:r>
        <w:rPr>
          <w:color w:val="777777"/>
          <w:sz w:val="16"/>
          <w:szCs w:val="16"/>
        </w:rPr>
        <w:t xml:space="preserve">Document Type: Administrative Policy</w:t>
      </w:r>
    </w:p>
    <w:p>
      <w:pPr>
        <w:spacing w:after="200"/>
        <w:jc w:val="center"/>
      </w:pPr>
      <w:r>
        <w:rPr>
          <w:color w:val="777777"/>
          <w:sz w:val="16"/>
          <w:szCs w:val="16"/>
        </w:rPr>
        <w:t xml:space="preserve">Reference No: NUB/POL/2026/005  |  Date: 10 January 2026</w:t>
      </w:r>
    </w:p>
    <w:p>
      <w:pPr>
        <w:spacing w:after="120"/>
        <w:jc w:val="both"/>
      </w:pPr>
      <w:r>
        <w:t xml:space="preserve">This Fee Policy defines tuition fees, payment rules, and installment rules for all students of Northern University Bangladesh. Fees must be cleared before the exam registration deadline of each semester to maintain examination eligibility.</w:t>
      </w:r>
    </w:p>
    <w:p>
      <w:pPr>
        <w:pStyle w:val="Heading2"/>
      </w:pPr>
      <w:r>
        <w:t xml:space="preserve">1. Semester Fee Structure (per semester)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2300"/>
        <w:gridCol w:w="2860"/>
      </w:tblGrid>
      <w:tr>
        <w:trPr>
          <w:tblHeader/>
        </w:trPr>
        <w:tc>
          <w:tcPr>
            <w:tcW w:type="dxa" w:w="1900"/>
            <w:tcBorders>
              <w:top w:val="single" w:color="AAAAAA" w:sz="1"/>
              <w:left w:val="single" w:color="AAAAAA" w:sz="1"/>
              <w:bottom w:val="single" w:color="AAAAAA" w:sz="1"/>
              <w:right w:val="single" w:color="AAAAAA" w:sz="1"/>
            </w:tcBorders>
            <w:shd w:fill="1A3A5C" w:val="clear"/>
            <w:tcMar>
              <w:top w:type="dxa" w:w="60"/>
              <w:left w:type="dxa" w:w="100"/>
              <w:bottom w:type="dxa" w:w="60"/>
              <w:right w:type="dxa" w:w="100"/>
            </w:tcMar>
          </w:tcPr>
          <w:p>
            <w:r>
              <w:rPr>
                <w:b/>
                <w:bCs/>
                <w:color w:val="FFFFFF"/>
                <w:sz w:val="18"/>
                <w:szCs w:val="18"/>
              </w:rPr>
              <w:t xml:space="preserve">Department</w:t>
            </w:r>
          </w:p>
        </w:tc>
        <w:tc>
          <w:tcPr>
            <w:tcW w:type="dxa" w:w="2300"/>
            <w:tcBorders>
              <w:top w:val="single" w:color="AAAAAA" w:sz="1"/>
              <w:left w:val="single" w:color="AAAAAA" w:sz="1"/>
              <w:bottom w:val="single" w:color="AAAAAA" w:sz="1"/>
              <w:right w:val="single" w:color="AAAAAA" w:sz="1"/>
            </w:tcBorders>
            <w:shd w:fill="1A3A5C" w:val="clear"/>
            <w:tcMar>
              <w:top w:type="dxa" w:w="60"/>
              <w:left w:type="dxa" w:w="100"/>
              <w:bottom w:type="dxa" w:w="60"/>
              <w:right w:type="dxa" w:w="100"/>
            </w:tcMar>
          </w:tcPr>
          <w:p>
            <w:r>
              <w:rPr>
                <w:b/>
                <w:bCs/>
                <w:color w:val="FFFFFF"/>
                <w:sz w:val="18"/>
                <w:szCs w:val="18"/>
              </w:rPr>
              <w:t xml:space="preserve">Tuition Fee (BDT)</w:t>
            </w:r>
          </w:p>
        </w:tc>
        <w:tc>
          <w:tcPr>
            <w:tcW w:type="dxa" w:w="2300"/>
            <w:tcBorders>
              <w:top w:val="single" w:color="AAAAAA" w:sz="1"/>
              <w:left w:val="single" w:color="AAAAAA" w:sz="1"/>
              <w:bottom w:val="single" w:color="AAAAAA" w:sz="1"/>
              <w:right w:val="single" w:color="AAAAAA" w:sz="1"/>
            </w:tcBorders>
            <w:shd w:fill="1A3A5C" w:val="clear"/>
            <w:tcMar>
              <w:top w:type="dxa" w:w="60"/>
              <w:left w:type="dxa" w:w="100"/>
              <w:bottom w:type="dxa" w:w="60"/>
              <w:right w:type="dxa" w:w="100"/>
            </w:tcMar>
          </w:tcPr>
          <w:p>
            <w:r>
              <w:rPr>
                <w:b/>
                <w:bCs/>
                <w:color w:val="FFFFFF"/>
                <w:sz w:val="18"/>
                <w:szCs w:val="18"/>
              </w:rPr>
              <w:t xml:space="preserve">Lab/Other Fees (BDT)</w:t>
            </w:r>
          </w:p>
        </w:tc>
        <w:tc>
          <w:tcPr>
            <w:tcW w:type="dxa" w:w="2860"/>
            <w:tcBorders>
              <w:top w:val="single" w:color="AAAAAA" w:sz="1"/>
              <w:left w:val="single" w:color="AAAAAA" w:sz="1"/>
              <w:bottom w:val="single" w:color="AAAAAA" w:sz="1"/>
              <w:right w:val="single" w:color="AAAAAA" w:sz="1"/>
            </w:tcBorders>
            <w:shd w:fill="1A3A5C" w:val="clear"/>
            <w:tcMar>
              <w:top w:type="dxa" w:w="60"/>
              <w:left w:type="dxa" w:w="100"/>
              <w:bottom w:type="dxa" w:w="60"/>
              <w:right w:type="dxa" w:w="100"/>
            </w:tcMar>
          </w:tcPr>
          <w:p>
            <w:r>
              <w:rPr>
                <w:b/>
                <w:bCs/>
                <w:color w:val="FFFFFF"/>
                <w:sz w:val="18"/>
                <w:szCs w:val="18"/>
              </w:rPr>
              <w:t xml:space="preserve">Total per Semester (BDT)</w:t>
            </w:r>
          </w:p>
        </w:tc>
      </w:tr>
      <w:tr>
        <w:trPr>
          <w:tblHeader w:val="false"/>
        </w:trPr>
        <w:tc>
          <w:tcPr>
            <w:tcW w:type="dxa" w:w="1900"/>
            <w:tcBorders>
              <w:top w:val="single" w:color="AAAAAA" w:sz="1"/>
              <w:left w:val="single" w:color="AAAAAA" w:sz="1"/>
              <w:bottom w:val="single" w:color="AAAAAA" w:sz="1"/>
              <w:right w:val="single" w:color="AAAAAA" w:sz="1"/>
            </w:tcBorders>
            <w:shd w:fill="F0F4F8" w:val="clear"/>
            <w:tcMar>
              <w:top w:type="dxa" w:w="50"/>
              <w:left w:type="dxa" w:w="100"/>
              <w:bottom w:type="dxa" w:w="50"/>
              <w:right w:type="dxa" w:w="100"/>
            </w:tcMar>
          </w:tcPr>
          <w:p>
            <w:r>
              <w:rPr>
                <w:sz w:val="18"/>
                <w:szCs w:val="18"/>
              </w:rPr>
              <w:t xml:space="preserve">CSE</w:t>
            </w:r>
          </w:p>
        </w:tc>
        <w:tc>
          <w:tcPr>
            <w:tcW w:type="dxa" w:w="2300"/>
            <w:tcBorders>
              <w:top w:val="single" w:color="AAAAAA" w:sz="1"/>
              <w:left w:val="single" w:color="AAAAAA" w:sz="1"/>
              <w:bottom w:val="single" w:color="AAAAAA" w:sz="1"/>
              <w:right w:val="single" w:color="AAAAAA" w:sz="1"/>
            </w:tcBorders>
            <w:shd w:fill="F0F4F8" w:val="clear"/>
            <w:tcMar>
              <w:top w:type="dxa" w:w="50"/>
              <w:left w:type="dxa" w:w="100"/>
              <w:bottom w:type="dxa" w:w="50"/>
              <w:right w:type="dxa" w:w="100"/>
            </w:tcMar>
          </w:tcPr>
          <w:p>
            <w:r>
              <w:rPr>
                <w:sz w:val="18"/>
                <w:szCs w:val="18"/>
              </w:rPr>
              <w:t xml:space="preserve">48,000</w:t>
            </w:r>
          </w:p>
        </w:tc>
        <w:tc>
          <w:tcPr>
            <w:tcW w:type="dxa" w:w="2300"/>
            <w:tcBorders>
              <w:top w:val="single" w:color="AAAAAA" w:sz="1"/>
              <w:left w:val="single" w:color="AAAAAA" w:sz="1"/>
              <w:bottom w:val="single" w:color="AAAAAA" w:sz="1"/>
              <w:right w:val="single" w:color="AAAAAA" w:sz="1"/>
            </w:tcBorders>
            <w:shd w:fill="F0F4F8" w:val="clear"/>
            <w:tcMar>
              <w:top w:type="dxa" w:w="50"/>
              <w:left w:type="dxa" w:w="100"/>
              <w:bottom w:type="dxa" w:w="50"/>
              <w:right w:type="dxa" w:w="100"/>
            </w:tcMar>
          </w:tcPr>
          <w:p>
            <w:r>
              <w:rPr>
                <w:sz w:val="18"/>
                <w:szCs w:val="18"/>
              </w:rPr>
              <w:t xml:space="preserve">7,000</w:t>
            </w:r>
          </w:p>
        </w:tc>
        <w:tc>
          <w:tcPr>
            <w:tcW w:type="dxa" w:w="2860"/>
            <w:tcBorders>
              <w:top w:val="single" w:color="AAAAAA" w:sz="1"/>
              <w:left w:val="single" w:color="AAAAAA" w:sz="1"/>
              <w:bottom w:val="single" w:color="AAAAAA" w:sz="1"/>
              <w:right w:val="single" w:color="AAAAAA" w:sz="1"/>
            </w:tcBorders>
            <w:shd w:fill="F0F4F8" w:val="clear"/>
            <w:tcMar>
              <w:top w:type="dxa" w:w="50"/>
              <w:left w:type="dxa" w:w="100"/>
              <w:bottom w:type="dxa" w:w="50"/>
              <w:right w:type="dxa" w:w="100"/>
            </w:tcMar>
          </w:tcPr>
          <w:p>
            <w:r>
              <w:rPr>
                <w:sz w:val="18"/>
                <w:szCs w:val="18"/>
              </w:rPr>
              <w:t xml:space="preserve">55,000</w:t>
            </w:r>
          </w:p>
        </w:tc>
      </w:tr>
      <w:tr>
        <w:trPr>
          <w:tblHeader w:val="false"/>
        </w:trPr>
        <w:tc>
          <w:tcPr>
            <w:tcW w:type="dxa" w:w="19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sz w:val="18"/>
                <w:szCs w:val="18"/>
              </w:rPr>
              <w:t xml:space="preserve">EEE</w:t>
            </w:r>
          </w:p>
        </w:tc>
        <w:tc>
          <w:tcPr>
            <w:tcW w:type="dxa" w:w="23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sz w:val="18"/>
                <w:szCs w:val="18"/>
              </w:rPr>
              <w:t xml:space="preserve">46,000</w:t>
            </w:r>
          </w:p>
        </w:tc>
        <w:tc>
          <w:tcPr>
            <w:tcW w:type="dxa" w:w="23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sz w:val="18"/>
                <w:szCs w:val="18"/>
              </w:rPr>
              <w:t xml:space="preserve">7,500</w:t>
            </w:r>
          </w:p>
        </w:tc>
        <w:tc>
          <w:tcPr>
            <w:tcW w:type="dxa" w:w="286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sz w:val="18"/>
                <w:szCs w:val="18"/>
              </w:rPr>
              <w:t xml:space="preserve">53,500</w:t>
            </w:r>
          </w:p>
        </w:tc>
      </w:tr>
      <w:tr>
        <w:trPr>
          <w:tblHeader w:val="false"/>
        </w:trPr>
        <w:tc>
          <w:tcPr>
            <w:tcW w:type="dxa" w:w="1900"/>
            <w:tcBorders>
              <w:top w:val="single" w:color="AAAAAA" w:sz="1"/>
              <w:left w:val="single" w:color="AAAAAA" w:sz="1"/>
              <w:bottom w:val="single" w:color="AAAAAA" w:sz="1"/>
              <w:right w:val="single" w:color="AAAAAA" w:sz="1"/>
            </w:tcBorders>
            <w:shd w:fill="F0F4F8" w:val="clear"/>
            <w:tcMar>
              <w:top w:type="dxa" w:w="50"/>
              <w:left w:type="dxa" w:w="100"/>
              <w:bottom w:type="dxa" w:w="50"/>
              <w:right w:type="dxa" w:w="100"/>
            </w:tcMar>
          </w:tcPr>
          <w:p>
            <w:r>
              <w:rPr>
                <w:sz w:val="18"/>
                <w:szCs w:val="18"/>
              </w:rPr>
              <w:t xml:space="preserve">BBA</w:t>
            </w:r>
          </w:p>
        </w:tc>
        <w:tc>
          <w:tcPr>
            <w:tcW w:type="dxa" w:w="2300"/>
            <w:tcBorders>
              <w:top w:val="single" w:color="AAAAAA" w:sz="1"/>
              <w:left w:val="single" w:color="AAAAAA" w:sz="1"/>
              <w:bottom w:val="single" w:color="AAAAAA" w:sz="1"/>
              <w:right w:val="single" w:color="AAAAAA" w:sz="1"/>
            </w:tcBorders>
            <w:shd w:fill="F0F4F8" w:val="clear"/>
            <w:tcMar>
              <w:top w:type="dxa" w:w="50"/>
              <w:left w:type="dxa" w:w="100"/>
              <w:bottom w:type="dxa" w:w="50"/>
              <w:right w:type="dxa" w:w="100"/>
            </w:tcMar>
          </w:tcPr>
          <w:p>
            <w:r>
              <w:rPr>
                <w:sz w:val="18"/>
                <w:szCs w:val="18"/>
              </w:rPr>
              <w:t xml:space="preserve">40,000</w:t>
            </w:r>
          </w:p>
        </w:tc>
        <w:tc>
          <w:tcPr>
            <w:tcW w:type="dxa" w:w="2300"/>
            <w:tcBorders>
              <w:top w:val="single" w:color="AAAAAA" w:sz="1"/>
              <w:left w:val="single" w:color="AAAAAA" w:sz="1"/>
              <w:bottom w:val="single" w:color="AAAAAA" w:sz="1"/>
              <w:right w:val="single" w:color="AAAAAA" w:sz="1"/>
            </w:tcBorders>
            <w:shd w:fill="F0F4F8" w:val="clear"/>
            <w:tcMar>
              <w:top w:type="dxa" w:w="50"/>
              <w:left w:type="dxa" w:w="100"/>
              <w:bottom w:type="dxa" w:w="50"/>
              <w:right w:type="dxa" w:w="100"/>
            </w:tcMar>
          </w:tcPr>
          <w:p>
            <w:r>
              <w:rPr>
                <w:sz w:val="18"/>
                <w:szCs w:val="18"/>
              </w:rPr>
              <w:t xml:space="preserve">3,000</w:t>
            </w:r>
          </w:p>
        </w:tc>
        <w:tc>
          <w:tcPr>
            <w:tcW w:type="dxa" w:w="2860"/>
            <w:tcBorders>
              <w:top w:val="single" w:color="AAAAAA" w:sz="1"/>
              <w:left w:val="single" w:color="AAAAAA" w:sz="1"/>
              <w:bottom w:val="single" w:color="AAAAAA" w:sz="1"/>
              <w:right w:val="single" w:color="AAAAAA" w:sz="1"/>
            </w:tcBorders>
            <w:shd w:fill="F0F4F8" w:val="clear"/>
            <w:tcMar>
              <w:top w:type="dxa" w:w="50"/>
              <w:left w:type="dxa" w:w="100"/>
              <w:bottom w:type="dxa" w:w="50"/>
              <w:right w:type="dxa" w:w="100"/>
            </w:tcMar>
          </w:tcPr>
          <w:p>
            <w:r>
              <w:rPr>
                <w:sz w:val="18"/>
                <w:szCs w:val="18"/>
              </w:rPr>
              <w:t xml:space="preserve">43,000</w:t>
            </w:r>
          </w:p>
        </w:tc>
      </w:tr>
      <w:tr>
        <w:trPr>
          <w:tblHeader w:val="false"/>
        </w:trPr>
        <w:tc>
          <w:tcPr>
            <w:tcW w:type="dxa" w:w="19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sz w:val="18"/>
                <w:szCs w:val="18"/>
              </w:rPr>
              <w:t xml:space="preserve">English</w:t>
            </w:r>
          </w:p>
        </w:tc>
        <w:tc>
          <w:tcPr>
            <w:tcW w:type="dxa" w:w="23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sz w:val="18"/>
                <w:szCs w:val="18"/>
              </w:rPr>
              <w:t xml:space="preserve">34,000</w:t>
            </w:r>
          </w:p>
        </w:tc>
        <w:tc>
          <w:tcPr>
            <w:tcW w:type="dxa" w:w="23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sz w:val="18"/>
                <w:szCs w:val="18"/>
              </w:rPr>
              <w:t xml:space="preserve">2,000</w:t>
            </w:r>
          </w:p>
        </w:tc>
        <w:tc>
          <w:tcPr>
            <w:tcW w:type="dxa" w:w="286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sz w:val="18"/>
                <w:szCs w:val="18"/>
              </w:rPr>
              <w:t xml:space="preserve">36,000</w:t>
            </w:r>
          </w:p>
        </w:tc>
      </w:tr>
      <w:tr>
        <w:trPr>
          <w:tblHeader w:val="false"/>
        </w:trPr>
        <w:tc>
          <w:tcPr>
            <w:tcW w:type="dxa" w:w="1900"/>
            <w:tcBorders>
              <w:top w:val="single" w:color="AAAAAA" w:sz="1"/>
              <w:left w:val="single" w:color="AAAAAA" w:sz="1"/>
              <w:bottom w:val="single" w:color="AAAAAA" w:sz="1"/>
              <w:right w:val="single" w:color="AAAAAA" w:sz="1"/>
            </w:tcBorders>
            <w:shd w:fill="F0F4F8" w:val="clear"/>
            <w:tcMar>
              <w:top w:type="dxa" w:w="50"/>
              <w:left w:type="dxa" w:w="100"/>
              <w:bottom w:type="dxa" w:w="50"/>
              <w:right w:type="dxa" w:w="100"/>
            </w:tcMar>
          </w:tcPr>
          <w:p>
            <w:r>
              <w:rPr>
                <w:sz w:val="18"/>
                <w:szCs w:val="18"/>
              </w:rPr>
              <w:t xml:space="preserve">Law</w:t>
            </w:r>
          </w:p>
        </w:tc>
        <w:tc>
          <w:tcPr>
            <w:tcW w:type="dxa" w:w="2300"/>
            <w:tcBorders>
              <w:top w:val="single" w:color="AAAAAA" w:sz="1"/>
              <w:left w:val="single" w:color="AAAAAA" w:sz="1"/>
              <w:bottom w:val="single" w:color="AAAAAA" w:sz="1"/>
              <w:right w:val="single" w:color="AAAAAA" w:sz="1"/>
            </w:tcBorders>
            <w:shd w:fill="F0F4F8" w:val="clear"/>
            <w:tcMar>
              <w:top w:type="dxa" w:w="50"/>
              <w:left w:type="dxa" w:w="100"/>
              <w:bottom w:type="dxa" w:w="50"/>
              <w:right w:type="dxa" w:w="100"/>
            </w:tcMar>
          </w:tcPr>
          <w:p>
            <w:r>
              <w:rPr>
                <w:sz w:val="18"/>
                <w:szCs w:val="18"/>
              </w:rPr>
              <w:t xml:space="preserve">38,000</w:t>
            </w:r>
          </w:p>
        </w:tc>
        <w:tc>
          <w:tcPr>
            <w:tcW w:type="dxa" w:w="2300"/>
            <w:tcBorders>
              <w:top w:val="single" w:color="AAAAAA" w:sz="1"/>
              <w:left w:val="single" w:color="AAAAAA" w:sz="1"/>
              <w:bottom w:val="single" w:color="AAAAAA" w:sz="1"/>
              <w:right w:val="single" w:color="AAAAAA" w:sz="1"/>
            </w:tcBorders>
            <w:shd w:fill="F0F4F8" w:val="clear"/>
            <w:tcMar>
              <w:top w:type="dxa" w:w="50"/>
              <w:left w:type="dxa" w:w="100"/>
              <w:bottom w:type="dxa" w:w="50"/>
              <w:right w:type="dxa" w:w="100"/>
            </w:tcMar>
          </w:tcPr>
          <w:p>
            <w:r>
              <w:rPr>
                <w:sz w:val="18"/>
                <w:szCs w:val="18"/>
              </w:rPr>
              <w:t xml:space="preserve">2,500</w:t>
            </w:r>
          </w:p>
        </w:tc>
        <w:tc>
          <w:tcPr>
            <w:tcW w:type="dxa" w:w="2860"/>
            <w:tcBorders>
              <w:top w:val="single" w:color="AAAAAA" w:sz="1"/>
              <w:left w:val="single" w:color="AAAAAA" w:sz="1"/>
              <w:bottom w:val="single" w:color="AAAAAA" w:sz="1"/>
              <w:right w:val="single" w:color="AAAAAA" w:sz="1"/>
            </w:tcBorders>
            <w:shd w:fill="F0F4F8" w:val="clear"/>
            <w:tcMar>
              <w:top w:type="dxa" w:w="50"/>
              <w:left w:type="dxa" w:w="100"/>
              <w:bottom w:type="dxa" w:w="50"/>
              <w:right w:type="dxa" w:w="100"/>
            </w:tcMar>
          </w:tcPr>
          <w:p>
            <w:r>
              <w:rPr>
                <w:sz w:val="18"/>
                <w:szCs w:val="18"/>
              </w:rPr>
              <w:t xml:space="preserve">40,500</w:t>
            </w:r>
          </w:p>
        </w:tc>
      </w:tr>
    </w:tbl>
    <w:p>
      <w:pPr>
        <w:pStyle w:val="Heading2"/>
      </w:pPr>
      <w:r>
        <w:t xml:space="preserve">2. Payment Rules</w:t>
      </w:r>
    </w:p>
    <w:p>
      <w:pPr>
        <w:pStyle w:val="ListParagraph"/>
        <w:numPr>
          <w:ilvl w:val="0"/>
          <w:numId w:val="2"/>
        </w:numPr>
        <w:spacing w:after="60"/>
      </w:pPr>
      <w:r>
        <w:t xml:space="preserve">Semester fees must be paid in full or by approved installments before the exam registration deadline.</w:t>
      </w:r>
    </w:p>
    <w:p>
      <w:pPr>
        <w:pStyle w:val="ListParagraph"/>
        <w:numPr>
          <w:ilvl w:val="0"/>
          <w:numId w:val="2"/>
        </w:numPr>
        <w:spacing w:after="60"/>
      </w:pPr>
      <w:r>
        <w:t xml:space="preserve">A one-time admission fee of BDT 15,000 applies to new students only.</w:t>
      </w:r>
    </w:p>
    <w:p>
      <w:pPr>
        <w:pStyle w:val="ListParagraph"/>
        <w:numPr>
          <w:ilvl w:val="0"/>
          <w:numId w:val="2"/>
        </w:numPr>
        <w:spacing w:after="60"/>
      </w:pPr>
      <w:r>
        <w:t xml:space="preserve">Payments are accepted via bank deposit, mobile financial services, or the online student portal.</w:t>
      </w:r>
    </w:p>
    <w:p>
      <w:pPr>
        <w:pStyle w:val="Heading2"/>
      </w:pPr>
      <w:r>
        <w:t xml:space="preserve">3. Installment Rules</w:t>
      </w:r>
    </w:p>
    <w:p>
      <w:pPr>
        <w:pStyle w:val="ListParagraph"/>
        <w:numPr>
          <w:ilvl w:val="0"/>
          <w:numId w:val="2"/>
        </w:numPr>
        <w:spacing w:after="60"/>
      </w:pPr>
      <w:r>
        <w:t xml:space="preserve">Students may pay semester fees in up to 3 installments.</w:t>
      </w:r>
    </w:p>
    <w:p>
      <w:pPr>
        <w:pStyle w:val="ListParagraph"/>
        <w:numPr>
          <w:ilvl w:val="0"/>
          <w:numId w:val="2"/>
        </w:numPr>
        <w:spacing w:after="60"/>
      </w:pPr>
      <w:r>
        <w:t xml:space="preserve">Installment 1 (40%): due at registration. Installment 2 (30%): due before midterm. Installment 3 (30%): due before final exam.</w:t>
      </w:r>
    </w:p>
    <w:p>
      <w:pPr>
        <w:pStyle w:val="ListParagraph"/>
        <w:numPr>
          <w:ilvl w:val="0"/>
          <w:numId w:val="2"/>
        </w:numPr>
        <w:spacing w:after="60"/>
      </w:pPr>
      <w:r>
        <w:t xml:space="preserve">A late payment surcharge of BDT 500 per week applies to overdue installments.</w:t>
      </w:r>
    </w:p>
    <w:p>
      <w:pPr>
        <w:pStyle w:val="ListParagraph"/>
        <w:numPr>
          <w:ilvl w:val="0"/>
          <w:numId w:val="2"/>
        </w:numPr>
        <w:spacing w:after="60"/>
      </w:pPr>
      <w:r>
        <w:t xml:space="preserve">Students with outstanding dues will be barred from the final examination until cleared.</w:t>
      </w:r>
    </w:p>
    <w:p>
      <w:pPr>
        <w:pStyle w:val="Heading2"/>
      </w:pPr>
      <w:r>
        <w:t xml:space="preserve">4. Waivers &amp;amp; Refunds</w:t>
      </w:r>
    </w:p>
    <w:p>
      <w:pPr>
        <w:pStyle w:val="ListParagraph"/>
        <w:numPr>
          <w:ilvl w:val="0"/>
          <w:numId w:val="2"/>
        </w:numPr>
        <w:spacing w:after="60"/>
      </w:pPr>
      <w:r>
        <w:t xml:space="preserve">Merit waivers of 10–50% are available based on previous semester CGPA.</w:t>
      </w:r>
    </w:p>
    <w:p>
      <w:pPr>
        <w:pStyle w:val="ListParagraph"/>
        <w:numPr>
          <w:ilvl w:val="0"/>
          <w:numId w:val="2"/>
        </w:numPr>
        <w:spacing w:after="60"/>
      </w:pPr>
      <w:r>
        <w:t xml:space="preserve">Tuition refunds are processed only for withdrawals submitted within the first two weeks of classes.</w:t>
      </w:r>
    </w:p>
    <w:p>
      <w:pPr>
        <w:spacing w:before="300"/>
      </w:pPr>
      <w:r>
        <w:rPr>
          <w:sz w:val="22"/>
          <w:szCs w:val="22"/>
        </w:rPr>
        <w:t xml:space="preserve">Director of Finance
Northern University Bangladesh</w:t>
      </w:r>
    </w:p>
    <w:sectPr>
      <w:footerReference w:type="default" r:id="rId7"/>
      <w:pgSz w:w="12240" w:h="15840" w:orient="portrait"/>
      <w:pgMar w:top="1080" w:right="1224" w:bottom="1080"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4"/>
        <w:szCs w:val="14"/>
      </w:rPr>
      <w:t xml:space="preserve">Northern University Bangladesh — Page </w:t>
    </w:r>
    <w:r>
      <w:rPr>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A3A5C"/>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5A7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2026-06-20T11:03:09.438Z</dcterms:created>
  <dcterms:modified xsi:type="dcterms:W3CDTF">2026-06-20T11:03:09.438Z</dcterms:modified>
</cp:coreProperties>
</file>

<file path=docProps/custom.xml><?xml version="1.0" encoding="utf-8"?>
<Properties xmlns="http://schemas.openxmlformats.org/officeDocument/2006/custom-properties" xmlns:vt="http://schemas.openxmlformats.org/officeDocument/2006/docPropsVTypes"/>
</file>