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jc w:val="center"/>
        <w:rPr/>
      </w:pPr>
      <w:r>
        <w:rPr>
          <w:b/>
          <w:bCs/>
          <w:color w:val="0D9488"/>
          <w:spacing w:val="60"/>
          <w:sz w:val="28"/>
          <w:szCs w:val="28"/>
        </w:rPr>
        <w:t>PROJECT REPORT</w:t>
      </w:r>
    </w:p>
    <w:p>
      <w:pPr>
        <w:pStyle w:val="Normal"/>
        <w:pBdr>
          <w:bottom w:val="single" w:sz="6" w:space="8" w:color="0D9488"/>
        </w:pBdr>
        <w:spacing w:before="40" w:after="600"/>
        <w:jc w:val="center"/>
        <w:rPr/>
      </w:pPr>
      <w:r>
        <w:rPr>
          <w:i/>
          <w:iCs/>
          <w:color w:val="555F6E"/>
          <w:sz w:val="20"/>
          <w:szCs w:val="20"/>
        </w:rPr>
        <w:t>Submitted for the Final Round — MindSparks 2026, AUSTIDC</w:t>
      </w:r>
    </w:p>
    <w:p>
      <w:pPr>
        <w:pStyle w:val="Normal"/>
        <w:spacing w:before="300" w:after="0"/>
        <w:jc w:val="center"/>
        <w:rPr/>
      </w:pPr>
      <w:r>
        <w:rPr>
          <w:rFonts w:eastAsia="Cambria" w:cs="Cambria" w:ascii="Cambria" w:hAnsi="Cambria"/>
          <w:b/>
          <w:bCs/>
          <w:color w:val="0A1628"/>
          <w:sz w:val="80"/>
          <w:szCs w:val="80"/>
        </w:rPr>
        <w:t>UniGPT</w:t>
      </w:r>
    </w:p>
    <w:p>
      <w:pPr>
        <w:pStyle w:val="Normal"/>
        <w:spacing w:before="60" w:after="700"/>
        <w:jc w:val="center"/>
        <w:rPr/>
      </w:pPr>
      <w:r>
        <w:rPr>
          <w:color w:val="0D9488"/>
          <w:sz w:val="28"/>
          <w:szCs w:val="28"/>
        </w:rPr>
        <w:t>An AI Academic Copilot for Smart University Management</w:t>
      </w:r>
    </w:p>
    <w:tbl>
      <w:tblPr>
        <w:tblW w:w="7500" w:type="dxa"/>
        <w:jc w:val="center"/>
        <w:tblInd w:w="0" w:type="dxa"/>
        <w:tblLayout w:type="fixed"/>
        <w:tblCellMar>
          <w:top w:w="50" w:type="dxa"/>
          <w:left w:w="0" w:type="dxa"/>
          <w:bottom w:w="50" w:type="dxa"/>
          <w:right w:w="0" w:type="dxa"/>
        </w:tblCellMar>
      </w:tblPr>
      <w:tblGrid>
        <w:gridCol w:w="2600"/>
        <w:gridCol w:w="300"/>
        <w:gridCol w:w="4600"/>
      </w:tblGrid>
      <w:tr>
        <w:trPr/>
        <w:tc>
          <w:tcPr>
            <w:tcW w:w="2600" w:type="dxa"/>
            <w:tcBorders/>
          </w:tcPr>
          <w:p>
            <w:pPr>
              <w:pStyle w:val="Normal"/>
              <w:jc w:val="right"/>
              <w:rPr/>
            </w:pPr>
            <w:r>
              <w:rPr>
                <w:b/>
                <w:bCs/>
                <w:color w:val="555F6E"/>
                <w:sz w:val="21"/>
                <w:szCs w:val="21"/>
              </w:rPr>
              <w:t>Submitted by</w:t>
            </w:r>
          </w:p>
        </w:tc>
        <w:tc>
          <w:tcPr>
            <w:tcW w:w="300" w:type="dxa"/>
            <w:tcBorders/>
            <w:tcMar>
              <w:top w:w="0" w:type="dxa"/>
              <w:left w:w="108" w:type="dxa"/>
              <w:bottom w:w="0" w:type="dxa"/>
              <w:right w:w="108" w:type="dxa"/>
            </w:tcMar>
          </w:tcPr>
          <w:p>
            <w:pPr>
              <w:pStyle w:val="Normal"/>
              <w:rPr/>
            </w:pPr>
            <w:r>
              <w:rPr/>
            </w:r>
          </w:p>
        </w:tc>
        <w:tc>
          <w:tcPr>
            <w:tcW w:w="4600" w:type="dxa"/>
            <w:tcBorders/>
          </w:tcPr>
          <w:p>
            <w:pPr>
              <w:pStyle w:val="Normal"/>
              <w:rPr/>
            </w:pPr>
            <w:r>
              <w:rPr>
                <w:color w:val="1A2438"/>
                <w:sz w:val="21"/>
                <w:szCs w:val="21"/>
              </w:rPr>
              <w:t>Mohammad Shariya</w:t>
            </w:r>
          </w:p>
        </w:tc>
      </w:tr>
      <w:tr>
        <w:trPr/>
        <w:tc>
          <w:tcPr>
            <w:tcW w:w="2600" w:type="dxa"/>
            <w:tcBorders/>
          </w:tcPr>
          <w:p>
            <w:pPr>
              <w:pStyle w:val="Normal"/>
              <w:jc w:val="right"/>
              <w:rPr/>
            </w:pPr>
            <w:r>
              <w:rPr>
                <w:b/>
                <w:bCs/>
                <w:color w:val="555F6E"/>
                <w:sz w:val="21"/>
                <w:szCs w:val="21"/>
              </w:rPr>
              <w:t>Institution</w:t>
            </w:r>
          </w:p>
        </w:tc>
        <w:tc>
          <w:tcPr>
            <w:tcW w:w="300" w:type="dxa"/>
            <w:tcBorders/>
            <w:tcMar>
              <w:top w:w="0" w:type="dxa"/>
              <w:left w:w="108" w:type="dxa"/>
              <w:bottom w:w="0" w:type="dxa"/>
              <w:right w:w="108" w:type="dxa"/>
            </w:tcMar>
          </w:tcPr>
          <w:p>
            <w:pPr>
              <w:pStyle w:val="Normal"/>
              <w:rPr/>
            </w:pPr>
            <w:r>
              <w:rPr/>
            </w:r>
          </w:p>
        </w:tc>
        <w:tc>
          <w:tcPr>
            <w:tcW w:w="4600" w:type="dxa"/>
            <w:tcBorders/>
          </w:tcPr>
          <w:p>
            <w:pPr>
              <w:pStyle w:val="Normal"/>
              <w:rPr/>
            </w:pPr>
            <w:r>
              <w:rPr>
                <w:color w:val="1A2438"/>
                <w:sz w:val="21"/>
                <w:szCs w:val="21"/>
              </w:rPr>
              <w:t>Northern University Bangladesh (NUB)</w:t>
            </w:r>
          </w:p>
        </w:tc>
      </w:tr>
      <w:tr>
        <w:trPr/>
        <w:tc>
          <w:tcPr>
            <w:tcW w:w="2600" w:type="dxa"/>
            <w:tcBorders/>
          </w:tcPr>
          <w:p>
            <w:pPr>
              <w:pStyle w:val="Normal"/>
              <w:jc w:val="right"/>
              <w:rPr/>
            </w:pPr>
            <w:r>
              <w:rPr>
                <w:b/>
                <w:bCs/>
                <w:color w:val="555F6E"/>
                <w:sz w:val="21"/>
                <w:szCs w:val="21"/>
              </w:rPr>
              <w:t>Department</w:t>
            </w:r>
          </w:p>
        </w:tc>
        <w:tc>
          <w:tcPr>
            <w:tcW w:w="300" w:type="dxa"/>
            <w:tcBorders/>
            <w:tcMar>
              <w:top w:w="0" w:type="dxa"/>
              <w:left w:w="108" w:type="dxa"/>
              <w:bottom w:w="0" w:type="dxa"/>
              <w:right w:w="108" w:type="dxa"/>
            </w:tcMar>
          </w:tcPr>
          <w:p>
            <w:pPr>
              <w:pStyle w:val="Normal"/>
              <w:rPr/>
            </w:pPr>
            <w:r>
              <w:rPr/>
            </w:r>
          </w:p>
        </w:tc>
        <w:tc>
          <w:tcPr>
            <w:tcW w:w="4600" w:type="dxa"/>
            <w:tcBorders/>
          </w:tcPr>
          <w:p>
            <w:pPr>
              <w:pStyle w:val="Normal"/>
              <w:rPr/>
            </w:pPr>
            <w:r>
              <w:rPr>
                <w:color w:val="1A2438"/>
                <w:sz w:val="21"/>
                <w:szCs w:val="21"/>
              </w:rPr>
              <w:t>Computer Science &amp; Engineering</w:t>
            </w:r>
          </w:p>
        </w:tc>
      </w:tr>
      <w:tr>
        <w:trPr/>
        <w:tc>
          <w:tcPr>
            <w:tcW w:w="2600" w:type="dxa"/>
            <w:tcBorders/>
          </w:tcPr>
          <w:p>
            <w:pPr>
              <w:pStyle w:val="Normal"/>
              <w:jc w:val="right"/>
              <w:rPr/>
            </w:pPr>
            <w:r>
              <w:rPr>
                <w:b/>
                <w:bCs/>
                <w:color w:val="555F6E"/>
                <w:sz w:val="21"/>
                <w:szCs w:val="21"/>
              </w:rPr>
              <w:t>Year / Semester</w:t>
            </w:r>
          </w:p>
        </w:tc>
        <w:tc>
          <w:tcPr>
            <w:tcW w:w="300" w:type="dxa"/>
            <w:tcBorders/>
            <w:tcMar>
              <w:top w:w="0" w:type="dxa"/>
              <w:left w:w="108" w:type="dxa"/>
              <w:bottom w:w="0" w:type="dxa"/>
              <w:right w:w="108" w:type="dxa"/>
            </w:tcMar>
          </w:tcPr>
          <w:p>
            <w:pPr>
              <w:pStyle w:val="Normal"/>
              <w:rPr/>
            </w:pPr>
            <w:r>
              <w:rPr/>
            </w:r>
          </w:p>
        </w:tc>
        <w:tc>
          <w:tcPr>
            <w:tcW w:w="4600" w:type="dxa"/>
            <w:tcBorders/>
          </w:tcPr>
          <w:p>
            <w:pPr>
              <w:pStyle w:val="Normal"/>
              <w:rPr/>
            </w:pPr>
            <w:r>
              <w:rPr>
                <w:color w:val="1A2438"/>
                <w:sz w:val="21"/>
                <w:szCs w:val="21"/>
              </w:rPr>
              <w:t>3rd Year</w:t>
            </w:r>
          </w:p>
        </w:tc>
      </w:tr>
      <w:tr>
        <w:trPr/>
        <w:tc>
          <w:tcPr>
            <w:tcW w:w="2600" w:type="dxa"/>
            <w:tcBorders/>
          </w:tcPr>
          <w:p>
            <w:pPr>
              <w:pStyle w:val="Normal"/>
              <w:jc w:val="right"/>
              <w:rPr/>
            </w:pPr>
            <w:r>
              <w:rPr>
                <w:b/>
                <w:bCs/>
                <w:color w:val="555F6E"/>
                <w:sz w:val="21"/>
                <w:szCs w:val="21"/>
              </w:rPr>
              <w:t>Contact</w:t>
            </w:r>
          </w:p>
        </w:tc>
        <w:tc>
          <w:tcPr>
            <w:tcW w:w="300" w:type="dxa"/>
            <w:tcBorders/>
            <w:tcMar>
              <w:top w:w="0" w:type="dxa"/>
              <w:left w:w="108" w:type="dxa"/>
              <w:bottom w:w="0" w:type="dxa"/>
              <w:right w:w="108" w:type="dxa"/>
            </w:tcMar>
          </w:tcPr>
          <w:p>
            <w:pPr>
              <w:pStyle w:val="Normal"/>
              <w:rPr/>
            </w:pPr>
            <w:r>
              <w:rPr/>
            </w:r>
          </w:p>
        </w:tc>
        <w:tc>
          <w:tcPr>
            <w:tcW w:w="4600" w:type="dxa"/>
            <w:tcBorders/>
          </w:tcPr>
          <w:p>
            <w:pPr>
              <w:pStyle w:val="Normal"/>
              <w:rPr/>
            </w:pPr>
            <w:r>
              <w:rPr>
                <w:color w:val="1A2438"/>
                <w:sz w:val="21"/>
                <w:szCs w:val="21"/>
              </w:rPr>
              <w:t>shariya873@gmail.com · 01831525212</w:t>
            </w:r>
          </w:p>
        </w:tc>
      </w:tr>
      <w:tr>
        <w:trPr/>
        <w:tc>
          <w:tcPr>
            <w:tcW w:w="2600" w:type="dxa"/>
            <w:tcBorders/>
          </w:tcPr>
          <w:p>
            <w:pPr>
              <w:pStyle w:val="Normal"/>
              <w:jc w:val="right"/>
              <w:rPr/>
            </w:pPr>
            <w:r>
              <w:rPr>
                <w:b/>
                <w:bCs/>
                <w:color w:val="555F6E"/>
                <w:sz w:val="21"/>
                <w:szCs w:val="21"/>
              </w:rPr>
              <w:t>Event</w:t>
            </w:r>
          </w:p>
        </w:tc>
        <w:tc>
          <w:tcPr>
            <w:tcW w:w="300" w:type="dxa"/>
            <w:tcBorders/>
            <w:tcMar>
              <w:top w:w="0" w:type="dxa"/>
              <w:left w:w="108" w:type="dxa"/>
              <w:bottom w:w="0" w:type="dxa"/>
              <w:right w:w="108" w:type="dxa"/>
            </w:tcMar>
          </w:tcPr>
          <w:p>
            <w:pPr>
              <w:pStyle w:val="Normal"/>
              <w:rPr/>
            </w:pPr>
            <w:r>
              <w:rPr/>
            </w:r>
          </w:p>
        </w:tc>
        <w:tc>
          <w:tcPr>
            <w:tcW w:w="4600" w:type="dxa"/>
            <w:tcBorders/>
          </w:tcPr>
          <w:p>
            <w:pPr>
              <w:pStyle w:val="Normal"/>
              <w:rPr/>
            </w:pPr>
            <w:r>
              <w:rPr>
                <w:color w:val="1A2438"/>
                <w:sz w:val="21"/>
                <w:szCs w:val="21"/>
              </w:rPr>
              <w:t>MindSparks 2026 — Project Showcase Challenge</w:t>
            </w:r>
          </w:p>
        </w:tc>
      </w:tr>
    </w:tbl>
    <w:p>
      <w:pPr>
        <w:pStyle w:val="Normal"/>
        <w:spacing w:before="1200" w:after="0"/>
        <w:jc w:val="center"/>
        <w:rPr/>
      </w:pPr>
      <w:r>
        <w:rPr>
          <w:b/>
          <w:bCs/>
          <w:color w:val="555F6E"/>
          <w:spacing w:val="40"/>
          <w:sz w:val="18"/>
          <w:szCs w:val="18"/>
        </w:rPr>
        <w:t>Technology Stack</w:t>
      </w:r>
    </w:p>
    <w:p>
      <w:pPr>
        <w:pStyle w:val="Normal"/>
        <w:spacing w:before="60" w:after="0"/>
        <w:jc w:val="center"/>
        <w:rPr/>
      </w:pPr>
      <w:r>
        <w:rPr>
          <w:color w:val="1A2438"/>
          <w:sz w:val="20"/>
          <w:szCs w:val="20"/>
        </w:rPr>
        <w:t>Laravel 11  ·  Vue 3 + Inertia.js  ·  MySQL 8  ·  RAG Pipeline  ·  Pluggable AI Providers</w:t>
      </w:r>
    </w:p>
    <w:p>
      <w:pPr>
        <w:pStyle w:val="Normal"/>
        <w:rPr/>
      </w:pPr>
      <w:r>
        <w:rPr/>
      </w:r>
      <w:r>
        <w:br w:type="page"/>
      </w:r>
    </w:p>
    <w:p>
      <w:pPr>
        <w:pStyle w:val="Heading1"/>
        <w:spacing w:before="0" w:after="160"/>
        <w:rPr/>
      </w:pPr>
      <w:bookmarkStart w:id="0" w:name="__RefHeading___Toc651_1232878261"/>
      <w:bookmarkEnd w:id="0"/>
      <w:r>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651_1232878261">
            <w:r>
              <w:rPr>
                <w:rStyle w:val="IndexLink"/>
              </w:rPr>
              <w:t>Table of Contents</w:t>
              <w:tab/>
              <w:t>2</w:t>
            </w:r>
          </w:hyperlink>
        </w:p>
        <w:p>
          <w:pPr>
            <w:pStyle w:val="TOC1"/>
            <w:tabs>
              <w:tab w:val="clear" w:pos="9360"/>
              <w:tab w:val="right" w:pos="9359" w:leader="dot"/>
            </w:tabs>
            <w:rPr/>
          </w:pPr>
          <w:hyperlink w:anchor="__RefHeading___Toc653_1232878261">
            <w:r>
              <w:rPr>
                <w:rStyle w:val="IndexLink"/>
              </w:rPr>
              <w:t>1. Executive Summary</w:t>
              <w:tab/>
              <w:t>3</w:t>
            </w:r>
          </w:hyperlink>
        </w:p>
        <w:p>
          <w:pPr>
            <w:pStyle w:val="TOC1"/>
            <w:tabs>
              <w:tab w:val="clear" w:pos="9360"/>
              <w:tab w:val="right" w:pos="9359" w:leader="dot"/>
            </w:tabs>
            <w:rPr/>
          </w:pPr>
          <w:hyperlink w:anchor="__RefHeading___Toc655_1232878261">
            <w:r>
              <w:rPr>
                <w:rStyle w:val="IndexLink"/>
              </w:rPr>
              <w:t>2. Introduction</w:t>
              <w:tab/>
              <w:t>3</w:t>
            </w:r>
          </w:hyperlink>
        </w:p>
        <w:p>
          <w:pPr>
            <w:pStyle w:val="TOC2"/>
            <w:tabs>
              <w:tab w:val="clear" w:pos="9077"/>
              <w:tab w:val="right" w:pos="9359" w:leader="dot"/>
            </w:tabs>
            <w:rPr/>
          </w:pPr>
          <w:hyperlink w:anchor="__RefHeading___Toc657_1232878261">
            <w:r>
              <w:rPr>
                <w:rStyle w:val="IndexLink"/>
              </w:rPr>
              <w:t>2.1 Background</w:t>
              <w:tab/>
              <w:t>3</w:t>
            </w:r>
          </w:hyperlink>
        </w:p>
        <w:p>
          <w:pPr>
            <w:pStyle w:val="TOC2"/>
            <w:tabs>
              <w:tab w:val="clear" w:pos="9077"/>
              <w:tab w:val="right" w:pos="9359" w:leader="dot"/>
            </w:tabs>
            <w:rPr/>
          </w:pPr>
          <w:hyperlink w:anchor="__RefHeading___Toc659_1232878261">
            <w:r>
              <w:rPr>
                <w:rStyle w:val="IndexLink"/>
              </w:rPr>
              <w:t>2.2 Motivation</w:t>
              <w:tab/>
              <w:t>3</w:t>
            </w:r>
          </w:hyperlink>
        </w:p>
        <w:p>
          <w:pPr>
            <w:pStyle w:val="TOC2"/>
            <w:tabs>
              <w:tab w:val="clear" w:pos="9077"/>
              <w:tab w:val="right" w:pos="9359" w:leader="dot"/>
            </w:tabs>
            <w:rPr/>
          </w:pPr>
          <w:hyperlink w:anchor="__RefHeading___Toc661_1232878261">
            <w:r>
              <w:rPr>
                <w:rStyle w:val="IndexLink"/>
              </w:rPr>
              <w:t>2.3 Objectives</w:t>
              <w:tab/>
              <w:t>4</w:t>
            </w:r>
          </w:hyperlink>
        </w:p>
        <w:p>
          <w:pPr>
            <w:pStyle w:val="TOC2"/>
            <w:tabs>
              <w:tab w:val="clear" w:pos="9077"/>
              <w:tab w:val="right" w:pos="9359" w:leader="dot"/>
            </w:tabs>
            <w:rPr/>
          </w:pPr>
          <w:hyperlink w:anchor="__RefHeading___Toc663_1232878261">
            <w:r>
              <w:rPr>
                <w:rStyle w:val="IndexLink"/>
              </w:rPr>
              <w:t>2.4 Scope</w:t>
              <w:tab/>
              <w:t>4</w:t>
            </w:r>
          </w:hyperlink>
        </w:p>
        <w:p>
          <w:pPr>
            <w:pStyle w:val="TOC1"/>
            <w:tabs>
              <w:tab w:val="clear" w:pos="9360"/>
              <w:tab w:val="right" w:pos="9359" w:leader="dot"/>
            </w:tabs>
            <w:rPr/>
          </w:pPr>
          <w:hyperlink w:anchor="__RefHeading___Toc665_1232878261">
            <w:r>
              <w:rPr>
                <w:rStyle w:val="IndexLink"/>
              </w:rPr>
              <w:t>3. Problem Analysis</w:t>
              <w:tab/>
              <w:t>4</w:t>
            </w:r>
          </w:hyperlink>
        </w:p>
        <w:p>
          <w:pPr>
            <w:pStyle w:val="TOC2"/>
            <w:tabs>
              <w:tab w:val="clear" w:pos="9077"/>
              <w:tab w:val="right" w:pos="9359" w:leader="dot"/>
            </w:tabs>
            <w:rPr/>
          </w:pPr>
          <w:hyperlink w:anchor="__RefHeading___Toc667_1232878261">
            <w:r>
              <w:rPr>
                <w:rStyle w:val="IndexLink"/>
              </w:rPr>
              <w:t>3.1 Student Problems</w:t>
              <w:tab/>
              <w:t>4</w:t>
            </w:r>
          </w:hyperlink>
        </w:p>
        <w:p>
          <w:pPr>
            <w:pStyle w:val="TOC2"/>
            <w:tabs>
              <w:tab w:val="clear" w:pos="9077"/>
              <w:tab w:val="right" w:pos="9359" w:leader="dot"/>
            </w:tabs>
            <w:rPr/>
          </w:pPr>
          <w:hyperlink w:anchor="__RefHeading___Toc669_1232878261">
            <w:r>
              <w:rPr>
                <w:rStyle w:val="IndexLink"/>
              </w:rPr>
              <w:t>3.2 Faculty Problems</w:t>
              <w:tab/>
              <w:t>5</w:t>
            </w:r>
          </w:hyperlink>
        </w:p>
        <w:p>
          <w:pPr>
            <w:pStyle w:val="TOC2"/>
            <w:tabs>
              <w:tab w:val="clear" w:pos="9077"/>
              <w:tab w:val="right" w:pos="9359" w:leader="dot"/>
            </w:tabs>
            <w:rPr/>
          </w:pPr>
          <w:hyperlink w:anchor="__RefHeading___Toc671_1232878261">
            <w:r>
              <w:rPr>
                <w:rStyle w:val="IndexLink"/>
              </w:rPr>
              <w:t>3.3 Administrative Problems</w:t>
              <w:tab/>
              <w:t>5</w:t>
            </w:r>
          </w:hyperlink>
        </w:p>
        <w:p>
          <w:pPr>
            <w:pStyle w:val="TOC1"/>
            <w:tabs>
              <w:tab w:val="clear" w:pos="9360"/>
              <w:tab w:val="right" w:pos="9359" w:leader="dot"/>
            </w:tabs>
            <w:rPr/>
          </w:pPr>
          <w:hyperlink w:anchor="__RefHeading___Toc673_1232878261">
            <w:r>
              <w:rPr>
                <w:rStyle w:val="IndexLink"/>
              </w:rPr>
              <w:t>4. Proposed Solution</w:t>
              <w:tab/>
              <w:t>5</w:t>
            </w:r>
          </w:hyperlink>
        </w:p>
        <w:p>
          <w:pPr>
            <w:pStyle w:val="TOC2"/>
            <w:tabs>
              <w:tab w:val="clear" w:pos="9077"/>
              <w:tab w:val="right" w:pos="9359" w:leader="dot"/>
            </w:tabs>
            <w:rPr/>
          </w:pPr>
          <w:hyperlink w:anchor="__RefHeading___Toc675_1232878261">
            <w:r>
              <w:rPr>
                <w:rStyle w:val="IndexLink"/>
              </w:rPr>
              <w:t>4.1 Academic Structure</w:t>
              <w:tab/>
              <w:t>5</w:t>
            </w:r>
          </w:hyperlink>
        </w:p>
        <w:p>
          <w:pPr>
            <w:pStyle w:val="TOC2"/>
            <w:tabs>
              <w:tab w:val="clear" w:pos="9077"/>
              <w:tab w:val="right" w:pos="9359" w:leader="dot"/>
            </w:tabs>
            <w:rPr/>
          </w:pPr>
          <w:hyperlink w:anchor="__RefHeading___Toc677_1232878261">
            <w:r>
              <w:rPr>
                <w:rStyle w:val="IndexLink"/>
              </w:rPr>
              <w:t>4.2 Three Role-Based Experiences</w:t>
              <w:tab/>
              <w:t>6</w:t>
            </w:r>
          </w:hyperlink>
        </w:p>
        <w:p>
          <w:pPr>
            <w:pStyle w:val="TOC2"/>
            <w:tabs>
              <w:tab w:val="clear" w:pos="9077"/>
              <w:tab w:val="right" w:pos="9359" w:leader="dot"/>
            </w:tabs>
            <w:rPr/>
          </w:pPr>
          <w:hyperlink w:anchor="__RefHeading___Toc679_1232878261">
            <w:r>
              <w:rPr>
                <w:rStyle w:val="IndexLink"/>
              </w:rPr>
              <w:t>4.3 The Dual-Provider AI Engine</w:t>
              <w:tab/>
              <w:t>6</w:t>
            </w:r>
          </w:hyperlink>
        </w:p>
        <w:p>
          <w:pPr>
            <w:pStyle w:val="TOC1"/>
            <w:tabs>
              <w:tab w:val="clear" w:pos="9360"/>
              <w:tab w:val="right" w:pos="9359" w:leader="dot"/>
            </w:tabs>
            <w:rPr/>
          </w:pPr>
          <w:hyperlink w:anchor="__RefHeading___Toc681_1232878261">
            <w:r>
              <w:rPr>
                <w:rStyle w:val="IndexLink"/>
              </w:rPr>
              <w:t>5. System Architecture</w:t>
              <w:tab/>
              <w:t>6</w:t>
            </w:r>
          </w:hyperlink>
        </w:p>
        <w:p>
          <w:pPr>
            <w:pStyle w:val="TOC2"/>
            <w:tabs>
              <w:tab w:val="clear" w:pos="9077"/>
              <w:tab w:val="right" w:pos="9359" w:leader="dot"/>
            </w:tabs>
            <w:rPr/>
          </w:pPr>
          <w:hyperlink w:anchor="__RefHeading___Toc683_1232878261">
            <w:r>
              <w:rPr>
                <w:rStyle w:val="IndexLink"/>
              </w:rPr>
              <w:t>5.1 Layered Overview</w:t>
              <w:tab/>
              <w:t>6</w:t>
            </w:r>
          </w:hyperlink>
        </w:p>
        <w:p>
          <w:pPr>
            <w:pStyle w:val="TOC2"/>
            <w:tabs>
              <w:tab w:val="clear" w:pos="9077"/>
              <w:tab w:val="right" w:pos="9359" w:leader="dot"/>
            </w:tabs>
            <w:rPr/>
          </w:pPr>
          <w:hyperlink w:anchor="__RefHeading___Toc685_1232878261">
            <w:r>
              <w:rPr>
                <w:rStyle w:val="IndexLink"/>
              </w:rPr>
              <w:t>5.2 Technology Choices and Rationale</w:t>
              <w:tab/>
              <w:t>7</w:t>
            </w:r>
          </w:hyperlink>
        </w:p>
        <w:p>
          <w:pPr>
            <w:pStyle w:val="TOC1"/>
            <w:tabs>
              <w:tab w:val="clear" w:pos="9360"/>
              <w:tab w:val="right" w:pos="9359" w:leader="dot"/>
            </w:tabs>
            <w:rPr/>
          </w:pPr>
          <w:hyperlink w:anchor="__RefHeading___Toc687_1232878261">
            <w:r>
              <w:rPr>
                <w:rStyle w:val="IndexLink"/>
              </w:rPr>
              <w:t>6. The AI Core: Retrieval-Augmented Generation</w:t>
              <w:tab/>
              <w:t>7</w:t>
            </w:r>
          </w:hyperlink>
        </w:p>
        <w:p>
          <w:pPr>
            <w:pStyle w:val="TOC2"/>
            <w:tabs>
              <w:tab w:val="clear" w:pos="9077"/>
              <w:tab w:val="right" w:pos="9359" w:leader="dot"/>
            </w:tabs>
            <w:rPr/>
          </w:pPr>
          <w:hyperlink w:anchor="__RefHeading___Toc689_1232878261">
            <w:r>
              <w:rPr>
                <w:rStyle w:val="IndexLink"/>
              </w:rPr>
              <w:t>6.1 The Pipeline</w:t>
              <w:tab/>
              <w:t>7</w:t>
            </w:r>
          </w:hyperlink>
        </w:p>
        <w:p>
          <w:pPr>
            <w:pStyle w:val="TOC2"/>
            <w:tabs>
              <w:tab w:val="clear" w:pos="9077"/>
              <w:tab w:val="right" w:pos="9359" w:leader="dot"/>
            </w:tabs>
            <w:rPr/>
          </w:pPr>
          <w:hyperlink w:anchor="__RefHeading___Toc691_1232878261">
            <w:r>
              <w:rPr>
                <w:rStyle w:val="IndexLink"/>
              </w:rPr>
              <w:t>6.2 Permission-Aware Retrieval</w:t>
              <w:tab/>
              <w:t>7</w:t>
            </w:r>
          </w:hyperlink>
        </w:p>
        <w:p>
          <w:pPr>
            <w:pStyle w:val="TOC2"/>
            <w:tabs>
              <w:tab w:val="clear" w:pos="9077"/>
              <w:tab w:val="right" w:pos="9359" w:leader="dot"/>
            </w:tabs>
            <w:rPr/>
          </w:pPr>
          <w:hyperlink w:anchor="__RefHeading___Toc693_1232878261">
            <w:r>
              <w:rPr>
                <w:rStyle w:val="IndexLink"/>
              </w:rPr>
              <w:t>6.3 Why This Beats a Generic Chatbot</w:t>
              <w:tab/>
              <w:t>8</w:t>
            </w:r>
          </w:hyperlink>
        </w:p>
        <w:p>
          <w:pPr>
            <w:pStyle w:val="TOC1"/>
            <w:tabs>
              <w:tab w:val="clear" w:pos="9360"/>
              <w:tab w:val="right" w:pos="9359" w:leader="dot"/>
            </w:tabs>
            <w:rPr/>
          </w:pPr>
          <w:hyperlink w:anchor="__RefHeading___Toc695_1232878261">
            <w:r>
              <w:rPr>
                <w:rStyle w:val="IndexLink"/>
              </w:rPr>
              <w:t>7. Core Features</w:t>
              <w:tab/>
              <w:t>9</w:t>
            </w:r>
          </w:hyperlink>
        </w:p>
        <w:p>
          <w:pPr>
            <w:pStyle w:val="TOC2"/>
            <w:tabs>
              <w:tab w:val="clear" w:pos="9077"/>
              <w:tab w:val="right" w:pos="9359" w:leader="dot"/>
            </w:tabs>
            <w:rPr/>
          </w:pPr>
          <w:hyperlink w:anchor="__RefHeading___Toc697_1232878261">
            <w:r>
              <w:rPr>
                <w:rStyle w:val="IndexLink"/>
              </w:rPr>
              <w:t>7.1 Student Features</w:t>
              <w:tab/>
              <w:t>9</w:t>
            </w:r>
          </w:hyperlink>
        </w:p>
        <w:p>
          <w:pPr>
            <w:pStyle w:val="TOC2"/>
            <w:tabs>
              <w:tab w:val="clear" w:pos="9077"/>
              <w:tab w:val="right" w:pos="9359" w:leader="dot"/>
            </w:tabs>
            <w:rPr/>
          </w:pPr>
          <w:hyperlink w:anchor="__RefHeading___Toc699_1232878261">
            <w:r>
              <w:rPr>
                <w:rStyle w:val="IndexLink"/>
              </w:rPr>
              <w:t>7.2 Faculty Features</w:t>
              <w:tab/>
              <w:t>9</w:t>
            </w:r>
          </w:hyperlink>
        </w:p>
        <w:p>
          <w:pPr>
            <w:pStyle w:val="TOC2"/>
            <w:tabs>
              <w:tab w:val="clear" w:pos="9077"/>
              <w:tab w:val="right" w:pos="9359" w:leader="dot"/>
            </w:tabs>
            <w:rPr/>
          </w:pPr>
          <w:hyperlink w:anchor="__RefHeading___Toc701_1232878261">
            <w:r>
              <w:rPr>
                <w:rStyle w:val="IndexLink"/>
              </w:rPr>
              <w:t>7.3 Administrator Features</w:t>
              <w:tab/>
              <w:t>9</w:t>
            </w:r>
          </w:hyperlink>
        </w:p>
        <w:p>
          <w:pPr>
            <w:pStyle w:val="TOC2"/>
            <w:tabs>
              <w:tab w:val="clear" w:pos="9077"/>
              <w:tab w:val="right" w:pos="9359" w:leader="dot"/>
            </w:tabs>
            <w:rPr/>
          </w:pPr>
          <w:hyperlink w:anchor="__RefHeading___Toc703_1232878261">
            <w:r>
              <w:rPr>
                <w:rStyle w:val="IndexLink"/>
              </w:rPr>
              <w:t>7.4 Platform-Wide Capabilities</w:t>
              <w:tab/>
              <w:t>9</w:t>
            </w:r>
          </w:hyperlink>
        </w:p>
        <w:p>
          <w:pPr>
            <w:pStyle w:val="TOC1"/>
            <w:tabs>
              <w:tab w:val="clear" w:pos="9360"/>
              <w:tab w:val="right" w:pos="9359" w:leader="dot"/>
            </w:tabs>
            <w:rPr/>
          </w:pPr>
          <w:hyperlink w:anchor="__RefHeading___Toc705_1232878261">
            <w:r>
              <w:rPr>
                <w:rStyle w:val="IndexLink"/>
              </w:rPr>
              <w:t>8. Implementation Status &amp; Results</w:t>
              <w:tab/>
              <w:t>10</w:t>
            </w:r>
          </w:hyperlink>
        </w:p>
        <w:p>
          <w:pPr>
            <w:pStyle w:val="TOC2"/>
            <w:tabs>
              <w:tab w:val="clear" w:pos="9077"/>
              <w:tab w:val="right" w:pos="9359" w:leader="dot"/>
            </w:tabs>
            <w:rPr/>
          </w:pPr>
          <w:hyperlink w:anchor="__RefHeading___Toc707_1232878261">
            <w:r>
              <w:rPr>
                <w:rStyle w:val="IndexLink"/>
              </w:rPr>
              <w:t>8.1 By the Numbers</w:t>
              <w:tab/>
              <w:t>10</w:t>
            </w:r>
          </w:hyperlink>
        </w:p>
        <w:p>
          <w:pPr>
            <w:pStyle w:val="TOC2"/>
            <w:tabs>
              <w:tab w:val="clear" w:pos="9077"/>
              <w:tab w:val="right" w:pos="9359" w:leader="dot"/>
            </w:tabs>
            <w:rPr/>
          </w:pPr>
          <w:hyperlink w:anchor="__RefHeading___Toc709_1232878261">
            <w:r>
              <w:rPr>
                <w:rStyle w:val="IndexLink"/>
              </w:rPr>
              <w:t>8.2 Expected Outcomes</w:t>
              <w:tab/>
              <w:t>10</w:t>
            </w:r>
          </w:hyperlink>
        </w:p>
        <w:p>
          <w:pPr>
            <w:pStyle w:val="TOC1"/>
            <w:tabs>
              <w:tab w:val="clear" w:pos="9360"/>
              <w:tab w:val="right" w:pos="9359" w:leader="dot"/>
            </w:tabs>
            <w:rPr/>
          </w:pPr>
          <w:hyperlink w:anchor="__RefHeading___Toc711_1232878261">
            <w:r>
              <w:rPr>
                <w:rStyle w:val="IndexLink"/>
              </w:rPr>
              <w:t>9. Interactive Prototype</w:t>
              <w:tab/>
              <w:t>10</w:t>
            </w:r>
          </w:hyperlink>
        </w:p>
        <w:p>
          <w:pPr>
            <w:pStyle w:val="TOC1"/>
            <w:tabs>
              <w:tab w:val="clear" w:pos="9360"/>
              <w:tab w:val="right" w:pos="9359" w:leader="dot"/>
            </w:tabs>
            <w:rPr/>
          </w:pPr>
          <w:hyperlink w:anchor="__RefHeading___Toc713_1232878261">
            <w:r>
              <w:rPr>
                <w:rStyle w:val="IndexLink"/>
              </w:rPr>
              <w:t>10. Impact &amp; Feasibility</w:t>
              <w:tab/>
              <w:t>11</w:t>
            </w:r>
          </w:hyperlink>
        </w:p>
        <w:p>
          <w:pPr>
            <w:pStyle w:val="TOC2"/>
            <w:tabs>
              <w:tab w:val="clear" w:pos="9077"/>
              <w:tab w:val="right" w:pos="9359" w:leader="dot"/>
            </w:tabs>
            <w:rPr/>
          </w:pPr>
          <w:hyperlink w:anchor="__RefHeading___Toc715_1232878261">
            <w:r>
              <w:rPr>
                <w:rStyle w:val="IndexLink"/>
              </w:rPr>
              <w:t>10.1 Technical Feasibility</w:t>
              <w:tab/>
              <w:t>11</w:t>
            </w:r>
          </w:hyperlink>
        </w:p>
        <w:p>
          <w:pPr>
            <w:pStyle w:val="TOC2"/>
            <w:tabs>
              <w:tab w:val="clear" w:pos="9077"/>
              <w:tab w:val="right" w:pos="9359" w:leader="dot"/>
            </w:tabs>
            <w:rPr/>
          </w:pPr>
          <w:hyperlink w:anchor="__RefHeading___Toc717_1232878261">
            <w:r>
              <w:rPr>
                <w:rStyle w:val="IndexLink"/>
              </w:rPr>
              <w:t>10.2 Societal Impact</w:t>
              <w:tab/>
              <w:t>11</w:t>
            </w:r>
          </w:hyperlink>
        </w:p>
        <w:p>
          <w:pPr>
            <w:pStyle w:val="TOC1"/>
            <w:tabs>
              <w:tab w:val="clear" w:pos="9360"/>
              <w:tab w:val="right" w:pos="9359" w:leader="dot"/>
            </w:tabs>
            <w:rPr/>
          </w:pPr>
          <w:hyperlink w:anchor="__RefHeading___Toc719_1232878261">
            <w:r>
              <w:rPr>
                <w:rStyle w:val="IndexLink"/>
              </w:rPr>
              <w:t>11. Scalability &amp; Future Work</w:t>
              <w:tab/>
              <w:t>11</w:t>
            </w:r>
          </w:hyperlink>
        </w:p>
        <w:p>
          <w:pPr>
            <w:pStyle w:val="TOC2"/>
            <w:tabs>
              <w:tab w:val="clear" w:pos="9077"/>
              <w:tab w:val="right" w:pos="9359" w:leader="dot"/>
            </w:tabs>
            <w:rPr/>
          </w:pPr>
          <w:hyperlink w:anchor="__RefHeading___Toc721_1232878261">
            <w:r>
              <w:rPr>
                <w:rStyle w:val="IndexLink"/>
              </w:rPr>
              <w:t>11.1 Roadmap</w:t>
              <w:tab/>
              <w:t>11</w:t>
            </w:r>
          </w:hyperlink>
        </w:p>
        <w:p>
          <w:pPr>
            <w:pStyle w:val="TOC1"/>
            <w:tabs>
              <w:tab w:val="clear" w:pos="9360"/>
              <w:tab w:val="right" w:pos="9359" w:leader="dot"/>
            </w:tabs>
            <w:rPr/>
          </w:pPr>
          <w:hyperlink w:anchor="__RefHeading___Toc723_1232878261">
            <w:r>
              <w:rPr>
                <w:rStyle w:val="IndexLink"/>
              </w:rPr>
              <w:t>12. Conclusion</w:t>
              <w:tab/>
              <w:t>11</w:t>
            </w:r>
          </w:hyperlink>
        </w:p>
        <w:p>
          <w:pPr>
            <w:pStyle w:val="TOC1"/>
            <w:tabs>
              <w:tab w:val="clear" w:pos="9360"/>
              <w:tab w:val="right" w:pos="9359" w:leader="dot"/>
            </w:tabs>
            <w:rPr/>
          </w:pPr>
          <w:hyperlink w:anchor="__RefHeading___Toc725_1232878261">
            <w:r>
              <w:rPr>
                <w:rStyle w:val="IndexLink"/>
              </w:rPr>
              <w:t>Appendix A: Deliverables Summary</w:t>
              <w:tab/>
              <w:t>12</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1" w:name="__RefHeading___Toc653_1232878261"/>
      <w:bookmarkEnd w:id="1"/>
      <w:r>
        <w:rPr/>
        <w:t>1.  Executive Summary</w:t>
      </w:r>
    </w:p>
    <w:p>
      <w:pPr>
        <w:pStyle w:val="Normal"/>
        <w:spacing w:lineRule="exact" w:line="276" w:before="0" w:after="140"/>
        <w:rPr/>
      </w:pPr>
      <w:r>
        <w:rPr>
          <w:sz w:val="22"/>
          <w:szCs w:val="22"/>
        </w:rPr>
        <w:t xml:space="preserve">UniGPT is an </w:t>
      </w:r>
      <w:r>
        <w:rPr>
          <w:b/>
          <w:bCs/>
          <w:sz w:val="22"/>
          <w:szCs w:val="22"/>
        </w:rPr>
        <w:t>intelligent, centralized academic platform</w:t>
      </w:r>
      <w:r>
        <w:rPr>
          <w:sz w:val="22"/>
          <w:szCs w:val="22"/>
        </w:rPr>
        <w:t xml:space="preserve"> that unifies the fragmented digital life of a modern university into a single, role-aware system powered by Artificial Intelligence. Rather than forcing students, faculty, and administrators to navigate ERP portals, messaging groups, classroom apps, spreadsheets, and paper records, UniGPT brings academic communication, course management, attendance, assessments, document sharing, analytics, and AI-assisted decision support together in one place.</w:t>
      </w:r>
    </w:p>
    <w:p>
      <w:pPr>
        <w:pStyle w:val="Normal"/>
        <w:spacing w:lineRule="exact" w:line="276" w:before="0" w:after="140"/>
        <w:rPr/>
      </w:pPr>
      <w:r>
        <w:rPr>
          <w:sz w:val="22"/>
          <w:szCs w:val="22"/>
        </w:rPr>
        <w:t xml:space="preserve">The defining innovation of UniGPT is its </w:t>
      </w:r>
      <w:r>
        <w:rPr>
          <w:b/>
          <w:bCs/>
          <w:sz w:val="22"/>
          <w:szCs w:val="22"/>
        </w:rPr>
        <w:t>Retrieval-Augmented Generation (RAG) architecture</w:t>
      </w:r>
      <w:r>
        <w:rPr>
          <w:sz w:val="22"/>
          <w:szCs w:val="22"/>
        </w:rPr>
        <w:t xml:space="preserve">. Unlike generic chatbots that can hallucinate, UniGPT grounds every answer in the institution’s own </w:t>
      </w:r>
      <w:r>
        <w:rPr>
          <w:b/>
          <w:bCs/>
          <w:sz w:val="22"/>
          <w:szCs w:val="22"/>
        </w:rPr>
        <w:t>approved documents</w:t>
      </w:r>
      <w:r>
        <w:rPr>
          <w:sz w:val="22"/>
          <w:szCs w:val="22"/>
        </w:rPr>
        <w:t xml:space="preserve"> — syllabi, policies, handbooks, and lecture materials — and attaches a source citation (down to the document and page) and a confidence score to every response. This makes the system trustworthy, auditable, and safe for high-stakes academic use.</w:t>
      </w:r>
    </w:p>
    <w:p>
      <w:pPr>
        <w:pStyle w:val="Normal"/>
        <w:spacing w:lineRule="exact" w:line="276" w:before="0" w:after="140"/>
        <w:rPr/>
      </w:pPr>
      <w:r>
        <w:rPr>
          <w:sz w:val="22"/>
          <w:szCs w:val="22"/>
        </w:rPr>
        <w:t xml:space="preserve">UniGPT is not a concept; it is a working platform. The core has been implemented across all three user roles, including the dual-provider AI engine, the document approval and indexing pipeline, proctored assessments, and real-time messaging. It is engineered to require </w:t>
      </w:r>
      <w:r>
        <w:rPr>
          <w:b/>
          <w:bCs/>
          <w:sz w:val="22"/>
          <w:szCs w:val="22"/>
        </w:rPr>
        <w:t>zero external AI dependencies</w:t>
      </w:r>
      <w:r>
        <w:rPr>
          <w:sz w:val="22"/>
          <w:szCs w:val="22"/>
        </w:rPr>
        <w:t xml:space="preserve"> — a built-in mock provider lets the entire product be demonstrated on any laptop with no API keys and no setup.</w:t>
      </w:r>
    </w:p>
    <w:p>
      <w:pPr>
        <w:pStyle w:val="Normal"/>
        <w:spacing w:before="0" w:after="4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4" w:space="0" w:color="0D9488"/>
              <w:left w:val="single" w:sz="4" w:space="0" w:color="0D9488"/>
              <w:bottom w:val="single" w:sz="4" w:space="0" w:color="0D9488"/>
              <w:right w:val="single" w:sz="4" w:space="0" w:color="0D9488"/>
            </w:tcBorders>
            <w:shd w:fill="E6F7F4" w:val="clear"/>
          </w:tcPr>
          <w:p>
            <w:pPr>
              <w:pStyle w:val="Normal"/>
              <w:spacing w:before="0" w:after="60"/>
              <w:rPr/>
            </w:pPr>
            <w:r>
              <w:rPr>
                <w:b/>
                <w:bCs/>
                <w:color w:val="0D9488"/>
                <w:sz w:val="21"/>
                <w:szCs w:val="21"/>
              </w:rPr>
              <w:t>At a glance</w:t>
            </w:r>
          </w:p>
          <w:p>
            <w:pPr>
              <w:pStyle w:val="Normal"/>
              <w:spacing w:lineRule="exact" w:line="260" w:before="0" w:after="40"/>
              <w:rPr/>
            </w:pPr>
            <w:r>
              <w:rPr>
                <w:color w:val="1A2438"/>
                <w:sz w:val="20"/>
                <w:szCs w:val="20"/>
              </w:rPr>
              <w:t>Three role-based experiences (Student, Faculty, Admin) behind one login.</w:t>
            </w:r>
          </w:p>
          <w:p>
            <w:pPr>
              <w:pStyle w:val="Normal"/>
              <w:spacing w:lineRule="exact" w:line="260" w:before="0" w:after="40"/>
              <w:rPr/>
            </w:pPr>
            <w:r>
              <w:rPr>
                <w:color w:val="1A2438"/>
                <w:sz w:val="20"/>
                <w:szCs w:val="20"/>
              </w:rPr>
              <w:t>Grounded AI tutor with citations and confidence scores on every answer.</w:t>
            </w:r>
          </w:p>
          <w:p>
            <w:pPr>
              <w:pStyle w:val="Normal"/>
              <w:spacing w:lineRule="exact" w:line="260" w:before="0" w:after="40"/>
              <w:rPr/>
            </w:pPr>
            <w:r>
              <w:rPr>
                <w:color w:val="1A2438"/>
                <w:sz w:val="20"/>
                <w:szCs w:val="20"/>
              </w:rPr>
              <w:t>MySQL-native vector search — no separate vector database to operate.</w:t>
            </w:r>
          </w:p>
          <w:p>
            <w:pPr>
              <w:pStyle w:val="Normal"/>
              <w:spacing w:lineRule="exact" w:line="260" w:before="0" w:after="40"/>
              <w:rPr/>
            </w:pPr>
            <w:r>
              <w:rPr>
                <w:color w:val="1A2438"/>
                <w:sz w:val="20"/>
                <w:szCs w:val="20"/>
              </w:rPr>
              <w:t>Pluggable AI providers: Mock (default) and OpenAI, with a path to others.</w:t>
            </w:r>
          </w:p>
          <w:p>
            <w:pPr>
              <w:pStyle w:val="Normal"/>
              <w:spacing w:lineRule="exact" w:line="260" w:before="0" w:after="40"/>
              <w:rPr/>
            </w:pPr>
            <w:r>
              <w:rPr>
                <w:color w:val="1A2438"/>
                <w:sz w:val="20"/>
                <w:szCs w:val="20"/>
              </w:rPr>
              <w:t>Production-ready core: 3 dashboards, 40+ permissions, 100% of core workflows wired end-to-end.</w:t>
            </w:r>
          </w:p>
        </w:tc>
      </w:tr>
    </w:tbl>
    <w:p>
      <w:pPr>
        <w:pStyle w:val="Heading1"/>
        <w:rPr/>
      </w:pPr>
      <w:bookmarkStart w:id="2" w:name="__RefHeading___Toc655_1232878261"/>
      <w:bookmarkEnd w:id="2"/>
      <w:r>
        <w:rPr/>
        <w:t>2.  Introduction</w:t>
      </w:r>
    </w:p>
    <w:p>
      <w:pPr>
        <w:pStyle w:val="Heading2"/>
        <w:rPr/>
      </w:pPr>
      <w:bookmarkStart w:id="3" w:name="__RefHeading___Toc657_1232878261"/>
      <w:bookmarkEnd w:id="3"/>
      <w:r>
        <w:rPr/>
        <w:t>2.1  Background</w:t>
      </w:r>
    </w:p>
    <w:p>
      <w:pPr>
        <w:pStyle w:val="Normal"/>
        <w:spacing w:lineRule="exact" w:line="276" w:before="0" w:after="140"/>
        <w:rPr/>
      </w:pPr>
      <w:r>
        <w:rPr>
          <w:sz w:val="22"/>
          <w:szCs w:val="22"/>
        </w:rPr>
        <w:t>Universities generate and depend on an enormous amount of institutional knowledge: course materials, notices, assignment guidelines, attendance records, grading policies, and academic regulations. In practice, this knowledge is scattered across many disconnected platforms. A student may receive a notice on a messaging group, lecture slides through a classroom app, attendance in a spreadsheet they never see, and a transcript only by physically visiting an academic office. The information almost always exists — it is simply difficult to reach at the moment it is needed.</w:t>
      </w:r>
    </w:p>
    <w:p>
      <w:pPr>
        <w:pStyle w:val="Heading2"/>
        <w:rPr/>
      </w:pPr>
      <w:bookmarkStart w:id="4" w:name="__RefHeading___Toc659_1232878261"/>
      <w:bookmarkEnd w:id="4"/>
      <w:r>
        <w:rPr/>
        <w:t>2.2  Motivation</w:t>
      </w:r>
    </w:p>
    <w:p>
      <w:pPr>
        <w:pStyle w:val="Normal"/>
        <w:spacing w:lineRule="exact" w:line="276" w:before="0" w:after="140"/>
        <w:rPr/>
      </w:pPr>
      <w:r>
        <w:rPr>
          <w:sz w:val="22"/>
          <w:szCs w:val="22"/>
        </w:rPr>
        <w:t>This project began with a lived problem. A class test had been rescheduled, and the new date was posted in a messaging group the author was no longer part of. The information existed but was unreachable. This is the recurring failure of modern academic communication: the problem is rarely a lack of information, but the fragmentation of it across ten disconnected places. UniGPT was built to be the single place that institutional knowledge should have lived in all along.</w:t>
      </w:r>
    </w:p>
    <w:p>
      <w:pPr>
        <w:pStyle w:val="Heading2"/>
        <w:rPr/>
      </w:pPr>
      <w:bookmarkStart w:id="5" w:name="__RefHeading___Toc661_1232878261"/>
      <w:bookmarkEnd w:id="5"/>
      <w:r>
        <w:rPr/>
        <w:t>2.3  Objectives</w:t>
      </w:r>
    </w:p>
    <w:p>
      <w:pPr>
        <w:pStyle w:val="ListParagraph"/>
        <w:numPr>
          <w:ilvl w:val="0"/>
          <w:numId w:val="4"/>
        </w:numPr>
        <w:spacing w:lineRule="exact" w:line="264" w:before="0" w:after="80"/>
        <w:rPr/>
      </w:pPr>
      <w:r>
        <w:rPr>
          <w:sz w:val="22"/>
          <w:szCs w:val="22"/>
        </w:rPr>
        <w:t>Provide students, faculty, and administrators with a single unified platform for all academic activities, eliminating the need to switch between multiple disconnected tools.</w:t>
      </w:r>
    </w:p>
    <w:p>
      <w:pPr>
        <w:pStyle w:val="ListParagraph"/>
        <w:numPr>
          <w:ilvl w:val="0"/>
          <w:numId w:val="1"/>
        </w:numPr>
        <w:spacing w:lineRule="exact" w:line="264" w:before="0" w:after="80"/>
        <w:rPr/>
      </w:pPr>
      <w:r>
        <w:rPr>
          <w:sz w:val="22"/>
          <w:szCs w:val="22"/>
        </w:rPr>
        <w:t>Deliver accurate, hallucination-free AI responses by grounding every answer in verified institutional documents through RAG architecture, with citations and confidence scores.</w:t>
      </w:r>
    </w:p>
    <w:p>
      <w:pPr>
        <w:pStyle w:val="ListParagraph"/>
        <w:numPr>
          <w:ilvl w:val="0"/>
          <w:numId w:val="1"/>
        </w:numPr>
        <w:spacing w:lineRule="exact" w:line="264" w:before="0" w:after="80"/>
        <w:rPr/>
      </w:pPr>
      <w:r>
        <w:rPr>
          <w:sz w:val="22"/>
          <w:szCs w:val="22"/>
        </w:rPr>
        <w:t>Reduce repetitive administrative and faculty workload by automating tasks such as quiz generation, attendance tracking, grading feedback, and announcements.</w:t>
      </w:r>
    </w:p>
    <w:p>
      <w:pPr>
        <w:pStyle w:val="ListParagraph"/>
        <w:numPr>
          <w:ilvl w:val="0"/>
          <w:numId w:val="1"/>
        </w:numPr>
        <w:spacing w:lineRule="exact" w:line="264" w:before="0" w:after="80"/>
        <w:rPr/>
      </w:pPr>
      <w:r>
        <w:rPr>
          <w:sz w:val="22"/>
          <w:szCs w:val="22"/>
        </w:rPr>
        <w:t>Enable real-time institutional visibility for administrators through centralized analytics, AI-usage monitoring, early risk detection, and document management.</w:t>
      </w:r>
    </w:p>
    <w:p>
      <w:pPr>
        <w:pStyle w:val="ListParagraph"/>
        <w:numPr>
          <w:ilvl w:val="0"/>
          <w:numId w:val="1"/>
        </w:numPr>
        <w:spacing w:lineRule="exact" w:line="264" w:before="0" w:after="80"/>
        <w:rPr/>
      </w:pPr>
      <w:r>
        <w:rPr>
          <w:sz w:val="22"/>
          <w:szCs w:val="22"/>
        </w:rPr>
        <w:t>Build a permission-aware, role-based AI system where each user accesses only information relevant and authorized to their role.</w:t>
      </w:r>
    </w:p>
    <w:p>
      <w:pPr>
        <w:pStyle w:val="ListParagraph"/>
        <w:numPr>
          <w:ilvl w:val="0"/>
          <w:numId w:val="1"/>
        </w:numPr>
        <w:spacing w:lineRule="exact" w:line="264" w:before="0" w:after="80"/>
        <w:rPr/>
      </w:pPr>
      <w:r>
        <w:rPr>
          <w:sz w:val="22"/>
          <w:szCs w:val="22"/>
        </w:rPr>
        <w:t>Guarantee the system runs anywhere by offering a fully offline demo provider alongside a live AI provider, removing any hard dependency on external services.</w:t>
      </w:r>
    </w:p>
    <w:p>
      <w:pPr>
        <w:pStyle w:val="Heading2"/>
        <w:rPr/>
      </w:pPr>
      <w:bookmarkStart w:id="6" w:name="__RefHeading___Toc663_1232878261"/>
      <w:bookmarkEnd w:id="6"/>
      <w:r>
        <w:rPr/>
        <w:t>2.4  Scope</w:t>
      </w:r>
    </w:p>
    <w:p>
      <w:pPr>
        <w:pStyle w:val="Normal"/>
        <w:spacing w:lineRule="exact" w:line="276" w:before="0" w:after="140"/>
        <w:rPr/>
      </w:pPr>
      <w:r>
        <w:rPr>
          <w:sz w:val="22"/>
          <w:szCs w:val="22"/>
        </w:rPr>
        <w:t>UniGPT covers the complete academic loop for a single institution: organising departments, courses, terms, and class sections; enrolling students; publishing materials; setting and grading assignments; running proctored quizzes; recording attendance; computing grades and transcripts; and surfacing institution-wide analytics. A governed document library feeds an AI tutor that answers questions strictly from approved sources. The platform is architected to scale to thousands of users and is designed to extend to multiple institutions in future work.</w:t>
      </w:r>
    </w:p>
    <w:p>
      <w:pPr>
        <w:pStyle w:val="Heading1"/>
        <w:rPr/>
      </w:pPr>
      <w:bookmarkStart w:id="7" w:name="__RefHeading___Toc665_1232878261"/>
      <w:bookmarkEnd w:id="7"/>
      <w:r>
        <w:rPr/>
        <w:t>3.  Problem Analysis</w:t>
      </w:r>
    </w:p>
    <w:p>
      <w:pPr>
        <w:pStyle w:val="Normal"/>
        <w:spacing w:lineRule="exact" w:line="276" w:before="0" w:after="140"/>
        <w:rPr/>
      </w:pPr>
      <w:r>
        <w:rPr>
          <w:sz w:val="22"/>
          <w:szCs w:val="22"/>
        </w:rPr>
        <w:t>The problems UniGPT addresses were drawn from direct observation of student, faculty, and administrative experience. They fall into three groups that share a single root cause: the university has no single, intelligent system of record.</w:t>
      </w:r>
    </w:p>
    <w:p>
      <w:pPr>
        <w:pStyle w:val="Heading2"/>
        <w:rPr/>
      </w:pPr>
      <w:bookmarkStart w:id="8" w:name="__RefHeading___Toc667_1232878261"/>
      <w:bookmarkEnd w:id="8"/>
      <w:r>
        <w:rPr/>
        <w:t>3.1  Student Problems</w:t>
      </w:r>
    </w:p>
    <w:tbl>
      <w:tblPr>
        <w:tblW w:w="9360" w:type="dxa"/>
        <w:jc w:val="left"/>
        <w:tblInd w:w="0" w:type="dxa"/>
        <w:tblLayout w:type="fixed"/>
        <w:tblCellMar>
          <w:top w:w="70" w:type="dxa"/>
          <w:left w:w="110" w:type="dxa"/>
          <w:bottom w:w="70" w:type="dxa"/>
          <w:right w:w="110" w:type="dxa"/>
        </w:tblCellMar>
      </w:tblPr>
      <w:tblGrid>
        <w:gridCol w:w="599"/>
        <w:gridCol w:w="4360"/>
        <w:gridCol w:w="4401"/>
      </w:tblGrid>
      <w:tr>
        <w:trPr>
          <w:tblHeader w:val="true"/>
        </w:trPr>
        <w:tc>
          <w:tcPr>
            <w:tcW w:w="599"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w:t>
            </w:r>
          </w:p>
        </w:tc>
        <w:tc>
          <w:tcPr>
            <w:tcW w:w="436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Problem</w:t>
            </w:r>
          </w:p>
        </w:tc>
        <w:tc>
          <w:tcPr>
            <w:tcW w:w="4401"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Impact</w:t>
            </w:r>
          </w:p>
        </w:tc>
      </w:tr>
      <w:tr>
        <w:trPr/>
        <w:tc>
          <w:tcPr>
            <w:tcW w:w="5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1</w:t>
            </w:r>
          </w:p>
        </w:tc>
        <w:tc>
          <w:tcPr>
            <w:tcW w:w="43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Fragmented communication across ERP, messaging apps, and classroom tools</w:t>
            </w:r>
          </w:p>
        </w:tc>
        <w:tc>
          <w:tcPr>
            <w:tcW w:w="440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Students must constantly switch platforms to stay updated</w:t>
            </w:r>
          </w:p>
        </w:tc>
      </w:tr>
      <w:tr>
        <w:trPr/>
        <w:tc>
          <w:tcPr>
            <w:tcW w:w="59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2</w:t>
            </w:r>
          </w:p>
        </w:tc>
        <w:tc>
          <w:tcPr>
            <w:tcW w:w="436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Important messages and files lost in chat history</w:t>
            </w:r>
          </w:p>
        </w:tc>
        <w:tc>
          <w:tcPr>
            <w:tcW w:w="4401"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Resources become unfindable; some are lost entirely</w:t>
            </w:r>
          </w:p>
        </w:tc>
      </w:tr>
      <w:tr>
        <w:trPr/>
        <w:tc>
          <w:tcPr>
            <w:tcW w:w="5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3</w:t>
            </w:r>
          </w:p>
        </w:tc>
        <w:tc>
          <w:tcPr>
            <w:tcW w:w="43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No real-time academic visibility (attendance, marks, GPA)</w:t>
            </w:r>
          </w:p>
        </w:tc>
        <w:tc>
          <w:tcPr>
            <w:tcW w:w="440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Uncertainty and delayed awareness of standing</w:t>
            </w:r>
          </w:p>
        </w:tc>
      </w:tr>
      <w:tr>
        <w:trPr/>
        <w:tc>
          <w:tcPr>
            <w:tcW w:w="59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4</w:t>
            </w:r>
          </w:p>
        </w:tc>
        <w:tc>
          <w:tcPr>
            <w:tcW w:w="436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No centralized way to reach faculty</w:t>
            </w:r>
          </w:p>
        </w:tc>
        <w:tc>
          <w:tcPr>
            <w:tcW w:w="4401"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Questions go unanswered; announcements are missed</w:t>
            </w:r>
          </w:p>
        </w:tc>
      </w:tr>
      <w:tr>
        <w:trPr/>
        <w:tc>
          <w:tcPr>
            <w:tcW w:w="5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5</w:t>
            </w:r>
          </w:p>
        </w:tc>
        <w:tc>
          <w:tcPr>
            <w:tcW w:w="43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Manual administrative processes (transcripts, queries)</w:t>
            </w:r>
          </w:p>
        </w:tc>
        <w:tc>
          <w:tcPr>
            <w:tcW w:w="440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Time wasted in physical queues for simple information</w:t>
            </w:r>
          </w:p>
        </w:tc>
      </w:tr>
    </w:tbl>
    <w:p>
      <w:pPr>
        <w:pStyle w:val="Normal"/>
        <w:spacing w:before="0" w:after="60"/>
        <w:rPr/>
      </w:pPr>
      <w:r>
        <w:rPr/>
      </w:r>
    </w:p>
    <w:p>
      <w:pPr>
        <w:pStyle w:val="Heading2"/>
        <w:rPr/>
      </w:pPr>
      <w:bookmarkStart w:id="9" w:name="__RefHeading___Toc669_1232878261"/>
      <w:bookmarkEnd w:id="9"/>
      <w:r>
        <w:rPr/>
        <w:t>3.2  Faculty Problems</w:t>
      </w:r>
    </w:p>
    <w:tbl>
      <w:tblPr>
        <w:tblW w:w="9360" w:type="dxa"/>
        <w:jc w:val="left"/>
        <w:tblInd w:w="0" w:type="dxa"/>
        <w:tblLayout w:type="fixed"/>
        <w:tblCellMar>
          <w:top w:w="70" w:type="dxa"/>
          <w:left w:w="110" w:type="dxa"/>
          <w:bottom w:w="70" w:type="dxa"/>
          <w:right w:w="110" w:type="dxa"/>
        </w:tblCellMar>
      </w:tblPr>
      <w:tblGrid>
        <w:gridCol w:w="599"/>
        <w:gridCol w:w="4360"/>
        <w:gridCol w:w="4401"/>
      </w:tblGrid>
      <w:tr>
        <w:trPr>
          <w:tblHeader w:val="true"/>
        </w:trPr>
        <w:tc>
          <w:tcPr>
            <w:tcW w:w="599"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w:t>
            </w:r>
          </w:p>
        </w:tc>
        <w:tc>
          <w:tcPr>
            <w:tcW w:w="436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Problem</w:t>
            </w:r>
          </w:p>
        </w:tc>
        <w:tc>
          <w:tcPr>
            <w:tcW w:w="4401"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Impact</w:t>
            </w:r>
          </w:p>
        </w:tc>
      </w:tr>
      <w:tr>
        <w:trPr/>
        <w:tc>
          <w:tcPr>
            <w:tcW w:w="5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1</w:t>
            </w:r>
          </w:p>
        </w:tc>
        <w:tc>
          <w:tcPr>
            <w:tcW w:w="43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Manual attendance on paper or spreadsheets</w:t>
            </w:r>
          </w:p>
        </w:tc>
        <w:tc>
          <w:tcPr>
            <w:tcW w:w="440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Time-consuming and error-prone for large classes</w:t>
            </w:r>
          </w:p>
        </w:tc>
      </w:tr>
      <w:tr>
        <w:trPr/>
        <w:tc>
          <w:tcPr>
            <w:tcW w:w="59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2</w:t>
            </w:r>
          </w:p>
        </w:tc>
        <w:tc>
          <w:tcPr>
            <w:tcW w:w="436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Manual preparation of quizzes, tests, and exams</w:t>
            </w:r>
          </w:p>
        </w:tc>
        <w:tc>
          <w:tcPr>
            <w:tcW w:w="4401"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High repetitive workload across multiple sections</w:t>
            </w:r>
          </w:p>
        </w:tc>
      </w:tr>
      <w:tr>
        <w:trPr/>
        <w:tc>
          <w:tcPr>
            <w:tcW w:w="5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3</w:t>
            </w:r>
          </w:p>
        </w:tc>
        <w:tc>
          <w:tcPr>
            <w:tcW w:w="43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Manual evaluation and grade calculation</w:t>
            </w:r>
          </w:p>
        </w:tc>
        <w:tc>
          <w:tcPr>
            <w:tcW w:w="440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Slow result preparation; hours lost to busywork</w:t>
            </w:r>
          </w:p>
        </w:tc>
      </w:tr>
      <w:tr>
        <w:trPr/>
        <w:tc>
          <w:tcPr>
            <w:tcW w:w="59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4</w:t>
            </w:r>
          </w:p>
        </w:tc>
        <w:tc>
          <w:tcPr>
            <w:tcW w:w="436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Fragmented communication with students</w:t>
            </w:r>
          </w:p>
        </w:tc>
        <w:tc>
          <w:tcPr>
            <w:tcW w:w="4401"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Notices may not reach everyone; history is hard to track</w:t>
            </w:r>
          </w:p>
        </w:tc>
      </w:tr>
      <w:tr>
        <w:trPr/>
        <w:tc>
          <w:tcPr>
            <w:tcW w:w="5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5</w:t>
            </w:r>
          </w:p>
        </w:tc>
        <w:tc>
          <w:tcPr>
            <w:tcW w:w="43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Administrative overload</w:t>
            </w:r>
          </w:p>
        </w:tc>
        <w:tc>
          <w:tcPr>
            <w:tcW w:w="440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Less time for actual teaching and mentoring</w:t>
            </w:r>
          </w:p>
        </w:tc>
      </w:tr>
    </w:tbl>
    <w:p>
      <w:pPr>
        <w:pStyle w:val="Normal"/>
        <w:spacing w:before="0" w:after="60"/>
        <w:rPr/>
      </w:pPr>
      <w:r>
        <w:rPr/>
      </w:r>
    </w:p>
    <w:p>
      <w:pPr>
        <w:pStyle w:val="Heading2"/>
        <w:rPr/>
      </w:pPr>
      <w:bookmarkStart w:id="10" w:name="__RefHeading___Toc671_1232878261"/>
      <w:bookmarkEnd w:id="10"/>
      <w:r>
        <w:rPr/>
        <w:t>3.3  Administrative Problems</w:t>
      </w:r>
    </w:p>
    <w:tbl>
      <w:tblPr>
        <w:tblW w:w="9360" w:type="dxa"/>
        <w:jc w:val="left"/>
        <w:tblInd w:w="0" w:type="dxa"/>
        <w:tblLayout w:type="fixed"/>
        <w:tblCellMar>
          <w:top w:w="70" w:type="dxa"/>
          <w:left w:w="110" w:type="dxa"/>
          <w:bottom w:w="70" w:type="dxa"/>
          <w:right w:w="110" w:type="dxa"/>
        </w:tblCellMar>
      </w:tblPr>
      <w:tblGrid>
        <w:gridCol w:w="599"/>
        <w:gridCol w:w="4360"/>
        <w:gridCol w:w="4401"/>
      </w:tblGrid>
      <w:tr>
        <w:trPr>
          <w:tblHeader w:val="true"/>
        </w:trPr>
        <w:tc>
          <w:tcPr>
            <w:tcW w:w="599"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w:t>
            </w:r>
          </w:p>
        </w:tc>
        <w:tc>
          <w:tcPr>
            <w:tcW w:w="436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Problem</w:t>
            </w:r>
          </w:p>
        </w:tc>
        <w:tc>
          <w:tcPr>
            <w:tcW w:w="4401"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Impact</w:t>
            </w:r>
          </w:p>
        </w:tc>
      </w:tr>
      <w:tr>
        <w:trPr/>
        <w:tc>
          <w:tcPr>
            <w:tcW w:w="5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1</w:t>
            </w:r>
          </w:p>
        </w:tc>
        <w:tc>
          <w:tcPr>
            <w:tcW w:w="43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No real-time visibility into the running semester</w:t>
            </w:r>
          </w:p>
        </w:tc>
        <w:tc>
          <w:tcPr>
            <w:tcW w:w="440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Issues surface only after the term ends</w:t>
            </w:r>
          </w:p>
        </w:tc>
      </w:tr>
      <w:tr>
        <w:trPr/>
        <w:tc>
          <w:tcPr>
            <w:tcW w:w="59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2</w:t>
            </w:r>
          </w:p>
        </w:tc>
        <w:tc>
          <w:tcPr>
            <w:tcW w:w="436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Difficult cross-department monitoring</w:t>
            </w:r>
          </w:p>
        </w:tc>
        <w:tc>
          <w:tcPr>
            <w:tcW w:w="4401"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Attendance and progress are hard to track centrally</w:t>
            </w:r>
          </w:p>
        </w:tc>
      </w:tr>
      <w:tr>
        <w:trPr/>
        <w:tc>
          <w:tcPr>
            <w:tcW w:w="5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3</w:t>
            </w:r>
          </w:p>
        </w:tc>
        <w:tc>
          <w:tcPr>
            <w:tcW w:w="43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Delayed issue detection</w:t>
            </w:r>
          </w:p>
        </w:tc>
        <w:tc>
          <w:tcPr>
            <w:tcW w:w="440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At-risk students identified too late to help</w:t>
            </w:r>
          </w:p>
        </w:tc>
      </w:tr>
      <w:tr>
        <w:trPr/>
        <w:tc>
          <w:tcPr>
            <w:tcW w:w="59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4</w:t>
            </w:r>
          </w:p>
        </w:tc>
        <w:tc>
          <w:tcPr>
            <w:tcW w:w="436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Manual report collection</w:t>
            </w:r>
          </w:p>
        </w:tc>
        <w:tc>
          <w:tcPr>
            <w:tcW w:w="4401"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Data must be gathered from many sources by hand</w:t>
            </w:r>
          </w:p>
        </w:tc>
      </w:tr>
    </w:tbl>
    <w:p>
      <w:pPr>
        <w:pStyle w:val="Normal"/>
        <w:spacing w:before="0" w:after="4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4" w:space="0" w:color="0D9488"/>
              <w:left w:val="single" w:sz="4" w:space="0" w:color="0D9488"/>
              <w:bottom w:val="single" w:sz="4" w:space="0" w:color="0D9488"/>
              <w:right w:val="single" w:sz="4" w:space="0" w:color="0D9488"/>
            </w:tcBorders>
            <w:shd w:fill="E6F7F4" w:val="clear"/>
          </w:tcPr>
          <w:p>
            <w:pPr>
              <w:pStyle w:val="Normal"/>
              <w:spacing w:before="0" w:after="60"/>
              <w:rPr/>
            </w:pPr>
            <w:r>
              <w:rPr>
                <w:b/>
                <w:bCs/>
                <w:color w:val="0D9488"/>
                <w:sz w:val="21"/>
                <w:szCs w:val="21"/>
              </w:rPr>
              <w:t>Core problem statement</w:t>
            </w:r>
          </w:p>
          <w:p>
            <w:pPr>
              <w:pStyle w:val="Normal"/>
              <w:spacing w:lineRule="exact" w:line="260" w:before="0" w:after="40"/>
              <w:rPr/>
            </w:pPr>
            <w:r>
              <w:rPr>
                <w:color w:val="1A2438"/>
                <w:sz w:val="20"/>
                <w:szCs w:val="20"/>
              </w:rPr>
              <w:t>Both students and faculty suffer because academic activity is spread across disconnected systems — ERP, messaging groups, classroom apps, spreadsheets, paper, and physical offices. This fragmentation produces inefficiency, delays, communication gaps, poor resource management, and heavy manual workload. The need is for one intelligent, governed platform.</w:t>
            </w:r>
          </w:p>
        </w:tc>
      </w:tr>
    </w:tbl>
    <w:p>
      <w:pPr>
        <w:pStyle w:val="Heading1"/>
        <w:rPr/>
      </w:pPr>
      <w:bookmarkStart w:id="11" w:name="__RefHeading___Toc673_1232878261"/>
      <w:bookmarkEnd w:id="11"/>
      <w:r>
        <w:rPr/>
        <w:t>4.  Proposed Solution</w:t>
      </w:r>
    </w:p>
    <w:p>
      <w:pPr>
        <w:pStyle w:val="Normal"/>
        <w:spacing w:lineRule="exact" w:line="276" w:before="0" w:after="140"/>
        <w:rPr/>
      </w:pPr>
      <w:r>
        <w:rPr>
          <w:sz w:val="22"/>
          <w:szCs w:val="22"/>
        </w:rPr>
        <w:t xml:space="preserve">UniGPT replaces the fragmented toolset with a single platform offering </w:t>
      </w:r>
      <w:r>
        <w:rPr>
          <w:b/>
          <w:bCs/>
          <w:sz w:val="22"/>
          <w:szCs w:val="22"/>
        </w:rPr>
        <w:t>three role-based experiences</w:t>
      </w:r>
      <w:r>
        <w:rPr>
          <w:sz w:val="22"/>
          <w:szCs w:val="22"/>
        </w:rPr>
        <w:t xml:space="preserve"> — Student, Faculty, and Admin — behind one login. The entire university is organised around a clear academic structure, and an AI layer sits across the whole system, grounded in a governed document library.</w:t>
      </w:r>
    </w:p>
    <w:p>
      <w:pPr>
        <w:pStyle w:val="Heading2"/>
        <w:rPr/>
      </w:pPr>
      <w:bookmarkStart w:id="12" w:name="__RefHeading___Toc675_1232878261"/>
      <w:bookmarkEnd w:id="12"/>
      <w:r>
        <w:rPr/>
        <w:t>4.1  Academic Structure</w:t>
      </w:r>
    </w:p>
    <w:p>
      <w:pPr>
        <w:pStyle w:val="Normal"/>
        <w:spacing w:lineRule="exact" w:line="276" w:before="0" w:after="140"/>
        <w:rPr/>
      </w:pPr>
      <w:r>
        <w:rPr>
          <w:sz w:val="22"/>
          <w:szCs w:val="22"/>
        </w:rPr>
        <w:t>The platform is organised top-down. Departments contain courses; courses are offered as class sections each term; students enrol into sections; and everything else — materials, assignments, quizzes, attendance, exams, and grades — belongs to the specific section a student is actually in. As a result, each user only ever sees content relevant to their own classes.</w:t>
      </w:r>
    </w:p>
    <w:p>
      <w:pPr>
        <w:pStyle w:val="Normal"/>
        <w:spacing w:before="80" w:after="80"/>
        <w:jc w:val="center"/>
        <w:rPr/>
      </w:pPr>
      <w:r>
        <w:rPr>
          <w:b/>
          <w:bCs/>
          <w:color w:val="0D9488"/>
          <w:sz w:val="21"/>
          <w:szCs w:val="21"/>
        </w:rPr>
        <w:t>Departments  →  Courses  →  Class Sections (per term)  →  Enrolled Students</w:t>
      </w:r>
    </w:p>
    <w:p>
      <w:pPr>
        <w:pStyle w:val="Normal"/>
        <w:spacing w:before="0" w:after="160"/>
        <w:jc w:val="center"/>
        <w:rPr/>
      </w:pPr>
      <w:r>
        <w:rPr>
          <w:color w:val="555F6E"/>
          <w:sz w:val="20"/>
          <w:szCs w:val="20"/>
        </w:rPr>
        <w:t xml:space="preserve">↓  </w:t>
      </w:r>
      <w:r>
        <w:rPr>
          <w:color w:val="555F6E"/>
          <w:sz w:val="20"/>
          <w:szCs w:val="20"/>
        </w:rPr>
        <w:t>Materials · Assignments · Quizzes · Attendance · Exams · Grades</w:t>
      </w:r>
    </w:p>
    <w:p>
      <w:pPr>
        <w:pStyle w:val="Heading2"/>
        <w:rPr/>
      </w:pPr>
      <w:bookmarkStart w:id="13" w:name="__RefHeading___Toc677_1232878261"/>
      <w:bookmarkEnd w:id="13"/>
      <w:r>
        <w:rPr/>
        <w:t>4.2  Three Role-Based Experiences</w:t>
      </w:r>
    </w:p>
    <w:tbl>
      <w:tblPr>
        <w:tblW w:w="9360" w:type="dxa"/>
        <w:jc w:val="left"/>
        <w:tblInd w:w="0" w:type="dxa"/>
        <w:tblLayout w:type="fixed"/>
        <w:tblCellMar>
          <w:top w:w="70" w:type="dxa"/>
          <w:left w:w="110" w:type="dxa"/>
          <w:bottom w:w="70" w:type="dxa"/>
          <w:right w:w="110" w:type="dxa"/>
        </w:tblCellMar>
      </w:tblPr>
      <w:tblGrid>
        <w:gridCol w:w="1500"/>
        <w:gridCol w:w="2200"/>
        <w:gridCol w:w="5660"/>
      </w:tblGrid>
      <w:tr>
        <w:trPr>
          <w:tblHeader w:val="true"/>
        </w:trPr>
        <w:tc>
          <w:tcPr>
            <w:tcW w:w="150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Role</w:t>
            </w:r>
          </w:p>
        </w:tc>
        <w:tc>
          <w:tcPr>
            <w:tcW w:w="220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Purpose</w:t>
            </w:r>
          </w:p>
        </w:tc>
        <w:tc>
          <w:tcPr>
            <w:tcW w:w="566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What they primarily do</w:t>
            </w:r>
          </w:p>
        </w:tc>
      </w:tr>
      <w:tr>
        <w:trPr/>
        <w:tc>
          <w:tcPr>
            <w:tcW w:w="150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Student</w:t>
            </w:r>
          </w:p>
        </w:tc>
        <w:tc>
          <w:tcPr>
            <w:tcW w:w="220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Learn &amp; get answers</w:t>
            </w:r>
          </w:p>
        </w:tc>
        <w:tc>
          <w:tcPr>
            <w:tcW w:w="56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Ask the AI tutor; register for sections; read materials; submit assignments; take proctored quizzes; track attendance, GPA, and transcript.</w:t>
            </w:r>
          </w:p>
        </w:tc>
      </w:tr>
      <w:tr>
        <w:trPr/>
        <w:tc>
          <w:tcPr>
            <w:tcW w:w="150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Faculty</w:t>
            </w:r>
          </w:p>
        </w:tc>
        <w:tc>
          <w:tcPr>
            <w:tcW w:w="220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Teach &amp; assess</w:t>
            </w:r>
          </w:p>
        </w:tc>
        <w:tc>
          <w:tcPr>
            <w:tcW w:w="566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Generate and publish quizzes and assignments; take attendance; grade with AI-assisted feedback; view class analytics; message their own students.</w:t>
            </w:r>
          </w:p>
        </w:tc>
      </w:tr>
      <w:tr>
        <w:trPr/>
        <w:tc>
          <w:tcPr>
            <w:tcW w:w="150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Admin</w:t>
            </w:r>
          </w:p>
        </w:tc>
        <w:tc>
          <w:tcPr>
            <w:tcW w:w="220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Govern &amp; monitor</w:t>
            </w:r>
          </w:p>
        </w:tc>
        <w:tc>
          <w:tcPr>
            <w:tcW w:w="56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Manage users, departments, terms, courses and sections; run the document approval workflow; configure the AI; view institution-wide analytics.</w:t>
            </w:r>
          </w:p>
        </w:tc>
      </w:tr>
    </w:tbl>
    <w:p>
      <w:pPr>
        <w:pStyle w:val="Normal"/>
        <w:spacing w:before="0" w:after="60"/>
        <w:rPr/>
      </w:pPr>
      <w:r>
        <w:rPr/>
      </w:r>
    </w:p>
    <w:p>
      <w:pPr>
        <w:pStyle w:val="Heading2"/>
        <w:rPr/>
      </w:pPr>
      <w:bookmarkStart w:id="14" w:name="__RefHeading___Toc679_1232878261"/>
      <w:bookmarkEnd w:id="14"/>
      <w:r>
        <w:rPr/>
        <w:t>4.3  The Dual-Provider AI Engine</w:t>
      </w:r>
    </w:p>
    <w:p>
      <w:pPr>
        <w:pStyle w:val="Normal"/>
        <w:spacing w:lineRule="exact" w:line="276" w:before="0" w:after="140"/>
        <w:rPr/>
      </w:pPr>
      <w:r>
        <w:rPr>
          <w:sz w:val="22"/>
          <w:szCs w:val="22"/>
        </w:rPr>
        <w:t xml:space="preserve">UniGPT’s AI runs behind a single provider interface, so the underlying “brain” can be swapped without changing the platform. A built-in </w:t>
      </w:r>
      <w:r>
        <w:rPr>
          <w:b/>
          <w:bCs/>
          <w:sz w:val="22"/>
          <w:szCs w:val="22"/>
        </w:rPr>
        <w:t>Mock provider</w:t>
      </w:r>
      <w:r>
        <w:rPr>
          <w:sz w:val="22"/>
          <w:szCs w:val="22"/>
        </w:rPr>
        <w:t xml:space="preserve"> is the default and needs no API key at all, so the entire product — including AI chat and AI generation — can be demonstrated with zero external setup or cost. An </w:t>
      </w:r>
      <w:r>
        <w:rPr>
          <w:b/>
          <w:bCs/>
          <w:sz w:val="22"/>
          <w:szCs w:val="22"/>
        </w:rPr>
        <w:t>OpenAI provider</w:t>
      </w:r>
      <w:r>
        <w:rPr>
          <w:sz w:val="22"/>
          <w:szCs w:val="22"/>
        </w:rPr>
        <w:t xml:space="preserve"> can be enabled for production by supplying a key, and future providers (such as Gemini or local LLMs) slot into the same contract.</w:t>
      </w:r>
    </w:p>
    <w:p>
      <w:pPr>
        <w:pStyle w:val="Heading1"/>
        <w:rPr/>
      </w:pPr>
      <w:bookmarkStart w:id="15" w:name="__RefHeading___Toc681_1232878261"/>
      <w:bookmarkEnd w:id="15"/>
      <w:r>
        <w:rPr/>
        <w:t>5.  System Architecture</w:t>
      </w:r>
    </w:p>
    <w:p>
      <w:pPr>
        <w:pStyle w:val="Normal"/>
        <w:spacing w:lineRule="exact" w:line="276" w:before="0" w:after="140"/>
        <w:rPr/>
      </w:pPr>
      <w:r>
        <w:rPr>
          <w:sz w:val="22"/>
          <w:szCs w:val="22"/>
        </w:rPr>
        <w:t>UniGPT is built on a modern, modular full-stack architecture using Domain-Driven Design over a single Laravel and MySQL instance. There is no external vector database and no third-party LLM SDK, which keeps the system lean enough to run on modest infrastructure — even shared hosting — while remaining production-ready.</w:t>
      </w:r>
    </w:p>
    <w:p>
      <w:pPr>
        <w:pStyle w:val="Heading2"/>
        <w:rPr/>
      </w:pPr>
      <w:bookmarkStart w:id="16" w:name="__RefHeading___Toc683_1232878261"/>
      <w:bookmarkEnd w:id="16"/>
      <w:r>
        <w:rPr/>
        <w:t>5.1  Layered Overview</w:t>
      </w:r>
    </w:p>
    <w:tbl>
      <w:tblPr>
        <w:tblW w:w="9360" w:type="dxa"/>
        <w:jc w:val="left"/>
        <w:tblInd w:w="0" w:type="dxa"/>
        <w:tblLayout w:type="fixed"/>
        <w:tblCellMar>
          <w:top w:w="70" w:type="dxa"/>
          <w:left w:w="110" w:type="dxa"/>
          <w:bottom w:w="70" w:type="dxa"/>
          <w:right w:w="110" w:type="dxa"/>
        </w:tblCellMar>
      </w:tblPr>
      <w:tblGrid>
        <w:gridCol w:w="1699"/>
        <w:gridCol w:w="3260"/>
        <w:gridCol w:w="4401"/>
      </w:tblGrid>
      <w:tr>
        <w:trPr>
          <w:tblHeader w:val="true"/>
        </w:trPr>
        <w:tc>
          <w:tcPr>
            <w:tcW w:w="1699"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Layer</w:t>
            </w:r>
          </w:p>
        </w:tc>
        <w:tc>
          <w:tcPr>
            <w:tcW w:w="326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Technology</w:t>
            </w:r>
          </w:p>
        </w:tc>
        <w:tc>
          <w:tcPr>
            <w:tcW w:w="4401"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Responsibility</w:t>
            </w:r>
          </w:p>
        </w:tc>
      </w:tr>
      <w:tr>
        <w:trPr/>
        <w:tc>
          <w:tcPr>
            <w:tcW w:w="16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Presentation</w:t>
            </w:r>
          </w:p>
        </w:tc>
        <w:tc>
          <w:tcPr>
            <w:tcW w:w="32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Vue 3 · Inertia.js · Tailwind CSS · Vite</w:t>
            </w:r>
          </w:p>
        </w:tc>
        <w:tc>
          <w:tcPr>
            <w:tcW w:w="440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Fast, responsive, role-differentiated user interface</w:t>
            </w:r>
          </w:p>
        </w:tc>
      </w:tr>
      <w:tr>
        <w:trPr/>
        <w:tc>
          <w:tcPr>
            <w:tcW w:w="169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Application</w:t>
            </w:r>
          </w:p>
        </w:tc>
        <w:tc>
          <w:tcPr>
            <w:tcW w:w="326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Role/permission middleware · controllers · form requests</w:t>
            </w:r>
          </w:p>
        </w:tc>
        <w:tc>
          <w:tcPr>
            <w:tcW w:w="4401"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Guards every route; validates input; orchestrates services</w:t>
            </w:r>
          </w:p>
        </w:tc>
      </w:tr>
      <w:tr>
        <w:trPr/>
        <w:tc>
          <w:tcPr>
            <w:tcW w:w="16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Domain (DDD)</w:t>
            </w:r>
          </w:p>
        </w:tc>
        <w:tc>
          <w:tcPr>
            <w:tcW w:w="32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Chat · RAG · Academic services; provider contracts</w:t>
            </w:r>
          </w:p>
        </w:tc>
        <w:tc>
          <w:tcPr>
            <w:tcW w:w="440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Core business logic behind interfaces, not implementations</w:t>
            </w:r>
          </w:p>
        </w:tc>
      </w:tr>
      <w:tr>
        <w:trPr/>
        <w:tc>
          <w:tcPr>
            <w:tcW w:w="169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Data</w:t>
            </w:r>
          </w:p>
        </w:tc>
        <w:tc>
          <w:tcPr>
            <w:tcW w:w="326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MySQL 8 · native cosine vector store · audit log</w:t>
            </w:r>
          </w:p>
        </w:tc>
        <w:tc>
          <w:tcPr>
            <w:tcW w:w="4401"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Structured academic data and document embeddings together</w:t>
            </w:r>
          </w:p>
        </w:tc>
      </w:tr>
    </w:tbl>
    <w:p>
      <w:pPr>
        <w:pStyle w:val="Normal"/>
        <w:spacing w:before="0" w:after="60"/>
        <w:rPr/>
      </w:pPr>
      <w:r>
        <w:rPr/>
      </w:r>
    </w:p>
    <w:p>
      <w:pPr>
        <w:pStyle w:val="Heading2"/>
        <w:rPr/>
      </w:pPr>
      <w:bookmarkStart w:id="17" w:name="__RefHeading___Toc685_1232878261"/>
      <w:bookmarkEnd w:id="17"/>
      <w:r>
        <w:rPr/>
        <w:t>5.2  Technology Choices and Rationale</w:t>
      </w:r>
    </w:p>
    <w:p>
      <w:pPr>
        <w:pStyle w:val="ListParagraph"/>
        <w:numPr>
          <w:ilvl w:val="0"/>
          <w:numId w:val="5"/>
        </w:numPr>
        <w:spacing w:lineRule="exact" w:line="264" w:before="0" w:after="80"/>
        <w:rPr/>
      </w:pPr>
      <w:r>
        <w:rPr>
          <w:b/>
          <w:bCs/>
          <w:sz w:val="22"/>
          <w:szCs w:val="22"/>
        </w:rPr>
        <w:t>Laravel 11 (PHP)</w:t>
      </w:r>
      <w:r>
        <w:rPr>
          <w:sz w:val="22"/>
          <w:szCs w:val="22"/>
        </w:rPr>
        <w:t xml:space="preserve"> — provides secure REST APIs, role-based access control, and a modular service architecture with mature tooling.</w:t>
      </w:r>
    </w:p>
    <w:p>
      <w:pPr>
        <w:pStyle w:val="ListParagraph"/>
        <w:numPr>
          <w:ilvl w:val="0"/>
          <w:numId w:val="2"/>
        </w:numPr>
        <w:spacing w:lineRule="exact" w:line="264" w:before="0" w:after="80"/>
        <w:rPr/>
      </w:pPr>
      <w:r>
        <w:rPr>
          <w:b/>
          <w:bCs/>
          <w:sz w:val="22"/>
          <w:szCs w:val="22"/>
        </w:rPr>
        <w:t>Vue 3 + Inertia.js + Tailwind</w:t>
      </w:r>
      <w:r>
        <w:rPr>
          <w:sz w:val="22"/>
          <w:szCs w:val="22"/>
        </w:rPr>
        <w:t xml:space="preserve"> — delivers a single-page experience without a separate API client, with a role-differentiated interface.</w:t>
      </w:r>
    </w:p>
    <w:p>
      <w:pPr>
        <w:pStyle w:val="ListParagraph"/>
        <w:numPr>
          <w:ilvl w:val="0"/>
          <w:numId w:val="2"/>
        </w:numPr>
        <w:spacing w:lineRule="exact" w:line="264" w:before="0" w:after="80"/>
        <w:rPr/>
      </w:pPr>
      <w:r>
        <w:rPr>
          <w:b/>
          <w:bCs/>
          <w:sz w:val="22"/>
          <w:szCs w:val="22"/>
        </w:rPr>
        <w:t>MySQL 8 with native vector search</w:t>
      </w:r>
      <w:r>
        <w:rPr>
          <w:sz w:val="22"/>
          <w:szCs w:val="22"/>
        </w:rPr>
        <w:t xml:space="preserve"> — stores structured academic data and document embeddings in the same database, so semantic search runs in-database with no separate search engine to deploy, operate, or pay for.</w:t>
      </w:r>
    </w:p>
    <w:p>
      <w:pPr>
        <w:pStyle w:val="ListParagraph"/>
        <w:numPr>
          <w:ilvl w:val="0"/>
          <w:numId w:val="2"/>
        </w:numPr>
        <w:spacing w:lineRule="exact" w:line="264" w:before="0" w:after="80"/>
        <w:rPr/>
      </w:pPr>
      <w:r>
        <w:rPr>
          <w:b/>
          <w:bCs/>
          <w:sz w:val="22"/>
          <w:szCs w:val="22"/>
        </w:rPr>
        <w:t>Pluggable AI providers</w:t>
      </w:r>
      <w:r>
        <w:rPr>
          <w:sz w:val="22"/>
          <w:szCs w:val="22"/>
        </w:rPr>
        <w:t xml:space="preserve"> — provider logic lives behind a contract, enabling the offline Mock provider, the OpenAI provider, and future backends on the same interface.</w:t>
      </w:r>
    </w:p>
    <w:p>
      <w:pPr>
        <w:pStyle w:val="Normal"/>
        <w:spacing w:before="0" w:after="2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4" w:space="0" w:color="0D9488"/>
              <w:left w:val="single" w:sz="4" w:space="0" w:color="0D9488"/>
              <w:bottom w:val="single" w:sz="4" w:space="0" w:color="0D9488"/>
              <w:right w:val="single" w:sz="4" w:space="0" w:color="0D9488"/>
            </w:tcBorders>
            <w:shd w:fill="E6F7F4" w:val="clear"/>
          </w:tcPr>
          <w:p>
            <w:pPr>
              <w:pStyle w:val="Normal"/>
              <w:spacing w:before="0" w:after="60"/>
              <w:rPr/>
            </w:pPr>
            <w:r>
              <w:rPr>
                <w:b/>
                <w:bCs/>
                <w:color w:val="0D9488"/>
                <w:sz w:val="21"/>
                <w:szCs w:val="21"/>
              </w:rPr>
              <w:t>Key architectural decision</w:t>
            </w:r>
          </w:p>
          <w:p>
            <w:pPr>
              <w:pStyle w:val="Normal"/>
              <w:spacing w:lineRule="exact" w:line="260" w:before="0" w:after="40"/>
              <w:rPr/>
            </w:pPr>
            <w:r>
              <w:rPr>
                <w:color w:val="1A2438"/>
                <w:sz w:val="20"/>
                <w:szCs w:val="20"/>
              </w:rPr>
              <w:t>Running vector search natively inside MySQL — instead of adding a dedicated vector database — removes an entire class of infrastructure, cost, and operational complexity. This single decision is what makes UniGPT both demonstrable on any laptop and deployable on inexpensive hosting.</w:t>
            </w:r>
          </w:p>
        </w:tc>
      </w:tr>
    </w:tbl>
    <w:p>
      <w:pPr>
        <w:pStyle w:val="Heading1"/>
        <w:rPr/>
      </w:pPr>
      <w:bookmarkStart w:id="18" w:name="__RefHeading___Toc687_1232878261"/>
      <w:bookmarkEnd w:id="18"/>
      <w:r>
        <w:rPr/>
        <w:t>6.  The AI Core: Retrieval-Augmented Generation</w:t>
      </w:r>
    </w:p>
    <w:p>
      <w:pPr>
        <w:pStyle w:val="Normal"/>
        <w:spacing w:lineRule="exact" w:line="276" w:before="0" w:after="140"/>
        <w:rPr/>
      </w:pPr>
      <w:r>
        <w:rPr>
          <w:sz w:val="22"/>
          <w:szCs w:val="22"/>
        </w:rPr>
        <w:t>The trustworthiness of UniGPT rests on a simple principle: the AI never answers from memory alone. Every answer is constructed from passages retrieved out of the institution’s approved documents, and the sources are shown to the user. The pipeline runs entirely in-house.</w:t>
      </w:r>
    </w:p>
    <w:p>
      <w:pPr>
        <w:pStyle w:val="Heading2"/>
        <w:rPr/>
      </w:pPr>
      <w:bookmarkStart w:id="19" w:name="__RefHeading___Toc689_1232878261"/>
      <w:bookmarkEnd w:id="19"/>
      <w:r>
        <w:rPr/>
        <w:t>6.1  The Pipeline</w:t>
      </w:r>
    </w:p>
    <w:p>
      <w:pPr>
        <w:pStyle w:val="ListParagraph"/>
        <w:numPr>
          <w:ilvl w:val="0"/>
          <w:numId w:val="1"/>
        </w:numPr>
        <w:spacing w:lineRule="exact" w:line="264" w:before="0" w:after="80"/>
        <w:rPr/>
      </w:pPr>
      <w:r>
        <w:rPr>
          <w:b/>
          <w:bCs/>
          <w:sz w:val="22"/>
          <w:szCs w:val="22"/>
        </w:rPr>
        <w:t xml:space="preserve">Upload &amp; approve. </w:t>
      </w:r>
      <w:r>
        <w:rPr>
          <w:sz w:val="22"/>
          <w:szCs w:val="22"/>
        </w:rPr>
        <w:t>An administrator curates the knowledge base; only approved documents may ever be used.</w:t>
      </w:r>
    </w:p>
    <w:p>
      <w:pPr>
        <w:pStyle w:val="ListParagraph"/>
        <w:numPr>
          <w:ilvl w:val="0"/>
          <w:numId w:val="1"/>
        </w:numPr>
        <w:spacing w:lineRule="exact" w:line="264" w:before="0" w:after="80"/>
        <w:rPr/>
      </w:pPr>
      <w:r>
        <w:rPr>
          <w:b/>
          <w:bCs/>
          <w:sz w:val="22"/>
          <w:szCs w:val="22"/>
        </w:rPr>
        <w:t xml:space="preserve">Chunk. </w:t>
      </w:r>
      <w:r>
        <w:rPr>
          <w:sz w:val="22"/>
          <w:szCs w:val="22"/>
        </w:rPr>
        <w:t>Each approved document is split into small, overlapping passages of roughly 150 tokens.</w:t>
      </w:r>
    </w:p>
    <w:p>
      <w:pPr>
        <w:pStyle w:val="ListParagraph"/>
        <w:numPr>
          <w:ilvl w:val="0"/>
          <w:numId w:val="1"/>
        </w:numPr>
        <w:spacing w:lineRule="exact" w:line="264" w:before="0" w:after="80"/>
        <w:rPr/>
      </w:pPr>
      <w:r>
        <w:rPr>
          <w:b/>
          <w:bCs/>
          <w:sz w:val="22"/>
          <w:szCs w:val="22"/>
        </w:rPr>
        <w:t xml:space="preserve">Embed. </w:t>
      </w:r>
      <w:r>
        <w:rPr>
          <w:sz w:val="22"/>
          <w:szCs w:val="22"/>
        </w:rPr>
        <w:t>Each passage is converted into a vector embedding and stored in MySQL.</w:t>
      </w:r>
    </w:p>
    <w:p>
      <w:pPr>
        <w:pStyle w:val="ListParagraph"/>
        <w:numPr>
          <w:ilvl w:val="0"/>
          <w:numId w:val="1"/>
        </w:numPr>
        <w:spacing w:lineRule="exact" w:line="264" w:before="0" w:after="80"/>
        <w:rPr/>
      </w:pPr>
      <w:r>
        <w:rPr>
          <w:b/>
          <w:bCs/>
          <w:sz w:val="22"/>
          <w:szCs w:val="22"/>
        </w:rPr>
        <w:t xml:space="preserve">Retrieve. </w:t>
      </w:r>
      <w:r>
        <w:rPr>
          <w:sz w:val="22"/>
          <w:szCs w:val="22"/>
        </w:rPr>
        <w:t>When a user asks a question, the system embeds the query and finds the most relevant passages by cosine similarity (top-K), respecting the user’s permissions.</w:t>
      </w:r>
    </w:p>
    <w:p>
      <w:pPr>
        <w:pStyle w:val="ListParagraph"/>
        <w:numPr>
          <w:ilvl w:val="0"/>
          <w:numId w:val="1"/>
        </w:numPr>
        <w:spacing w:lineRule="exact" w:line="264" w:before="0" w:after="80"/>
        <w:rPr/>
      </w:pPr>
      <w:r>
        <w:rPr>
          <w:b/>
          <w:bCs/>
          <w:sz w:val="22"/>
          <w:szCs w:val="22"/>
        </w:rPr>
        <w:t xml:space="preserve">Ground &amp; cite. </w:t>
      </w:r>
      <w:r>
        <w:rPr>
          <w:sz w:val="22"/>
          <w:szCs w:val="22"/>
        </w:rPr>
        <w:t>The retrieved passages are supplied to the language model as context. The answer is built from them, with numbered citations and a confidence score; if the documents do not cover something, the AI says so.</w:t>
      </w:r>
    </w:p>
    <w:p>
      <w:pPr>
        <w:pStyle w:val="Normal"/>
        <w:spacing w:before="120" w:after="160"/>
        <w:jc w:val="center"/>
        <w:rPr/>
      </w:pPr>
      <w:r>
        <w:rPr>
          <w:b/>
          <w:bCs/>
          <w:color w:val="0D9488"/>
          <w:sz w:val="21"/>
          <w:szCs w:val="21"/>
        </w:rPr>
        <w:t>Question  →  Search approved docs  →  Retrieve top-K passages  →  Grounded, cited answer</w:t>
      </w:r>
    </w:p>
    <w:p>
      <w:pPr>
        <w:pStyle w:val="Heading2"/>
        <w:rPr/>
      </w:pPr>
      <w:bookmarkStart w:id="20" w:name="__RefHeading___Toc691_1232878261"/>
      <w:bookmarkEnd w:id="20"/>
      <w:r>
        <w:rPr/>
        <w:t>6.2  Permission-Aware Retrieval</w:t>
      </w:r>
    </w:p>
    <w:p>
      <w:pPr>
        <w:pStyle w:val="Normal"/>
        <w:spacing w:lineRule="exact" w:line="276" w:before="0" w:after="140"/>
        <w:rPr/>
      </w:pPr>
      <w:r>
        <w:rPr>
          <w:sz w:val="22"/>
          <w:szCs w:val="22"/>
        </w:rPr>
        <w:t>Retrieval respects who is allowed to see what. Because the relevance search is filtered by the user’s permissions, two people asking the same question may receive answers built from different sources — a student literally cannot retrieve a passage they are not authorised to see. Any change to the document library is reflected immediately: rejecting or editing a document removes its passages from every future answer.</w:t>
      </w:r>
    </w:p>
    <w:p>
      <w:pPr>
        <w:pStyle w:val="Heading2"/>
        <w:rPr/>
      </w:pPr>
      <w:bookmarkStart w:id="21" w:name="__RefHeading___Toc693_1232878261"/>
      <w:bookmarkEnd w:id="21"/>
      <w:r>
        <w:rPr/>
        <w:t>6.3  Why This Beats a Generic Chatbot</w:t>
      </w:r>
    </w:p>
    <w:tbl>
      <w:tblPr>
        <w:tblW w:w="9360" w:type="dxa"/>
        <w:jc w:val="left"/>
        <w:tblInd w:w="0" w:type="dxa"/>
        <w:tblLayout w:type="fixed"/>
        <w:tblCellMar>
          <w:top w:w="70" w:type="dxa"/>
          <w:left w:w="110" w:type="dxa"/>
          <w:bottom w:w="70" w:type="dxa"/>
          <w:right w:w="110" w:type="dxa"/>
        </w:tblCellMar>
      </w:tblPr>
      <w:tblGrid>
        <w:gridCol w:w="2000"/>
        <w:gridCol w:w="3359"/>
        <w:gridCol w:w="4001"/>
      </w:tblGrid>
      <w:tr>
        <w:trPr>
          <w:tblHeader w:val="true"/>
        </w:trPr>
        <w:tc>
          <w:tcPr>
            <w:tcW w:w="200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Dimension</w:t>
            </w:r>
          </w:p>
        </w:tc>
        <w:tc>
          <w:tcPr>
            <w:tcW w:w="3359"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Generic ChatGPT</w:t>
            </w:r>
          </w:p>
        </w:tc>
        <w:tc>
          <w:tcPr>
            <w:tcW w:w="4001"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UniGPT</w:t>
            </w:r>
          </w:p>
        </w:tc>
      </w:tr>
      <w:tr>
        <w:trPr/>
        <w:tc>
          <w:tcPr>
            <w:tcW w:w="200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Source of answers</w:t>
            </w:r>
          </w:p>
        </w:tc>
        <w:tc>
          <w:tcPr>
            <w:tcW w:w="335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The open internet</w:t>
            </w:r>
          </w:p>
        </w:tc>
        <w:tc>
          <w:tcPr>
            <w:tcW w:w="400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The institution’s approved documents</w:t>
            </w:r>
          </w:p>
        </w:tc>
      </w:tr>
      <w:tr>
        <w:trPr/>
        <w:tc>
          <w:tcPr>
            <w:tcW w:w="200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Verifiability</w:t>
            </w:r>
          </w:p>
        </w:tc>
        <w:tc>
          <w:tcPr>
            <w:tcW w:w="335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No citations</w:t>
            </w:r>
          </w:p>
        </w:tc>
        <w:tc>
          <w:tcPr>
            <w:tcW w:w="4001"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Citations to document and page, with confidence</w:t>
            </w:r>
          </w:p>
        </w:tc>
      </w:tr>
      <w:tr>
        <w:trPr/>
        <w:tc>
          <w:tcPr>
            <w:tcW w:w="200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Permissions</w:t>
            </w:r>
          </w:p>
        </w:tc>
        <w:tc>
          <w:tcPr>
            <w:tcW w:w="335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None</w:t>
            </w:r>
          </w:p>
        </w:tc>
        <w:tc>
          <w:tcPr>
            <w:tcW w:w="400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Role-aware — users see only what they may</w:t>
            </w:r>
          </w:p>
        </w:tc>
      </w:tr>
      <w:tr>
        <w:trPr/>
        <w:tc>
          <w:tcPr>
            <w:tcW w:w="200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Governance</w:t>
            </w:r>
          </w:p>
        </w:tc>
        <w:tc>
          <w:tcPr>
            <w:tcW w:w="335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None</w:t>
            </w:r>
          </w:p>
        </w:tc>
        <w:tc>
          <w:tcPr>
            <w:tcW w:w="4001"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Documents approved before they reach the AI</w:t>
            </w:r>
          </w:p>
        </w:tc>
      </w:tr>
    </w:tbl>
    <w:p>
      <w:pPr>
        <w:pStyle w:val="Normal"/>
        <w:rPr/>
      </w:pPr>
      <w:r>
        <w:rPr/>
      </w:r>
      <w:r>
        <w:br w:type="page"/>
      </w:r>
    </w:p>
    <w:p>
      <w:pPr>
        <w:pStyle w:val="Heading1"/>
        <w:spacing w:before="0" w:after="160"/>
        <w:rPr/>
      </w:pPr>
      <w:bookmarkStart w:id="22" w:name="__RefHeading___Toc695_1232878261"/>
      <w:bookmarkEnd w:id="22"/>
      <w:r>
        <w:rPr/>
        <w:t>7.  Core Features</w:t>
      </w:r>
    </w:p>
    <w:p>
      <w:pPr>
        <w:pStyle w:val="Heading2"/>
        <w:rPr/>
      </w:pPr>
      <w:bookmarkStart w:id="23" w:name="__RefHeading___Toc697_1232878261"/>
      <w:bookmarkEnd w:id="23"/>
      <w:r>
        <w:rPr/>
        <w:t>7.1  Student Features</w:t>
      </w:r>
    </w:p>
    <w:p>
      <w:pPr>
        <w:pStyle w:val="ListParagraph"/>
        <w:numPr>
          <w:ilvl w:val="0"/>
          <w:numId w:val="2"/>
        </w:numPr>
        <w:spacing w:lineRule="exact" w:line="264" w:before="0" w:after="80"/>
        <w:rPr/>
      </w:pPr>
      <w:r>
        <w:rPr>
          <w:b/>
          <w:bCs/>
          <w:sz w:val="22"/>
          <w:szCs w:val="22"/>
        </w:rPr>
        <w:t xml:space="preserve">AI Tutor. </w:t>
      </w:r>
      <w:r>
        <w:rPr>
          <w:sz w:val="22"/>
          <w:szCs w:val="22"/>
        </w:rPr>
        <w:t>Grounded, cited question answering with selectable modes (academic, exam prep, assignment help, research, career) and answer language.</w:t>
      </w:r>
    </w:p>
    <w:p>
      <w:pPr>
        <w:pStyle w:val="ListParagraph"/>
        <w:numPr>
          <w:ilvl w:val="0"/>
          <w:numId w:val="2"/>
        </w:numPr>
        <w:spacing w:lineRule="exact" w:line="264" w:before="0" w:after="80"/>
        <w:rPr/>
      </w:pPr>
      <w:r>
        <w:rPr>
          <w:b/>
          <w:bCs/>
          <w:sz w:val="22"/>
          <w:szCs w:val="22"/>
        </w:rPr>
        <w:t xml:space="preserve">Proctored Class Tests. </w:t>
      </w:r>
      <w:r>
        <w:rPr>
          <w:sz w:val="22"/>
          <w:szCs w:val="22"/>
        </w:rPr>
        <w:t>Timed, fullscreen quizzes that are auto-graded the moment they are submitted.</w:t>
      </w:r>
    </w:p>
    <w:p>
      <w:pPr>
        <w:pStyle w:val="ListParagraph"/>
        <w:numPr>
          <w:ilvl w:val="0"/>
          <w:numId w:val="2"/>
        </w:numPr>
        <w:spacing w:lineRule="exact" w:line="264" w:before="0" w:after="80"/>
        <w:rPr/>
      </w:pPr>
      <w:r>
        <w:rPr>
          <w:b/>
          <w:bCs/>
          <w:sz w:val="22"/>
          <w:szCs w:val="22"/>
        </w:rPr>
        <w:t xml:space="preserve">Academic Tracking. </w:t>
      </w:r>
      <w:r>
        <w:rPr>
          <w:sz w:val="22"/>
          <w:szCs w:val="22"/>
        </w:rPr>
        <w:t>Live attendance, GPA/CGPA, transcript, and a semester-by-semester degree roadmap.</w:t>
      </w:r>
    </w:p>
    <w:p>
      <w:pPr>
        <w:pStyle w:val="ListParagraph"/>
        <w:numPr>
          <w:ilvl w:val="0"/>
          <w:numId w:val="2"/>
        </w:numPr>
        <w:spacing w:lineRule="exact" w:line="264" w:before="0" w:after="80"/>
        <w:rPr/>
      </w:pPr>
      <w:r>
        <w:rPr>
          <w:b/>
          <w:bCs/>
          <w:sz w:val="22"/>
          <w:szCs w:val="22"/>
        </w:rPr>
        <w:t xml:space="preserve">Course Registration. </w:t>
      </w:r>
      <w:r>
        <w:rPr>
          <w:sz w:val="22"/>
          <w:szCs w:val="22"/>
        </w:rPr>
        <w:t>Confirm or drop the sections an admin has placed the student into, during the open registration window.</w:t>
      </w:r>
    </w:p>
    <w:p>
      <w:pPr>
        <w:pStyle w:val="ListParagraph"/>
        <w:numPr>
          <w:ilvl w:val="0"/>
          <w:numId w:val="2"/>
        </w:numPr>
        <w:spacing w:lineRule="exact" w:line="264" w:before="0" w:after="80"/>
        <w:rPr/>
      </w:pPr>
      <w:r>
        <w:rPr>
          <w:b/>
          <w:bCs/>
          <w:sz w:val="22"/>
          <w:szCs w:val="22"/>
        </w:rPr>
        <w:t xml:space="preserve">Productivity. </w:t>
      </w:r>
      <w:r>
        <w:rPr>
          <w:sz w:val="22"/>
          <w:szCs w:val="22"/>
        </w:rPr>
        <w:t>Combined calendar, personal notes and tasks, saved AI answers, and a document library.</w:t>
      </w:r>
    </w:p>
    <w:p>
      <w:pPr>
        <w:pStyle w:val="Heading2"/>
        <w:rPr/>
      </w:pPr>
      <w:bookmarkStart w:id="24" w:name="__RefHeading___Toc699_1232878261"/>
      <w:bookmarkEnd w:id="24"/>
      <w:r>
        <w:rPr/>
        <w:t>7.2  Faculty Features</w:t>
      </w:r>
    </w:p>
    <w:p>
      <w:pPr>
        <w:pStyle w:val="ListParagraph"/>
        <w:numPr>
          <w:ilvl w:val="0"/>
          <w:numId w:val="2"/>
        </w:numPr>
        <w:spacing w:lineRule="exact" w:line="264" w:before="0" w:after="80"/>
        <w:rPr/>
      </w:pPr>
      <w:r>
        <w:rPr>
          <w:b/>
          <w:bCs/>
          <w:sz w:val="22"/>
          <w:szCs w:val="22"/>
        </w:rPr>
        <w:t xml:space="preserve">AI Teaching Assistant. </w:t>
      </w:r>
      <w:r>
        <w:rPr>
          <w:sz w:val="22"/>
          <w:szCs w:val="22"/>
        </w:rPr>
        <w:t>Generates draft quizzes, assignments, and grading feedback on the same cited engine — drafts only, until the teacher publishes.</w:t>
      </w:r>
    </w:p>
    <w:p>
      <w:pPr>
        <w:pStyle w:val="ListParagraph"/>
        <w:numPr>
          <w:ilvl w:val="0"/>
          <w:numId w:val="2"/>
        </w:numPr>
        <w:spacing w:lineRule="exact" w:line="264" w:before="0" w:after="80"/>
        <w:rPr/>
      </w:pPr>
      <w:r>
        <w:rPr>
          <w:b/>
          <w:bCs/>
          <w:sz w:val="22"/>
          <w:szCs w:val="22"/>
        </w:rPr>
        <w:t xml:space="preserve">Assessment &amp; Grading. </w:t>
      </w:r>
      <w:r>
        <w:rPr>
          <w:sz w:val="22"/>
          <w:szCs w:val="22"/>
        </w:rPr>
        <w:t>Build auto-graded proctored quizzes; grade submissions with optional AI-suggested feedback that flows into transcripts.</w:t>
      </w:r>
    </w:p>
    <w:p>
      <w:pPr>
        <w:pStyle w:val="ListParagraph"/>
        <w:numPr>
          <w:ilvl w:val="0"/>
          <w:numId w:val="2"/>
        </w:numPr>
        <w:spacing w:lineRule="exact" w:line="264" w:before="0" w:after="80"/>
        <w:rPr/>
      </w:pPr>
      <w:r>
        <w:rPr>
          <w:b/>
          <w:bCs/>
          <w:sz w:val="22"/>
          <w:szCs w:val="22"/>
        </w:rPr>
        <w:t xml:space="preserve">One-Click Attendance. </w:t>
      </w:r>
      <w:r>
        <w:rPr>
          <w:sz w:val="22"/>
          <w:szCs w:val="22"/>
        </w:rPr>
        <w:t>Mark a class in one screen; re-saving updates without duplicates.</w:t>
      </w:r>
    </w:p>
    <w:p>
      <w:pPr>
        <w:pStyle w:val="ListParagraph"/>
        <w:numPr>
          <w:ilvl w:val="0"/>
          <w:numId w:val="2"/>
        </w:numPr>
        <w:spacing w:lineRule="exact" w:line="264" w:before="0" w:after="80"/>
        <w:rPr/>
      </w:pPr>
      <w:r>
        <w:rPr>
          <w:b/>
          <w:bCs/>
          <w:sz w:val="22"/>
          <w:szCs w:val="22"/>
        </w:rPr>
        <w:t xml:space="preserve">Learning Analytics. </w:t>
      </w:r>
      <w:r>
        <w:rPr>
          <w:sz w:val="22"/>
          <w:szCs w:val="22"/>
        </w:rPr>
        <w:t>Grade distributions, submission rates, and at-risk student flags surfaced during the term.</w:t>
      </w:r>
    </w:p>
    <w:p>
      <w:pPr>
        <w:pStyle w:val="Heading2"/>
        <w:rPr/>
      </w:pPr>
      <w:bookmarkStart w:id="25" w:name="__RefHeading___Toc701_1232878261"/>
      <w:bookmarkEnd w:id="25"/>
      <w:r>
        <w:rPr/>
        <w:t>7.3  Administrator Features</w:t>
      </w:r>
    </w:p>
    <w:p>
      <w:pPr>
        <w:pStyle w:val="ListParagraph"/>
        <w:numPr>
          <w:ilvl w:val="0"/>
          <w:numId w:val="2"/>
        </w:numPr>
        <w:spacing w:lineRule="exact" w:line="264" w:before="0" w:after="80"/>
        <w:rPr/>
      </w:pPr>
      <w:r>
        <w:rPr>
          <w:b/>
          <w:bCs/>
          <w:sz w:val="22"/>
          <w:szCs w:val="22"/>
        </w:rPr>
        <w:t xml:space="preserve">Document Approval &amp; Knowledge Base. </w:t>
      </w:r>
      <w:r>
        <w:rPr>
          <w:sz w:val="22"/>
          <w:szCs w:val="22"/>
        </w:rPr>
        <w:t>A review queue where approval automatically indexes a document into the AI’s knowledge; rejection removes it instantly.</w:t>
      </w:r>
    </w:p>
    <w:p>
      <w:pPr>
        <w:pStyle w:val="ListParagraph"/>
        <w:numPr>
          <w:ilvl w:val="0"/>
          <w:numId w:val="2"/>
        </w:numPr>
        <w:spacing w:lineRule="exact" w:line="264" w:before="0" w:after="80"/>
        <w:rPr/>
      </w:pPr>
      <w:r>
        <w:rPr>
          <w:b/>
          <w:bCs/>
          <w:sz w:val="22"/>
          <w:szCs w:val="22"/>
        </w:rPr>
        <w:t xml:space="preserve">AI Usage Monitor. </w:t>
      </w:r>
      <w:r>
        <w:rPr>
          <w:sz w:val="22"/>
          <w:szCs w:val="22"/>
        </w:rPr>
        <w:t>Per-user usage tracking, with the ability to revoke or reinstate an individual’s AI access to control cost or misuse.</w:t>
      </w:r>
    </w:p>
    <w:p>
      <w:pPr>
        <w:pStyle w:val="ListParagraph"/>
        <w:numPr>
          <w:ilvl w:val="0"/>
          <w:numId w:val="2"/>
        </w:numPr>
        <w:spacing w:lineRule="exact" w:line="264" w:before="0" w:after="80"/>
        <w:rPr/>
      </w:pPr>
      <w:r>
        <w:rPr>
          <w:b/>
          <w:bCs/>
          <w:sz w:val="22"/>
          <w:szCs w:val="22"/>
        </w:rPr>
        <w:t xml:space="preserve">Governance. </w:t>
      </w:r>
      <w:r>
        <w:rPr>
          <w:sz w:val="22"/>
          <w:szCs w:val="22"/>
        </w:rPr>
        <w:t>User management, a visual role-and-permission editor with 40+ permissions, terms and rollover, and a protected admin account that can never be locked out.</w:t>
      </w:r>
    </w:p>
    <w:p>
      <w:pPr>
        <w:pStyle w:val="ListParagraph"/>
        <w:numPr>
          <w:ilvl w:val="0"/>
          <w:numId w:val="2"/>
        </w:numPr>
        <w:spacing w:lineRule="exact" w:line="264" w:before="0" w:after="80"/>
        <w:rPr/>
      </w:pPr>
      <w:r>
        <w:rPr>
          <w:b/>
          <w:bCs/>
          <w:sz w:val="22"/>
          <w:szCs w:val="22"/>
        </w:rPr>
        <w:t xml:space="preserve">Institution Analytics &amp; Health. </w:t>
      </w:r>
      <w:r>
        <w:rPr>
          <w:sz w:val="22"/>
          <w:szCs w:val="22"/>
        </w:rPr>
        <w:t>University-wide usage, top questions, AI settings, and a live system-health monitor.</w:t>
      </w:r>
    </w:p>
    <w:p>
      <w:pPr>
        <w:pStyle w:val="Heading2"/>
        <w:rPr/>
      </w:pPr>
      <w:bookmarkStart w:id="26" w:name="__RefHeading___Toc703_1232878261"/>
      <w:bookmarkEnd w:id="26"/>
      <w:r>
        <w:rPr/>
        <w:t>7.4  Platform-Wide Capabilities</w:t>
      </w:r>
    </w:p>
    <w:p>
      <w:pPr>
        <w:pStyle w:val="ListParagraph"/>
        <w:numPr>
          <w:ilvl w:val="0"/>
          <w:numId w:val="2"/>
        </w:numPr>
        <w:spacing w:lineRule="exact" w:line="264" w:before="0" w:after="80"/>
        <w:rPr/>
      </w:pPr>
      <w:r>
        <w:rPr>
          <w:b/>
          <w:bCs/>
          <w:sz w:val="22"/>
          <w:szCs w:val="22"/>
        </w:rPr>
        <w:t xml:space="preserve">Proctored integrity. </w:t>
      </w:r>
      <w:r>
        <w:rPr>
          <w:sz w:val="22"/>
          <w:szCs w:val="22"/>
        </w:rPr>
        <w:t>Fullscreen enforcement with tab-switch detection, auto-disqualification beyond a warning limit, a tamper-proof per-student timer, and server-authoritative grading — correct answers never reach the browser during an attempt.</w:t>
      </w:r>
    </w:p>
    <w:p>
      <w:pPr>
        <w:pStyle w:val="ListParagraph"/>
        <w:numPr>
          <w:ilvl w:val="0"/>
          <w:numId w:val="2"/>
        </w:numPr>
        <w:spacing w:lineRule="exact" w:line="264" w:before="0" w:after="80"/>
        <w:rPr/>
      </w:pPr>
      <w:r>
        <w:rPr>
          <w:b/>
          <w:bCs/>
          <w:sz w:val="22"/>
          <w:szCs w:val="22"/>
        </w:rPr>
        <w:t xml:space="preserve">Real-time messaging. </w:t>
      </w:r>
      <w:r>
        <w:rPr>
          <w:sz w:val="22"/>
          <w:szCs w:val="22"/>
        </w:rPr>
        <w:t>Direct chat between students and the faculty they share a class with, with presence indicators and a reliable persist-then-broadcast model with polling fallback.</w:t>
      </w:r>
    </w:p>
    <w:p>
      <w:pPr>
        <w:pStyle w:val="ListParagraph"/>
        <w:numPr>
          <w:ilvl w:val="0"/>
          <w:numId w:val="2"/>
        </w:numPr>
        <w:spacing w:lineRule="exact" w:line="264" w:before="0" w:after="80"/>
        <w:rPr/>
      </w:pPr>
      <w:r>
        <w:rPr>
          <w:b/>
          <w:bCs/>
          <w:sz w:val="22"/>
          <w:szCs w:val="22"/>
        </w:rPr>
        <w:t xml:space="preserve">Notifications. </w:t>
      </w:r>
      <w:r>
        <w:rPr>
          <w:sz w:val="22"/>
          <w:szCs w:val="22"/>
        </w:rPr>
        <w:t>A single system that delivers grades, materials, assignments, exams, and announcements to exactly the right people.</w:t>
      </w:r>
    </w:p>
    <w:p>
      <w:pPr>
        <w:pStyle w:val="Heading1"/>
        <w:rPr/>
      </w:pPr>
      <w:bookmarkStart w:id="27" w:name="__RefHeading___Toc705_1232878261"/>
      <w:bookmarkEnd w:id="27"/>
      <w:r>
        <w:rPr/>
        <w:t>8.  Implementation Status &amp; Results</w:t>
      </w:r>
    </w:p>
    <w:p>
      <w:pPr>
        <w:pStyle w:val="Normal"/>
        <w:spacing w:lineRule="exact" w:line="276" w:before="0" w:after="140"/>
        <w:rPr/>
      </w:pPr>
      <w:r>
        <w:rPr>
          <w:sz w:val="22"/>
          <w:szCs w:val="22"/>
        </w:rPr>
        <w:t>UniGPT is a mature, demonstrable MVP. The core functionality across all three roles has been implemented using proven, scalable technologies, and the platform can be demonstrated end-to-end with no external dependencies.</w:t>
      </w:r>
    </w:p>
    <w:p>
      <w:pPr>
        <w:pStyle w:val="Heading2"/>
        <w:rPr/>
      </w:pPr>
      <w:bookmarkStart w:id="28" w:name="__RefHeading___Toc707_1232878261"/>
      <w:bookmarkEnd w:id="28"/>
      <w:r>
        <w:rPr/>
        <w:t>8.1  By the Numbers</w:t>
      </w:r>
    </w:p>
    <w:tbl>
      <w:tblPr>
        <w:tblW w:w="9360" w:type="dxa"/>
        <w:jc w:val="left"/>
        <w:tblInd w:w="0" w:type="dxa"/>
        <w:tblLayout w:type="fixed"/>
        <w:tblCellMar>
          <w:top w:w="70" w:type="dxa"/>
          <w:left w:w="110" w:type="dxa"/>
          <w:bottom w:w="70" w:type="dxa"/>
          <w:right w:w="110" w:type="dxa"/>
        </w:tblCellMar>
      </w:tblPr>
      <w:tblGrid>
        <w:gridCol w:w="2600"/>
        <w:gridCol w:w="1400"/>
        <w:gridCol w:w="5360"/>
      </w:tblGrid>
      <w:tr>
        <w:trPr>
          <w:tblHeader w:val="true"/>
        </w:trPr>
        <w:tc>
          <w:tcPr>
            <w:tcW w:w="260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Metric</w:t>
            </w:r>
          </w:p>
        </w:tc>
        <w:tc>
          <w:tcPr>
            <w:tcW w:w="140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Value</w:t>
            </w:r>
          </w:p>
        </w:tc>
        <w:tc>
          <w:tcPr>
            <w:tcW w:w="536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Meaning</w:t>
            </w:r>
          </w:p>
        </w:tc>
      </w:tr>
      <w:tr>
        <w:trPr/>
        <w:tc>
          <w:tcPr>
            <w:tcW w:w="260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Role dashboards</w:t>
            </w:r>
          </w:p>
        </w:tc>
        <w:tc>
          <w:tcPr>
            <w:tcW w:w="140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3</w:t>
            </w:r>
          </w:p>
        </w:tc>
        <w:tc>
          <w:tcPr>
            <w:tcW w:w="53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Student, Faculty, and Admin — one login, tailored per role</w:t>
            </w:r>
          </w:p>
        </w:tc>
      </w:tr>
      <w:tr>
        <w:trPr/>
        <w:tc>
          <w:tcPr>
            <w:tcW w:w="260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Fine-grained permissions</w:t>
            </w:r>
          </w:p>
        </w:tc>
        <w:tc>
          <w:tcPr>
            <w:tcW w:w="140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40+</w:t>
            </w:r>
          </w:p>
        </w:tc>
        <w:tc>
          <w:tcPr>
            <w:tcW w:w="536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Every route guarded, every action audited; roles can expire</w:t>
            </w:r>
          </w:p>
        </w:tc>
      </w:tr>
      <w:tr>
        <w:trPr/>
        <w:tc>
          <w:tcPr>
            <w:tcW w:w="260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Core workflows</w:t>
            </w:r>
          </w:p>
        </w:tc>
        <w:tc>
          <w:tcPr>
            <w:tcW w:w="140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100%</w:t>
            </w:r>
          </w:p>
        </w:tc>
        <w:tc>
          <w:tcPr>
            <w:tcW w:w="53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Teach, quiz, proctor, grade, and report — wired end-to-end</w:t>
            </w:r>
          </w:p>
        </w:tc>
      </w:tr>
      <w:tr>
        <w:trPr/>
        <w:tc>
          <w:tcPr>
            <w:tcW w:w="260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External AI dependencies</w:t>
            </w:r>
          </w:p>
        </w:tc>
        <w:tc>
          <w:tcPr>
            <w:tcW w:w="140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0</w:t>
            </w:r>
          </w:p>
        </w:tc>
        <w:tc>
          <w:tcPr>
            <w:tcW w:w="536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No vector database, no LLM SDK — runs in-house</w:t>
            </w:r>
          </w:p>
        </w:tc>
      </w:tr>
    </w:tbl>
    <w:p>
      <w:pPr>
        <w:pStyle w:val="Normal"/>
        <w:spacing w:before="0" w:after="60"/>
        <w:rPr/>
      </w:pPr>
      <w:r>
        <w:rPr/>
      </w:r>
    </w:p>
    <w:p>
      <w:pPr>
        <w:pStyle w:val="Heading2"/>
        <w:rPr/>
      </w:pPr>
      <w:bookmarkStart w:id="29" w:name="__RefHeading___Toc709_1232878261"/>
      <w:bookmarkEnd w:id="29"/>
      <w:r>
        <w:rPr/>
        <w:t>8.2  Expected Outcomes</w:t>
      </w:r>
    </w:p>
    <w:p>
      <w:pPr>
        <w:pStyle w:val="ListParagraph"/>
        <w:numPr>
          <w:ilvl w:val="0"/>
          <w:numId w:val="2"/>
        </w:numPr>
        <w:spacing w:lineRule="exact" w:line="264" w:before="0" w:after="80"/>
        <w:rPr/>
      </w:pPr>
      <w:r>
        <w:rPr>
          <w:sz w:val="22"/>
          <w:szCs w:val="22"/>
        </w:rPr>
        <w:t>A significant reduction in the time students spend searching for academic information, as materials, policies, and notices become instantly accessible through one AI-powered interface.</w:t>
      </w:r>
    </w:p>
    <w:p>
      <w:pPr>
        <w:pStyle w:val="ListParagraph"/>
        <w:numPr>
          <w:ilvl w:val="0"/>
          <w:numId w:val="2"/>
        </w:numPr>
        <w:spacing w:lineRule="exact" w:line="264" w:before="0" w:after="80"/>
        <w:rPr/>
      </w:pPr>
      <w:r>
        <w:rPr>
          <w:sz w:val="22"/>
          <w:szCs w:val="22"/>
        </w:rPr>
        <w:t>Decreased faculty workload on repetitive tasks such as quiz creation, grading, and attendance, freeing time for teaching.</w:t>
      </w:r>
    </w:p>
    <w:p>
      <w:pPr>
        <w:pStyle w:val="ListParagraph"/>
        <w:numPr>
          <w:ilvl w:val="0"/>
          <w:numId w:val="2"/>
        </w:numPr>
        <w:spacing w:lineRule="exact" w:line="264" w:before="0" w:after="80"/>
        <w:rPr/>
      </w:pPr>
      <w:r>
        <w:rPr>
          <w:sz w:val="22"/>
          <w:szCs w:val="22"/>
        </w:rPr>
        <w:t>Higher accuracy and trust in academic information, as answers are grounded in approved documents rather than generic internet data.</w:t>
      </w:r>
    </w:p>
    <w:p>
      <w:pPr>
        <w:pStyle w:val="ListParagraph"/>
        <w:numPr>
          <w:ilvl w:val="0"/>
          <w:numId w:val="2"/>
        </w:numPr>
        <w:spacing w:lineRule="exact" w:line="264" w:before="0" w:after="80"/>
        <w:rPr/>
      </w:pPr>
      <w:r>
        <w:rPr>
          <w:sz w:val="22"/>
          <w:szCs w:val="22"/>
        </w:rPr>
        <w:t>Improved administrative decision-making through real-time dashboards, analytics, AI-usage monitoring, and early risk detection.</w:t>
      </w:r>
    </w:p>
    <w:p>
      <w:pPr>
        <w:pStyle w:val="ListParagraph"/>
        <w:numPr>
          <w:ilvl w:val="0"/>
          <w:numId w:val="2"/>
        </w:numPr>
        <w:spacing w:lineRule="exact" w:line="264" w:before="0" w:after="80"/>
        <w:rPr/>
      </w:pPr>
      <w:r>
        <w:rPr>
          <w:sz w:val="22"/>
          <w:szCs w:val="22"/>
        </w:rPr>
        <w:t>A measurable reduction in academic miscommunication, as official notices and policies flow through one verified, centralized platform.</w:t>
      </w:r>
    </w:p>
    <w:p>
      <w:pPr>
        <w:pStyle w:val="Normal"/>
        <w:spacing w:before="0" w:after="2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4" w:space="0" w:color="0D9488"/>
              <w:left w:val="single" w:sz="4" w:space="0" w:color="0D9488"/>
              <w:bottom w:val="single" w:sz="4" w:space="0" w:color="0D9488"/>
              <w:right w:val="single" w:sz="4" w:space="0" w:color="0D9488"/>
            </w:tcBorders>
            <w:shd w:fill="E6F7F4" w:val="clear"/>
          </w:tcPr>
          <w:p>
            <w:pPr>
              <w:pStyle w:val="Normal"/>
              <w:spacing w:before="0" w:after="60"/>
              <w:rPr/>
            </w:pPr>
            <w:r>
              <w:rPr>
                <w:b/>
                <w:bCs/>
                <w:color w:val="0D9488"/>
                <w:sz w:val="21"/>
                <w:szCs w:val="21"/>
              </w:rPr>
              <w:t>A note on measurement</w:t>
            </w:r>
          </w:p>
          <w:p>
            <w:pPr>
              <w:pStyle w:val="Normal"/>
              <w:spacing w:lineRule="exact" w:line="260" w:before="0" w:after="40"/>
              <w:rPr/>
            </w:pPr>
            <w:r>
              <w:rPr>
                <w:color w:val="1A2438"/>
                <w:sz w:val="20"/>
                <w:szCs w:val="20"/>
              </w:rPr>
              <w:t>The outcomes above are structural — each manual workflow is replaced by a single action or an instant, cited answer. Quantified figures (hours saved, adoption) require a departmental pilot, which is the first item on the validation roadmap. No adoption metrics are claimed here that have not yet been measured.</w:t>
            </w:r>
          </w:p>
        </w:tc>
      </w:tr>
    </w:tbl>
    <w:p>
      <w:pPr>
        <w:pStyle w:val="Heading1"/>
        <w:rPr/>
      </w:pPr>
      <w:bookmarkStart w:id="30" w:name="__RefHeading___Toc711_1232878261"/>
      <w:bookmarkEnd w:id="30"/>
      <w:r>
        <w:rPr/>
        <w:t>9.  Interactive Prototype</w:t>
      </w:r>
    </w:p>
    <w:p>
      <w:pPr>
        <w:pStyle w:val="Normal"/>
        <w:spacing w:lineRule="exact" w:line="276" w:before="0" w:after="140"/>
        <w:rPr/>
      </w:pPr>
      <w:r>
        <w:rPr>
          <w:sz w:val="22"/>
          <w:szCs w:val="22"/>
        </w:rPr>
        <w:t>Accompanying this report is a self-contained interactive prototype (a single HTML file) that runs in any modern browser with no installation. It simulates the key UniGPT screens using mock data, allowing reviewers to experience the product without deploying the full stack.</w:t>
      </w:r>
    </w:p>
    <w:p>
      <w:pPr>
        <w:pStyle w:val="Normal"/>
        <w:spacing w:lineRule="exact" w:line="276" w:before="0" w:after="140"/>
        <w:rPr/>
      </w:pPr>
      <w:r>
        <w:rPr>
          <w:sz w:val="22"/>
          <w:szCs w:val="22"/>
        </w:rPr>
        <w:t xml:space="preserve">The prototype demonstrates, for each role: </w:t>
      </w:r>
      <w:r>
        <w:rPr>
          <w:b/>
          <w:bCs/>
          <w:sz w:val="22"/>
          <w:szCs w:val="22"/>
        </w:rPr>
        <w:t>the cited AI chat</w:t>
      </w:r>
      <w:r>
        <w:rPr>
          <w:sz w:val="22"/>
          <w:szCs w:val="22"/>
        </w:rPr>
        <w:t xml:space="preserve"> (with sources and confidence), </w:t>
      </w:r>
      <w:r>
        <w:rPr>
          <w:b/>
          <w:bCs/>
          <w:sz w:val="22"/>
          <w:szCs w:val="22"/>
        </w:rPr>
        <w:t>the proctored quiz</w:t>
      </w:r>
      <w:r>
        <w:rPr>
          <w:sz w:val="22"/>
          <w:szCs w:val="22"/>
        </w:rPr>
        <w:t xml:space="preserve"> (with a live timer and warning system), and </w:t>
      </w:r>
      <w:r>
        <w:rPr>
          <w:b/>
          <w:bCs/>
          <w:sz w:val="22"/>
          <w:szCs w:val="22"/>
        </w:rPr>
        <w:t>the administrator document-approval flow</w:t>
      </w:r>
      <w:r>
        <w:rPr>
          <w:sz w:val="22"/>
          <w:szCs w:val="22"/>
        </w:rPr>
        <w:t xml:space="preserve"> (showing how an approved document becomes part of the AI’s knowledge). It complements — and serves as a reliable backup to — a live demonstration of the production application.</w:t>
      </w:r>
    </w:p>
    <w:p>
      <w:pPr>
        <w:pStyle w:val="Heading1"/>
        <w:rPr/>
      </w:pPr>
      <w:bookmarkStart w:id="31" w:name="__RefHeading___Toc713_1232878261"/>
      <w:bookmarkEnd w:id="31"/>
      <w:r>
        <w:rPr/>
        <w:t>10.  Impact &amp; Feasibility</w:t>
      </w:r>
    </w:p>
    <w:p>
      <w:pPr>
        <w:pStyle w:val="Heading2"/>
        <w:rPr/>
      </w:pPr>
      <w:bookmarkStart w:id="32" w:name="__RefHeading___Toc715_1232878261"/>
      <w:bookmarkEnd w:id="32"/>
      <w:r>
        <w:rPr/>
        <w:t>10.1  Technical Feasibility</w:t>
      </w:r>
    </w:p>
    <w:p>
      <w:pPr>
        <w:pStyle w:val="Normal"/>
        <w:spacing w:lineRule="exact" w:line="276" w:before="0" w:after="140"/>
        <w:rPr/>
      </w:pPr>
      <w:r>
        <w:rPr>
          <w:sz w:val="22"/>
          <w:szCs w:val="22"/>
        </w:rPr>
        <w:t>From a technical perspective, UniGPT is highly feasible and production-ready. Its modular architecture supports secure role-based access control, efficient in-database document indexing, and maintainable long-term development. The deliberate choice to avoid external vector databases and LLM SDKs lowers both the operational burden and the cost of running the system.</w:t>
      </w:r>
    </w:p>
    <w:p>
      <w:pPr>
        <w:pStyle w:val="Heading2"/>
        <w:rPr/>
      </w:pPr>
      <w:bookmarkStart w:id="33" w:name="__RefHeading___Toc717_1232878261"/>
      <w:bookmarkEnd w:id="33"/>
      <w:r>
        <w:rPr/>
        <w:t>10.2  Societal Impact</w:t>
      </w:r>
    </w:p>
    <w:p>
      <w:pPr>
        <w:pStyle w:val="Normal"/>
        <w:spacing w:lineRule="exact" w:line="276" w:before="0" w:after="140"/>
        <w:rPr/>
      </w:pPr>
      <w:r>
        <w:rPr>
          <w:sz w:val="22"/>
          <w:szCs w:val="22"/>
        </w:rPr>
        <w:t>In a country like Bangladesh, where universities often struggle with resource fragmentation and inconsistent academic communication, a centralized AI-powered platform can meaningfully raise the quality and equity of education. By making institutional knowledge instantly accessible to every student — regardless of the size of their university — and by reducing administrative friction for faculty, UniGPT has the potential to improve academic outcomes across institutions of all sizes. It also demonstrates how RAG-based AI can be responsibly deployed in high-stakes academic environments, setting a model for trustworthy, citation-backed AI that other institutions can follow.</w:t>
      </w:r>
    </w:p>
    <w:p>
      <w:pPr>
        <w:pStyle w:val="Heading1"/>
        <w:rPr/>
      </w:pPr>
      <w:bookmarkStart w:id="34" w:name="__RefHeading___Toc719_1232878261"/>
      <w:bookmarkEnd w:id="34"/>
      <w:r>
        <w:rPr/>
        <w:t>11.  Scalability &amp; Future Work</w:t>
      </w:r>
    </w:p>
    <w:p>
      <w:pPr>
        <w:pStyle w:val="Normal"/>
        <w:spacing w:lineRule="exact" w:line="276" w:before="0" w:after="140"/>
        <w:rPr/>
      </w:pPr>
      <w:r>
        <w:rPr>
          <w:sz w:val="22"/>
          <w:szCs w:val="22"/>
        </w:rPr>
        <w:t>UniGPT is designed with scalability in mind. Its section-based, multi-tenant-ready architecture can support thousands of students, faculty, departments, and documents, with an end-of-term rollover process that winds classes down, locks in grades, and promotes the next semester automatically.</w:t>
      </w:r>
    </w:p>
    <w:p>
      <w:pPr>
        <w:pStyle w:val="Heading2"/>
        <w:rPr/>
      </w:pPr>
      <w:bookmarkStart w:id="35" w:name="__RefHeading___Toc721_1232878261"/>
      <w:bookmarkEnd w:id="35"/>
      <w:r>
        <w:rPr/>
        <w:t>11.1  Roadmap</w:t>
      </w:r>
    </w:p>
    <w:tbl>
      <w:tblPr>
        <w:tblW w:w="9360" w:type="dxa"/>
        <w:jc w:val="left"/>
        <w:tblInd w:w="0" w:type="dxa"/>
        <w:tblLayout w:type="fixed"/>
        <w:tblCellMar>
          <w:top w:w="70" w:type="dxa"/>
          <w:left w:w="110" w:type="dxa"/>
          <w:bottom w:w="70" w:type="dxa"/>
          <w:right w:w="110" w:type="dxa"/>
        </w:tblCellMar>
      </w:tblPr>
      <w:tblGrid>
        <w:gridCol w:w="1699"/>
        <w:gridCol w:w="7660"/>
      </w:tblGrid>
      <w:tr>
        <w:trPr>
          <w:tblHeader w:val="true"/>
        </w:trPr>
        <w:tc>
          <w:tcPr>
            <w:tcW w:w="1699"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Stage</w:t>
            </w:r>
          </w:p>
        </w:tc>
        <w:tc>
          <w:tcPr>
            <w:tcW w:w="766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Items</w:t>
            </w:r>
          </w:p>
        </w:tc>
      </w:tr>
      <w:tr>
        <w:trPr/>
        <w:tc>
          <w:tcPr>
            <w:tcW w:w="16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Shipped</w:t>
            </w:r>
          </w:p>
        </w:tc>
        <w:tc>
          <w:tcPr>
            <w:tcW w:w="76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RAG tutor with citations; AI quiz → proctored exam; AI-assisted grading; real-time messaging; RBAC with audit log; document approval pipeline; AI usage governance.</w:t>
            </w:r>
          </w:p>
        </w:tc>
      </w:tr>
      <w:tr>
        <w:trPr/>
        <w:tc>
          <w:tcPr>
            <w:tcW w:w="169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Next</w:t>
            </w:r>
          </w:p>
        </w:tc>
        <w:tc>
          <w:tcPr>
            <w:tcW w:w="766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Telegram / WhatsApp notifications; token-by-token answer streaming; predictive analytics.</w:t>
            </w:r>
          </w:p>
        </w:tc>
      </w:tr>
      <w:tr>
        <w:trPr/>
        <w:tc>
          <w:tcPr>
            <w:tcW w:w="16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Vision</w:t>
            </w:r>
          </w:p>
        </w:tc>
        <w:tc>
          <w:tcPr>
            <w:tcW w:w="766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Voice-based AI interaction; digital library integration; managed vector store at scale; multi-institution support.</w:t>
            </w:r>
          </w:p>
        </w:tc>
      </w:tr>
    </w:tbl>
    <w:p>
      <w:pPr>
        <w:pStyle w:val="Normal"/>
        <w:spacing w:before="0" w:after="40"/>
        <w:rPr/>
      </w:pPr>
      <w:r>
        <w:rPr/>
      </w:r>
    </w:p>
    <w:p>
      <w:pPr>
        <w:pStyle w:val="Normal"/>
        <w:spacing w:lineRule="exact" w:line="276" w:before="0" w:after="140"/>
        <w:rPr/>
      </w:pPr>
      <w:r>
        <w:rPr>
          <w:sz w:val="22"/>
          <w:szCs w:val="22"/>
        </w:rPr>
        <w:t>The long-term vision is to transform universities into AI-driven intelligent ecosystems where academic knowledge becomes instantly accessible, administrative friction is minimized, and educational productivity is significantly enhanced.</w:t>
      </w:r>
    </w:p>
    <w:p>
      <w:pPr>
        <w:pStyle w:val="Heading1"/>
        <w:rPr/>
      </w:pPr>
      <w:bookmarkStart w:id="36" w:name="__RefHeading___Toc723_1232878261"/>
      <w:bookmarkEnd w:id="36"/>
      <w:r>
        <w:rPr/>
        <w:t>12.  Conclusion</w:t>
      </w:r>
    </w:p>
    <w:p>
      <w:pPr>
        <w:pStyle w:val="Normal"/>
        <w:spacing w:lineRule="exact" w:line="276" w:before="0" w:after="140"/>
        <w:rPr/>
      </w:pPr>
      <w:r>
        <w:rPr>
          <w:sz w:val="22"/>
          <w:szCs w:val="22"/>
        </w:rPr>
        <w:t>UniGPT answers a problem every student and teacher recognises: the information they need exists, but it is scattered and hard to reach. By unifying academic workflows into one role-aware platform and grounding its AI in the institution’s own approved documents, UniGPT delivers answers that are not only fast but verifiable. Its citation-backed, permission-aware, and governed design makes it suitable for the high-stakes reality of academic life, and its lean, dependency-free architecture makes it genuinely deployable.</w:t>
      </w:r>
    </w:p>
    <w:p>
      <w:pPr>
        <w:pStyle w:val="Normal"/>
        <w:spacing w:lineRule="exact" w:line="276" w:before="0" w:after="140"/>
        <w:rPr/>
      </w:pPr>
      <w:r>
        <w:rPr>
          <w:b/>
          <w:bCs/>
          <w:sz w:val="22"/>
          <w:szCs w:val="22"/>
        </w:rPr>
        <w:t xml:space="preserve">One platform. Grounded AI. Every answer, provable. </w:t>
      </w:r>
      <w:r>
        <w:rPr>
          <w:sz w:val="22"/>
          <w:szCs w:val="22"/>
        </w:rPr>
        <w:t>That is the promise UniGPT is built to keep.</w:t>
      </w:r>
    </w:p>
    <w:p>
      <w:pPr>
        <w:pStyle w:val="Heading1"/>
        <w:rPr/>
      </w:pPr>
      <w:bookmarkStart w:id="37" w:name="__RefHeading___Toc725_1232878261"/>
      <w:bookmarkEnd w:id="37"/>
      <w:r>
        <w:rPr/>
        <w:t>Appendix A:  Deliverables Summary</w:t>
      </w:r>
    </w:p>
    <w:tbl>
      <w:tblPr>
        <w:tblW w:w="9360" w:type="dxa"/>
        <w:jc w:val="left"/>
        <w:tblInd w:w="0" w:type="dxa"/>
        <w:tblLayout w:type="fixed"/>
        <w:tblCellMar>
          <w:top w:w="70" w:type="dxa"/>
          <w:left w:w="110" w:type="dxa"/>
          <w:bottom w:w="70" w:type="dxa"/>
          <w:right w:w="110" w:type="dxa"/>
        </w:tblCellMar>
      </w:tblPr>
      <w:tblGrid>
        <w:gridCol w:w="3399"/>
        <w:gridCol w:w="3561"/>
        <w:gridCol w:w="2400"/>
      </w:tblGrid>
      <w:tr>
        <w:trPr>
          <w:tblHeader w:val="true"/>
        </w:trPr>
        <w:tc>
          <w:tcPr>
            <w:tcW w:w="3399"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Deliverable</w:t>
            </w:r>
          </w:p>
        </w:tc>
        <w:tc>
          <w:tcPr>
            <w:tcW w:w="3561"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Format</w:t>
            </w:r>
          </w:p>
        </w:tc>
        <w:tc>
          <w:tcPr>
            <w:tcW w:w="2400" w:type="dxa"/>
            <w:tcBorders>
              <w:top w:val="single" w:sz="4" w:space="0" w:color="C9D4DE"/>
              <w:left w:val="single" w:sz="4" w:space="0" w:color="C9D4DE"/>
              <w:bottom w:val="single" w:sz="4" w:space="0" w:color="C9D4DE"/>
              <w:right w:val="single" w:sz="4" w:space="0" w:color="C9D4DE"/>
            </w:tcBorders>
            <w:shd w:fill="0D9488" w:val="clear"/>
            <w:vAlign w:val="center"/>
          </w:tcPr>
          <w:p>
            <w:pPr>
              <w:pStyle w:val="Normal"/>
              <w:rPr/>
            </w:pPr>
            <w:r>
              <w:rPr>
                <w:b/>
                <w:bCs/>
                <w:color w:val="FFFFFF"/>
                <w:sz w:val="20"/>
                <w:szCs w:val="20"/>
              </w:rPr>
              <w:t>Status</w:t>
            </w:r>
          </w:p>
        </w:tc>
      </w:tr>
      <w:tr>
        <w:trPr/>
        <w:tc>
          <w:tcPr>
            <w:tcW w:w="33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Functional application</w:t>
            </w:r>
          </w:p>
        </w:tc>
        <w:tc>
          <w:tcPr>
            <w:tcW w:w="356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Laravel 11 + Vue 3 + MySQL 8</w:t>
            </w:r>
          </w:p>
        </w:tc>
        <w:tc>
          <w:tcPr>
            <w:tcW w:w="240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Built — demonstrable live</w:t>
            </w:r>
          </w:p>
        </w:tc>
      </w:tr>
      <w:tr>
        <w:trPr/>
        <w:tc>
          <w:tcPr>
            <w:tcW w:w="339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Interactive prototype</w:t>
            </w:r>
          </w:p>
        </w:tc>
        <w:tc>
          <w:tcPr>
            <w:tcW w:w="3561"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Single HTML file (offline)</w:t>
            </w:r>
          </w:p>
        </w:tc>
        <w:tc>
          <w:tcPr>
            <w:tcW w:w="240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Included with this submission</w:t>
            </w:r>
          </w:p>
        </w:tc>
      </w:tr>
      <w:tr>
        <w:trPr/>
        <w:tc>
          <w:tcPr>
            <w:tcW w:w="3399"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Presentation deck</w:t>
            </w:r>
          </w:p>
        </w:tc>
        <w:tc>
          <w:tcPr>
            <w:tcW w:w="3561"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PowerPoint (.pptx)</w:t>
            </w:r>
          </w:p>
        </w:tc>
        <w:tc>
          <w:tcPr>
            <w:tcW w:w="2400" w:type="dxa"/>
            <w:tcBorders>
              <w:top w:val="single" w:sz="4" w:space="0" w:color="C9D4DE"/>
              <w:left w:val="single" w:sz="4" w:space="0" w:color="C9D4DE"/>
              <w:bottom w:val="single" w:sz="4" w:space="0" w:color="C9D4DE"/>
              <w:right w:val="single" w:sz="4" w:space="0" w:color="C9D4DE"/>
            </w:tcBorders>
            <w:shd w:fill="FFFFFF" w:val="clear"/>
            <w:vAlign w:val="center"/>
          </w:tcPr>
          <w:p>
            <w:pPr>
              <w:pStyle w:val="Normal"/>
              <w:rPr/>
            </w:pPr>
            <w:r>
              <w:rPr>
                <w:b w:val="false"/>
                <w:bCs w:val="false"/>
                <w:color w:val="1A2438"/>
                <w:sz w:val="20"/>
                <w:szCs w:val="20"/>
              </w:rPr>
              <w:t>Completed</w:t>
            </w:r>
          </w:p>
        </w:tc>
      </w:tr>
      <w:tr>
        <w:trPr/>
        <w:tc>
          <w:tcPr>
            <w:tcW w:w="3399"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Project report</w:t>
            </w:r>
          </w:p>
        </w:tc>
        <w:tc>
          <w:tcPr>
            <w:tcW w:w="3561"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This document</w:t>
            </w:r>
          </w:p>
        </w:tc>
        <w:tc>
          <w:tcPr>
            <w:tcW w:w="2400" w:type="dxa"/>
            <w:tcBorders>
              <w:top w:val="single" w:sz="4" w:space="0" w:color="C9D4DE"/>
              <w:left w:val="single" w:sz="4" w:space="0" w:color="C9D4DE"/>
              <w:bottom w:val="single" w:sz="4" w:space="0" w:color="C9D4DE"/>
              <w:right w:val="single" w:sz="4" w:space="0" w:color="C9D4DE"/>
            </w:tcBorders>
            <w:shd w:fill="F2F6F8" w:val="clear"/>
            <w:vAlign w:val="center"/>
          </w:tcPr>
          <w:p>
            <w:pPr>
              <w:pStyle w:val="Normal"/>
              <w:rPr/>
            </w:pPr>
            <w:r>
              <w:rPr>
                <w:b w:val="false"/>
                <w:bCs w:val="false"/>
                <w:color w:val="1A2438"/>
                <w:sz w:val="20"/>
                <w:szCs w:val="20"/>
              </w:rPr>
              <w:t>Completed</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swiss"/>
    <w:pitch w:val="variable"/>
  </w:font>
  <w:font w:name="Calibri">
    <w:charset w:val="01"/>
    <w:family w:val="swiss"/>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4DE"/>
      </w:pBdr>
      <w:tabs>
        <w:tab w:val="clear" w:pos="720"/>
        <w:tab w:val="center" w:pos="4680" w:leader="none"/>
        <w:tab w:val="right" w:pos="9360" w:leader="none"/>
      </w:tabs>
      <w:rPr/>
    </w:pPr>
    <w:r>
      <w:rPr>
        <w:color w:val="555F6E"/>
        <w:sz w:val="16"/>
        <w:szCs w:val="16"/>
      </w:rPr>
      <w:t>Mohammad Shariya · NUB CSE</w:t>
    </w:r>
    <w:r>
      <w:rPr>
        <w:sz w:val="16"/>
        <w:szCs w:val="16"/>
      </w:rPr>
      <w:tab/>
    </w:r>
    <w:r>
      <w:rPr>
        <w:color w:val="555F6E"/>
        <w:sz w:val="16"/>
        <w:szCs w:val="16"/>
      </w:rPr>
      <w:t xml:space="preserve">Page </w:t>
    </w:r>
    <w:r>
      <w:rPr/>
      <w:fldChar w:fldCharType="begin"/>
    </w:r>
    <w:r>
      <w:rPr/>
      <w:instrText xml:space="preserve"> PAGE </w:instrText>
    </w:r>
    <w:r>
      <w:rPr/>
      <w:fldChar w:fldCharType="separate"/>
    </w:r>
    <w:r>
      <w:rPr/>
      <w:t>12</w:t>
    </w:r>
    <w:r>
      <w:rPr/>
      <w:fldChar w:fldCharType="end"/>
    </w:r>
    <w:r>
      <w:rPr>
        <w:color w:val="555F6E"/>
        <w:sz w:val="16"/>
        <w:szCs w:val="16"/>
      </w:rPr>
      <w:tab/>
      <w:t>MindSparks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4DE"/>
      </w:pBdr>
      <w:tabs>
        <w:tab w:val="clear" w:pos="720"/>
        <w:tab w:val="center" w:pos="4680" w:leader="none"/>
        <w:tab w:val="right" w:pos="9360" w:leader="none"/>
      </w:tabs>
      <w:rPr/>
    </w:pPr>
    <w:r>
      <w:rPr>
        <w:color w:val="555F6E"/>
        <w:sz w:val="16"/>
        <w:szCs w:val="16"/>
      </w:rPr>
      <w:t>Mohammad Shariya · NUB CSE</w:t>
    </w:r>
    <w:r>
      <w:rPr>
        <w:sz w:val="16"/>
        <w:szCs w:val="16"/>
      </w:rPr>
      <w:tab/>
    </w:r>
    <w:r>
      <w:rPr>
        <w:color w:val="555F6E"/>
        <w:sz w:val="16"/>
        <w:szCs w:val="16"/>
      </w:rPr>
      <w:t xml:space="preserve">Page </w:t>
    </w:r>
    <w:r>
      <w:rPr/>
      <w:fldChar w:fldCharType="begin"/>
    </w:r>
    <w:r>
      <w:rPr/>
      <w:instrText xml:space="preserve"> PAGE </w:instrText>
    </w:r>
    <w:r>
      <w:rPr/>
      <w:fldChar w:fldCharType="separate"/>
    </w:r>
    <w:r>
      <w:rPr/>
      <w:t>12</w:t>
    </w:r>
    <w:r>
      <w:rPr/>
      <w:fldChar w:fldCharType="end"/>
    </w:r>
    <w:r>
      <w:rPr>
        <w:color w:val="555F6E"/>
        <w:sz w:val="16"/>
        <w:szCs w:val="16"/>
      </w:rPr>
      <w:tab/>
      <w:t>MindSparks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4DE"/>
      </w:pBdr>
      <w:spacing w:before="0" w:after="0"/>
      <w:jc w:val="right"/>
      <w:rPr/>
    </w:pPr>
    <w:r>
      <w:rPr>
        <w:color w:val="555F6E"/>
        <w:sz w:val="16"/>
        <w:szCs w:val="16"/>
      </w:rPr>
      <w:t>UniGPT —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4DE"/>
      </w:pBdr>
      <w:spacing w:before="0" w:after="0"/>
      <w:jc w:val="right"/>
      <w:rPr/>
    </w:pPr>
    <w:r>
      <w:rPr>
        <w:color w:val="555F6E"/>
        <w:sz w:val="16"/>
        <w:szCs w:val="16"/>
      </w:rPr>
      <w:t>UniGPT — Project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0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60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2438"/>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2438"/>
      <w:kern w:val="0"/>
      <w:sz w:val="22"/>
      <w:szCs w:val="22"/>
      <w:lang w:val="en-US" w:eastAsia="zh-CN" w:bidi="hi-IN"/>
    </w:rPr>
  </w:style>
  <w:style w:type="paragraph" w:styleId="Heading1">
    <w:name w:val="Heading 1"/>
    <w:basedOn w:val="Heading"/>
    <w:qFormat/>
    <w:pPr>
      <w:pBdr>
        <w:bottom w:val="single" w:sz="6" w:space="6" w:color="0D9488"/>
      </w:pBdr>
      <w:spacing w:before="320" w:after="160"/>
      <w:outlineLvl w:val="0"/>
    </w:pPr>
    <w:rPr>
      <w:rFonts w:ascii="Cambria" w:hAnsi="Cambria" w:eastAsia="Cambria" w:cs="Cambria"/>
      <w:b/>
      <w:bCs/>
      <w:color w:val="0A1628"/>
      <w:sz w:val="30"/>
      <w:szCs w:val="30"/>
    </w:rPr>
  </w:style>
  <w:style w:type="paragraph" w:styleId="Heading2">
    <w:name w:val="Heading 2"/>
    <w:basedOn w:val="Heading"/>
    <w:qFormat/>
    <w:pPr>
      <w:spacing w:before="220" w:after="110"/>
      <w:outlineLvl w:val="1"/>
    </w:pPr>
    <w:rPr>
      <w:rFonts w:ascii="Cambria" w:hAnsi="Cambria" w:eastAsia="Cambria" w:cs="Cambria"/>
      <w:b/>
      <w:bCs/>
      <w:color w:val="0D9488"/>
      <w:sz w:val="25"/>
      <w:szCs w:val="25"/>
    </w:rPr>
  </w:style>
  <w:style w:type="paragraph" w:styleId="Heading3">
    <w:name w:val="Heading 3"/>
    <w:basedOn w:val="Heading"/>
    <w:qFormat/>
    <w:pPr>
      <w:spacing w:before="160" w:after="80"/>
      <w:outlineLvl w:val="2"/>
    </w:pPr>
    <w:rPr>
      <w:rFonts w:ascii="Calibri" w:hAnsi="Calibri" w:eastAsia="Calibri" w:cs="Calibri"/>
      <w:b/>
      <w:bCs/>
      <w:color w:val="1A2438"/>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rFonts w:ascii="Cambria" w:hAnsi="Cambria" w:eastAsia="Cambria" w:cs="Cambria"/>
      <w:b/>
      <w:bCs/>
      <w:color w:val="0A1628"/>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2438"/>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2438"/>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12</Pages>
  <Words>2923</Words>
  <Characters>17528</Characters>
  <CharactersWithSpaces>20248</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2026-06-26T19:33:31Z</dcterms:created>
  <dc:creator>Mohammad Shariya</dc:creator>
  <dc:description>An AI Academic Copilot for Smart University Management</dc:description>
  <dc:language>en-US</dc:language>
  <cp:lastModifiedBy/>
  <dcterms:modified xsi:type="dcterms:W3CDTF">2026-06-26T19:35:21Z</dcterms:modified>
  <cp:revision>2</cp:revision>
  <dc:subject/>
  <dc:title>UniGPT — Project Report</dc:title>
</cp:coreProperties>
</file>