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TravelNova Inc.</w:t>
      </w:r>
    </w:p>
    <w:p>
      <w:pPr>
        <w:jc w:val="center"/>
      </w:pPr>
      <w:r>
        <w:rPr>
          <w:b/>
          <w:sz w:val="32"/>
        </w:rPr>
        <w:t>Complaint Handling Standard Operating Procedure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CMP-SOP-09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2026-03-01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Operations / SOP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1. Complaint Receipt</w:t>
      </w:r>
    </w:p>
    <w:p>
      <w:r>
        <w:t>Log complaint in system with unique Complaint ID (format: CMP-XXXXX).</w:t>
      </w:r>
    </w:p>
    <w:p>
      <w:r>
        <w:t>Capture: title, description, customer type, product/service, order reference, channel, date, attachments.</w:t>
      </w:r>
    </w:p>
    <w:p>
      <w:pPr>
        <w:pStyle w:val="Heading2"/>
      </w:pPr>
      <w:r>
        <w:t>2. Initial Validation</w:t>
      </w:r>
    </w:p>
    <w:p>
      <w:r>
        <w:t>Verify all mandatory fields are completed.</w:t>
      </w:r>
    </w:p>
    <w:p>
      <w:r>
        <w:t>Check for duplicate complaints (same customer, same issue, within 7 days).</w:t>
      </w:r>
    </w:p>
    <w:p>
      <w:r>
        <w:t>Validate order/booking references against system records.</w:t>
      </w:r>
    </w:p>
    <w:p>
      <w:pPr>
        <w:pStyle w:val="Heading2"/>
      </w:pPr>
      <w:r>
        <w:t>3. Classification</w:t>
      </w:r>
    </w:p>
    <w:p>
      <w:r>
        <w:t>Assign primary category and subcategory.</w:t>
      </w:r>
    </w:p>
    <w:p>
      <w:r>
        <w:t>Identify secondary issues if complaint is multi-faceted.</w:t>
      </w:r>
    </w:p>
    <w:p>
      <w:r>
        <w:t>Determine sentiment, urgency, and priority.</w:t>
      </w:r>
    </w:p>
    <w:p>
      <w:pPr>
        <w:pStyle w:val="Heading2"/>
      </w:pPr>
      <w:r>
        <w:t>4. Department Assignment</w:t>
      </w:r>
    </w:p>
    <w:p>
      <w:r>
        <w:t>Route to primary responsible department based on category.</w:t>
      </w:r>
    </w:p>
    <w:p>
      <w:r>
        <w:t>Notify supporting department if multi-department issue.</w:t>
      </w:r>
    </w:p>
    <w:p>
      <w:pPr>
        <w:pStyle w:val="Heading2"/>
      </w:pPr>
      <w:r>
        <w:t>5. Investigation</w:t>
      </w:r>
    </w:p>
    <w:p>
      <w:r>
        <w:t>Retrieve booking details, transaction history, and previous complaints.</w:t>
      </w:r>
    </w:p>
    <w:p>
      <w:r>
        <w:t>Review applicable policies.</w:t>
      </w:r>
    </w:p>
    <w:p>
      <w:r>
        <w:t>Contact customer for clarification if information is insufficient.</w:t>
      </w:r>
    </w:p>
    <w:p>
      <w:pPr>
        <w:pStyle w:val="Heading2"/>
      </w:pPr>
      <w:r>
        <w:t>6. Resolution</w:t>
      </w:r>
    </w:p>
    <w:p>
      <w:r>
        <w:t>Apply resolution per policy. Document all actions taken.</w:t>
      </w:r>
    </w:p>
    <w:p>
      <w:r>
        <w:t>Verify resolution against Complaint Resolution Rule Matrix.</w:t>
      </w:r>
    </w:p>
    <w:p>
      <w:r>
        <w:t>Generate professional customer response.</w:t>
      </w:r>
    </w:p>
    <w:p>
      <w:pPr>
        <w:pStyle w:val="Heading2"/>
      </w:pPr>
      <w:r>
        <w:t>7. Closure</w:t>
      </w:r>
    </w:p>
    <w:p>
      <w:r>
        <w:t>Mark complaint as resolved. Send closure confirmation to customer.</w:t>
      </w:r>
    </w:p>
    <w:p>
      <w:r>
        <w:t>Schedule follow-up if required.</w:t>
      </w:r>
    </w:p>
    <w:p>
      <w:r>
        <w:t>Send satisfaction survey after 48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