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Compensation &amp; Goodwill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COM-POL-21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Finance / Compensation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Authorized Compensation</w:t>
      </w:r>
    </w:p>
    <w:p>
      <w:r>
        <w:t>Travel credit up to $50: Agent authorized.</w:t>
      </w:r>
    </w:p>
    <w:p>
      <w:r>
        <w:t>Travel credit $51-$200: Supervisor approval required.</w:t>
      </w:r>
    </w:p>
    <w:p>
      <w:r>
        <w:t>Travel credit $201-$500: Department manager approval.</w:t>
      </w:r>
    </w:p>
    <w:p>
      <w:r>
        <w:t>Travel credit $500+: VP Customer Service approval.</w:t>
      </w:r>
    </w:p>
    <w:p>
      <w:r>
        <w:t>Cash compensation: Only through Refunds department with manager approval. Never promised by frontline agents.</w:t>
      </w:r>
    </w:p>
    <w:p>
      <w:pPr>
        <w:pStyle w:val="Heading2"/>
      </w:pPr>
      <w:r>
        <w:t>2. Compensation Types</w:t>
      </w:r>
    </w:p>
    <w:p>
      <w:r>
        <w:t>Travel credits (most common), loyalty points bonus, service upgrades, vouchers for partner services, waived fees.</w:t>
      </w:r>
    </w:p>
    <w:p>
      <w:pPr>
        <w:pStyle w:val="Heading2"/>
      </w:pPr>
      <w:r>
        <w:t>3. Ineligible for Compensation</w:t>
      </w:r>
    </w:p>
    <w:p>
      <w:r>
        <w:t>Issues caused by customer's own actions (late arrival, incorrect documents).</w:t>
      </w:r>
    </w:p>
    <w:p>
      <w:r>
        <w:t>Third-party issues outside TravelNova's control (weather, government actions).</w:t>
      </w:r>
    </w:p>
    <w:p>
      <w:r>
        <w:t>Issues already compensated.</w:t>
      </w:r>
    </w:p>
    <w:p>
      <w:r>
        <w:t>Complaints filed more than 60 days after travel.</w:t>
      </w:r>
    </w:p>
    <w:p>
      <w:pPr>
        <w:pStyle w:val="Heading2"/>
      </w:pPr>
      <w:r>
        <w:t>4. Prohibited</w:t>
      </w:r>
    </w:p>
    <w:p>
      <w:r>
        <w:t>Agents must NEVER guarantee compensation before investigation.</w:t>
      </w:r>
    </w:p>
    <w:p>
      <w:r>
        <w:t>Agents must NEVER promise cash refunds for service issues (only travel credits unless policy explicitly allows refund).</w:t>
      </w:r>
    </w:p>
    <w:p>
      <w:r>
        <w:t>Agents must NEVER offer compensation exceeding the original booking value.</w:t>
      </w:r>
    </w:p>
    <w:p>
      <w:r>
        <w:t>Agents must NEVER override compensation limits without documented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