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7710"/>
          </w:tcPr>
          <w:p>
            <w:r>
              <w:rPr>
                <w:rFonts w:ascii="微软雅黑" w:hAnsi="微软雅黑" w:eastAsia="微软雅黑"/>
                <w:b/>
                <w:color w:val="C23A2B"/>
                <w:sz w:val="44"/>
              </w:rPr>
              <w:t>张凯</w:t>
            </w:r>
          </w:p>
          <w:p>
            <w:r>
              <w:rPr>
                <w:rFonts w:ascii="微软雅黑" w:hAnsi="微软雅黑" w:eastAsia="微软雅黑"/>
                <w:b w:val="0"/>
                <w:color w:val="5A5F5C"/>
                <w:sz w:val="21"/>
              </w:rPr>
              <w:t>意向：AI 大模型应用工程师   |   138-0000-0000   |   zk@example.com   |   上海</w:t>
            </w:r>
          </w:p>
        </w:tc>
        <w:tc>
          <w:tcPr>
            <w:tcW w:type="dxa" w:w="1701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</w:tblGrid>
            <w:tr>
              <w:tc>
                <w:tcPr>
                  <w:tcW w:type="dxa" w:w="1531"/>
                  <w:tcBorders>
                    <w:top w:val="single" w:sz="8" w:color="9A9A9A" w:space="0"/>
                    <w:left w:val="single" w:sz="8" w:color="9A9A9A" w:space="0"/>
                    <w:bottom w:val="single" w:sz="8" w:color="9A9A9A" w:space="0"/>
                    <w:right w:val="single" w:sz="8" w:color="9A9A9A" w:space="0"/>
                  </w:tcBorders>
                </w:tcPr>
                <w:p>
                  <w:pPr>
                    <w:spacing w:before="1584" w:after="1584"/>
                    <w:jc w:val="center"/>
                  </w:pPr>
                  <w:r>
                    <w:rPr>
                      <w:rFonts w:ascii="微软雅黑" w:hAnsi="微软雅黑" w:eastAsia="微软雅黑"/>
                      <w:color w:val="BBBBBB"/>
                      <w:sz w:val="20"/>
                    </w:rPr>
                    <w:t>照片</w:t>
                  </w:r>
                </w:p>
              </w:tc>
            </w:tr>
          </w:tbl>
          <w:p/>
        </w:tc>
      </w:tr>
    </w:tbl>
    <w:p>
      <w:pPr>
        <w:spacing w:after="60" w:before="140" w:line="293" w:lineRule="auto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个人简介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五年后端与 AI 应用开发经验，聚焦 RAG 与大模型工程化。</w:t>
      </w:r>
    </w:p>
    <w:p>
      <w:pPr>
        <w:spacing w:after="60" w:before="140" w:line="293" w:lineRule="auto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技能专长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Python / FastAPI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RAG、提示词工程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MySQL / Redis / Docker</w:t>
      </w:r>
    </w:p>
    <w:p>
      <w:pPr>
        <w:spacing w:after="60" w:before="140" w:line="293" w:lineRule="auto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工作经历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2022-2025 · 某安全科技 高级后端工程师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负责 AI 研判平台架构与工具链接入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AI 研判主流程零大模型调用，f1 提升至 0.99</w:t>
      </w:r>
    </w:p>
    <w:p>
      <w:pPr>
        <w:spacing w:after="60" w:before="140" w:line="293" w:lineRule="auto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项目经历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智盾中枢 · 8 维特征 + 规则兜底 + LangGraph 工作流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政务平台 · 三级爬坡标签推荐</w:t>
      </w:r>
    </w:p>
    <w:p>
      <w:pPr>
        <w:spacing w:after="60" w:before="140" w:line="293" w:lineRule="auto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教育经历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2017-2021 · 某大学 计算机科学与技术 · 本科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