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E7D6B"/>
          <w:sz w:val="48"/>
        </w:rPr>
        <w:t>张凯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5A5F5C"/>
          <w:sz w:val="20"/>
        </w:rPr>
        <w:t>意向：AI 大模型应用工程师   |   138-0000-0000   |   zk@example.com   |   上海</w:t>
      </w:r>
    </w:p>
    <w:p>
      <w:pPr>
        <w:spacing w:after="60" w:before="120"/>
        <w:pBdr>
          <w:bottom w:val="single" w:sz="10" w:color="2E7D6B" w:space="2"/>
        </w:pBdr>
      </w:pPr>
      <w:r>
        <w:rPr>
          <w:rFonts w:ascii="微软雅黑" w:hAnsi="微软雅黑" w:eastAsia="微软雅黑"/>
          <w:b/>
          <w:color w:val="2E7D6B"/>
          <w:sz w:val="30"/>
        </w:rPr>
        <w:t>个人简介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•  五年后端与 AI 应用开发经验，聚焦 RAG 与大模型工程化。</w:t>
      </w:r>
    </w:p>
    <w:p>
      <w:pPr>
        <w:spacing w:after="60" w:before="120"/>
        <w:pBdr>
          <w:bottom w:val="single" w:sz="10" w:color="2E7D6B" w:space="2"/>
        </w:pBdr>
      </w:pPr>
      <w:r>
        <w:rPr>
          <w:rFonts w:ascii="微软雅黑" w:hAnsi="微软雅黑" w:eastAsia="微软雅黑"/>
          <w:b/>
          <w:color w:val="2E7D6B"/>
          <w:sz w:val="30"/>
        </w:rPr>
        <w:t>技能专长</w:t>
      </w:r>
    </w:p>
    <w:p>
      <w:pPr>
        <w:spacing w:after="60"/>
        <w:ind w:left="227"/>
      </w:pPr>
      <w:r>
        <w:rPr>
          <w:rFonts w:ascii="微软雅黑" w:hAnsi="微软雅黑" w:eastAsia="微软雅黑"/>
          <w:b w:val="0"/>
          <w:sz w:val="21"/>
        </w:rPr>
        <w:t>•  Python / FastAPI　RAG、提示词工程　MySQL / Redis / Docker</w:t>
      </w:r>
    </w:p>
    <w:p>
      <w:pPr>
        <w:spacing w:after="60" w:before="120"/>
        <w:pBdr>
          <w:bottom w:val="single" w:sz="10" w:color="2E7D6B" w:space="2"/>
        </w:pBdr>
      </w:pPr>
      <w:r>
        <w:rPr>
          <w:rFonts w:ascii="微软雅黑" w:hAnsi="微软雅黑" w:eastAsia="微软雅黑"/>
          <w:b/>
          <w:color w:val="2E7D6B"/>
          <w:sz w:val="30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2E7D6B"/>
                <w:sz w:val="20"/>
              </w:rPr>
              <w:t>2022-2025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某安全科技 高级后端工程师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负责 AI 研判平台架构与工具链接入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 研判主流程零大模型调用，f1 提升至 0.99</w:t>
            </w:r>
          </w:p>
        </w:tc>
      </w:tr>
    </w:tbl>
    <w:p>
      <w:pPr>
        <w:spacing w:after="60" w:before="120"/>
        <w:pBdr>
          <w:bottom w:val="single" w:sz="10" w:color="2E7D6B" w:space="2"/>
        </w:pBdr>
      </w:pPr>
      <w:r>
        <w:rPr>
          <w:rFonts w:ascii="微软雅黑" w:hAnsi="微软雅黑" w:eastAsia="微软雅黑"/>
          <w:b/>
          <w:color w:val="2E7D6B"/>
          <w:sz w:val="30"/>
        </w:rPr>
        <w:t>项目经历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2E7D6B"/>
                <w:sz w:val="20"/>
              </w:rPr>
              <w:t>智盾中枢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 维特征 + 规则兜底 + LangGraph 工作流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2E7D6B"/>
                <w:sz w:val="20"/>
              </w:rPr>
              <w:t>政务平台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三级爬坡标签推荐</w:t>
            </w:r>
          </w:p>
        </w:tc>
      </w:tr>
    </w:tbl>
    <w:p>
      <w:pPr>
        <w:spacing w:after="60" w:before="120"/>
        <w:pBdr>
          <w:bottom w:val="single" w:sz="10" w:color="2E7D6B" w:space="2"/>
        </w:pBdr>
      </w:pPr>
      <w:r>
        <w:rPr>
          <w:rFonts w:ascii="微软雅黑" w:hAnsi="微软雅黑" w:eastAsia="微软雅黑"/>
          <w:b/>
          <w:color w:val="2E7D6B"/>
          <w:sz w:val="30"/>
        </w:rPr>
        <w:t>教育经历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2E7D6B"/>
                <w:sz w:val="20"/>
              </w:rPr>
              <w:t>2017-2021</w:t>
            </w:r>
          </w:p>
        </w:tc>
        <w:tc>
          <w:tcPr>
            <w:tcW w:type="dxa" w:w="7143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某大学 计算机科学与技术 · 本科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