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211C17"/>
          <w:sz w:val="48"/>
        </w:rPr>
        <w:t>张凯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A5F5C"/>
          <w:sz w:val="21"/>
        </w:rPr>
        <w:t>意向：AI 大模型应用工程师 / 算法工程师  |  138-0000-0000  |  zhangkai@example.com  |  上海</w:t>
      </w:r>
    </w:p>
    <w:p>
      <w:pPr>
        <w:spacing w:before="120" w:after="60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个人简介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五年后端与 AI 应用开发经验，聚焦 RAG 与大模型工程化；擅长把业务问题拆解为可落地的算法与工程方案。</w:t>
      </w:r>
    </w:p>
    <w:p>
      <w:pPr>
        <w:spacing w:before="120" w:after="60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技能专长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Python / FastAPI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RAG、提示词工程、LangGraph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MySQL / Redis / Docker</w:t>
      </w:r>
    </w:p>
    <w:p>
      <w:pPr>
        <w:spacing w:before="120" w:after="60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工作经历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2022-2025 · 某安全科技 高级后端工程师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负责 LLM 智能研判平台架构与工具链接入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AI 研判主流程零大模型调用，f1_micro 从 0.92 提升至 0.99</w:t>
      </w:r>
    </w:p>
    <w:p>
      <w:pPr>
        <w:spacing w:before="120" w:after="60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项目经历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智盾中枢 · AI 安全运营平台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设计 8 维特征 + RandomForest 四分类研判，低置信度走规则兜底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LangGraph 工作流化 6 类安全任务，支持断点续传</w:t>
      </w:r>
    </w:p>
    <w:p>
      <w:pPr>
        <w:spacing w:before="120" w:after="60"/>
        <w:pBdr>
          <w:bottom w:val="single" w:sz="8" w:color="C23A2B" w:space="2"/>
        </w:pBdr>
      </w:pPr>
      <w:r>
        <w:rPr>
          <w:rFonts w:ascii="微软雅黑" w:hAnsi="微软雅黑" w:eastAsia="微软雅黑"/>
          <w:b/>
          <w:color w:val="C23A2B"/>
          <w:sz w:val="26"/>
        </w:rPr>
        <w:t>教育经历</w:t>
      </w:r>
    </w:p>
    <w:p>
      <w:pPr>
        <w:spacing w:after="60" w:line="300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2017-2021 · 某大学 计算机科学与技术 · 本科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