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楷体" w:hAnsi="楷体" w:eastAsia="楷体" w:cs="楷体"/>
          <w:b/>
          <w:color w:val="2D3E50"/>
          <w:sz w:val="36"/>
        </w:rPr>
        <w:t>字帖 · 生于忧患，死于安乐</w:t>
      </w:r>
    </w:p>
    <w:p>
      <w:pPr>
        <w:spacing w:after="160"/>
        <w:jc w:val="center"/>
      </w:pPr>
      <w:r>
        <w:rPr>
          <w:rFonts w:ascii="楷体" w:hAnsi="楷体" w:eastAsia="楷体" w:cs="楷体"/>
          <w:b w:val="0"/>
          <w:color w:val="B78B4A"/>
          <w:sz w:val="18"/>
        </w:rPr>
        <w:t>（全文参考）</w:t>
      </w:r>
    </w:p>
    <w:p>
      <w:pPr>
        <w:spacing w:after="240"/>
        <w:jc w:val="left"/>
      </w:pPr>
      <w:r>
        <w:rPr>
          <w:rFonts w:ascii="楷体" w:hAnsi="楷体" w:eastAsia="楷体" w:cs="楷体"/>
          <w:b w:val="0"/>
          <w:color w:val="999999"/>
          <w:sz w:val="20"/>
        </w:rPr>
        <w:t>舜发于畎亩之中，傅说举于版筑之间，胶鬲举于鱼盐之中，管夷吾举于士，孙叔敖举于海，百里奚举于市。故天将降大任于斯人也，必先苦其心志，劳其筋骨，饿其体肤，空乏其身，行拂乱其所为，所以动心忍性，曾益其所不能。人恒过然后能改；困于心衡于虑而后作；征于色发于声而后喻。入则无法家拂士，出则无敌国外患者，国恒亡。然后知生于忧患而死于安乐也。</w:t>
      </w:r>
    </w:p>
    <w:p>
      <w:pPr>
        <w:spacing w:before="40" w:after="0" w:line="400" w:lineRule="exact"/>
      </w:pPr>
      <w:r>
        <w:rPr>
          <w:rFonts w:ascii="楷体" w:hAnsi="楷体" w:eastAsia="楷体" w:cs="楷体"/>
          <w:b w:val="0"/>
          <w:color w:val="CC9999"/>
          <w:sz w:val="22"/>
        </w:rPr>
        <w:t>舜发于畎亩之中，    傅说举于版筑之间，</w:t>
      </w:r>
    </w:p>
    <w:p>
      <w:pPr>
        <w:spacing w:before="0" w:after="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    　　　　　　　　　</w:t>
      </w:r>
    </w:p>
    <w:p>
      <w:pPr>
        <w:spacing w:before="0" w:after="8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    　　　　　　　　　</w:t>
      </w:r>
    </w:p>
    <w:p>
      <w:pPr>
        <w:spacing w:before="40" w:after="0" w:line="400" w:lineRule="exact"/>
      </w:pPr>
      <w:r>
        <w:rPr>
          <w:rFonts w:ascii="楷体" w:hAnsi="楷体" w:eastAsia="楷体" w:cs="楷体"/>
          <w:b w:val="0"/>
          <w:color w:val="CC9999"/>
          <w:sz w:val="22"/>
        </w:rPr>
        <w:t>胶鬲举于鱼盐之中，    管夷吾举于士，</w:t>
      </w:r>
    </w:p>
    <w:p>
      <w:pPr>
        <w:spacing w:before="0" w:after="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    　　　　　　　</w:t>
      </w:r>
    </w:p>
    <w:p>
      <w:pPr>
        <w:spacing w:before="0" w:after="8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    　　　　　　　</w:t>
      </w:r>
    </w:p>
    <w:p>
      <w:pPr>
        <w:spacing w:before="40" w:after="0" w:line="400" w:lineRule="exact"/>
      </w:pPr>
      <w:r>
        <w:rPr>
          <w:rFonts w:ascii="楷体" w:hAnsi="楷体" w:eastAsia="楷体" w:cs="楷体"/>
          <w:b w:val="0"/>
          <w:color w:val="CC9999"/>
          <w:sz w:val="22"/>
        </w:rPr>
        <w:t>孙叔敖举于海，    百里奚举于市。</w:t>
      </w:r>
    </w:p>
    <w:p>
      <w:pPr>
        <w:spacing w:before="0" w:after="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    　　　　　　　</w:t>
      </w:r>
    </w:p>
    <w:p>
      <w:pPr>
        <w:spacing w:before="0" w:after="8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    　　　　　　　</w:t>
      </w:r>
    </w:p>
    <w:p>
      <w:pPr>
        <w:spacing w:before="40" w:after="0" w:line="400" w:lineRule="exact"/>
      </w:pPr>
      <w:r>
        <w:rPr>
          <w:rFonts w:ascii="楷体" w:hAnsi="楷体" w:eastAsia="楷体" w:cs="楷体"/>
          <w:b w:val="0"/>
          <w:color w:val="CC9999"/>
          <w:sz w:val="22"/>
        </w:rPr>
        <w:t>故天将降大任于斯人也，    必先苦其心志，</w:t>
      </w:r>
    </w:p>
    <w:p>
      <w:pPr>
        <w:spacing w:before="0" w:after="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　　    　　　　　　　</w:t>
      </w:r>
    </w:p>
    <w:p>
      <w:pPr>
        <w:spacing w:before="0" w:after="8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　　    　　　　　　　</w:t>
      </w:r>
    </w:p>
    <w:p>
      <w:pPr>
        <w:spacing w:before="40" w:after="0" w:line="400" w:lineRule="exact"/>
      </w:pPr>
      <w:r>
        <w:rPr>
          <w:rFonts w:ascii="楷体" w:hAnsi="楷体" w:eastAsia="楷体" w:cs="楷体"/>
          <w:b w:val="0"/>
          <w:color w:val="CC9999"/>
          <w:sz w:val="22"/>
        </w:rPr>
        <w:t>劳其筋骨，饿其体肤，    空乏其身，行拂乱其所为，</w:t>
      </w:r>
    </w:p>
    <w:p>
      <w:pPr>
        <w:spacing w:before="0" w:after="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　    　　　　　　　　　　　　</w:t>
      </w:r>
    </w:p>
    <w:p>
      <w:pPr>
        <w:spacing w:before="0" w:after="8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　    　　　　　　　　　　　　</w:t>
      </w:r>
    </w:p>
    <w:p>
      <w:pPr>
        <w:spacing w:before="40" w:after="0" w:line="400" w:lineRule="exact"/>
      </w:pPr>
      <w:r>
        <w:rPr>
          <w:rFonts w:ascii="楷体" w:hAnsi="楷体" w:eastAsia="楷体" w:cs="楷体"/>
          <w:b w:val="0"/>
          <w:color w:val="CC9999"/>
          <w:sz w:val="22"/>
        </w:rPr>
        <w:t>所以动心忍性，    曾益其所不能。</w:t>
      </w:r>
    </w:p>
    <w:p>
      <w:pPr>
        <w:spacing w:before="0" w:after="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    　　　　　　　</w:t>
      </w:r>
    </w:p>
    <w:p>
      <w:pPr>
        <w:spacing w:before="0" w:after="8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    　　　　　　　</w:t>
      </w:r>
    </w:p>
    <w:p>
      <w:pPr>
        <w:spacing w:before="40" w:after="0" w:line="400" w:lineRule="exact"/>
      </w:pPr>
      <w:r>
        <w:rPr>
          <w:rFonts w:ascii="楷体" w:hAnsi="楷体" w:eastAsia="楷体" w:cs="楷体"/>
          <w:b w:val="0"/>
          <w:color w:val="CC9999"/>
          <w:sz w:val="22"/>
        </w:rPr>
        <w:t>人恒过然后能改；    困于心衡于虑而后作；</w:t>
      </w:r>
    </w:p>
    <w:p>
      <w:pPr>
        <w:spacing w:before="0" w:after="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    　　　　　　　　　　</w:t>
      </w:r>
    </w:p>
    <w:p>
      <w:pPr>
        <w:spacing w:before="0" w:after="8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    　　　　　　　　　　</w:t>
      </w:r>
    </w:p>
    <w:p>
      <w:pPr>
        <w:spacing w:before="40" w:after="0" w:line="400" w:lineRule="exact"/>
      </w:pPr>
      <w:r>
        <w:rPr>
          <w:rFonts w:ascii="楷体" w:hAnsi="楷体" w:eastAsia="楷体" w:cs="楷体"/>
          <w:b w:val="0"/>
          <w:color w:val="CC9999"/>
          <w:sz w:val="22"/>
        </w:rPr>
        <w:t>征于色发于声而后喻。    入则无法家拂士，</w:t>
      </w:r>
    </w:p>
    <w:p>
      <w:pPr>
        <w:spacing w:before="0" w:after="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　    　　　　　　　　</w:t>
      </w:r>
    </w:p>
    <w:p>
      <w:pPr>
        <w:spacing w:before="0" w:after="8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　    　　　　　　　　</w:t>
      </w:r>
    </w:p>
    <w:p>
      <w:pPr>
        <w:spacing w:before="40" w:after="0" w:line="400" w:lineRule="exact"/>
      </w:pPr>
      <w:r>
        <w:rPr>
          <w:rFonts w:ascii="楷体" w:hAnsi="楷体" w:eastAsia="楷体" w:cs="楷体"/>
          <w:b w:val="0"/>
          <w:color w:val="CC9999"/>
          <w:sz w:val="22"/>
        </w:rPr>
        <w:t>出则无敌国外患者，    国恒亡。然后知生于忧患而死于安乐也。</w:t>
      </w:r>
    </w:p>
    <w:p>
      <w:pPr>
        <w:spacing w:before="0" w:after="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    　　　　　　　　　　　　　　　　　　</w:t>
      </w:r>
    </w:p>
    <w:p>
      <w:pPr>
        <w:spacing w:before="0" w:after="80" w:line="400" w:lineRule="exact"/>
        <w:pBdr>
          <w:bottom w:val="single" w:sz="4" w:space="1" w:color="CCCCCC"/>
        </w:pBdr>
      </w:pPr>
      <w:r>
        <w:rPr>
          <w:color w:val="FFFFFF"/>
          <w:sz w:val="2"/>
        </w:rPr>
        <w:t xml:space="preserve">　　　　　　　　　    　　　　　　　　　　　　　　　　　　</w:t>
      </w:r>
    </w:p>
    <w:sectPr w:rsidR="00FC693F" w:rsidRPr="0006063C" w:rsidSect="00034616">
      <w:pgSz w:w="12240" w:h="15840"/>
      <w:pgMar w:top="85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