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9D809">
      <w:pPr>
        <w:pStyle w:val="4"/>
        <w:spacing w:line="360" w:lineRule="auto"/>
        <w:jc w:val="center"/>
        <w:rPr>
          <w:rFonts w:hint="eastAsia" w:ascii="宋体" w:hAnsi="宋体"/>
          <w:sz w:val="44"/>
          <w:szCs w:val="44"/>
        </w:rPr>
      </w:pPr>
      <w:r>
        <w:rPr>
          <w:rFonts w:hint="eastAsia" w:ascii="宋体" w:hAnsi="宋体"/>
          <w:b/>
          <w:sz w:val="44"/>
          <w:szCs w:val="44"/>
        </w:rPr>
        <w:t>民事起诉状</w:t>
      </w:r>
    </w:p>
    <w:p w14:paraId="04BC357A">
      <w:pPr>
        <w:spacing w:line="360" w:lineRule="auto"/>
        <w:jc w:val="left"/>
        <w:rPr>
          <w:rFonts w:hint="eastAsia" w:ascii="宋体" w:hAnsi="宋体"/>
          <w:sz w:val="28"/>
          <w:szCs w:val="28"/>
        </w:rPr>
      </w:pPr>
    </w:p>
    <w:p w14:paraId="2532DB03">
      <w:pPr>
        <w:spacing w:line="360" w:lineRule="auto"/>
        <w:ind w:firstLine="562" w:firstLineChars="200"/>
        <w:jc w:val="left"/>
        <w:rPr>
          <w:rFonts w:hint="eastAsia" w:ascii="宋体" w:hAnsi="宋体"/>
          <w:sz w:val="28"/>
          <w:szCs w:val="28"/>
        </w:rPr>
      </w:pPr>
      <w:r>
        <w:rPr>
          <w:rFonts w:ascii="宋体" w:hAnsi="宋体"/>
          <w:b/>
          <w:bCs/>
          <w:sz w:val="28"/>
          <w:szCs w:val="28"/>
        </w:rPr>
        <w:t>原告：</w:t>
      </w:r>
      <w:r>
        <w:rPr>
          <w:rFonts w:hint="eastAsia" w:ascii="宋体" w:hAnsi="宋体"/>
          <w:sz w:val="28"/>
          <w:szCs w:val="28"/>
        </w:rPr>
        <w:t>曹进，身份证号：</w:t>
      </w:r>
      <w:r>
        <w:rPr>
          <w:rFonts w:hint="eastAsia" w:ascii="宋体" w:hAnsi="宋体"/>
          <w:spacing w:val="32"/>
          <w:kern w:val="0"/>
          <w:sz w:val="28"/>
          <w:szCs w:val="28"/>
          <w:fitText w:val="3080" w:id="987722195"/>
        </w:rPr>
        <w:t>32082919870613062</w:t>
      </w:r>
      <w:r>
        <w:rPr>
          <w:rFonts w:hint="eastAsia" w:ascii="宋体" w:hAnsi="宋体"/>
          <w:spacing w:val="16"/>
          <w:kern w:val="0"/>
          <w:sz w:val="28"/>
          <w:szCs w:val="28"/>
          <w:fitText w:val="3080" w:id="987722195"/>
        </w:rPr>
        <w:t>2</w:t>
      </w:r>
      <w:r>
        <w:rPr>
          <w:rFonts w:hint="eastAsia" w:ascii="宋体" w:hAnsi="宋体"/>
          <w:kern w:val="0"/>
          <w:sz w:val="28"/>
          <w:szCs w:val="28"/>
        </w:rPr>
        <w:t>，</w:t>
      </w:r>
      <w:r>
        <w:rPr>
          <w:rFonts w:hint="eastAsia" w:ascii="宋体" w:hAnsi="宋体"/>
          <w:sz w:val="28"/>
          <w:szCs w:val="28"/>
        </w:rPr>
        <w:t xml:space="preserve">住所：上海市松江区新松江路259弄4号801室，电话：15618996070 </w:t>
      </w:r>
    </w:p>
    <w:p w14:paraId="5D713AD1">
      <w:pPr>
        <w:spacing w:line="360" w:lineRule="auto"/>
        <w:ind w:firstLine="562" w:firstLineChars="200"/>
        <w:jc w:val="left"/>
        <w:rPr>
          <w:rFonts w:hint="eastAsia" w:ascii="宋体" w:hAnsi="宋体"/>
          <w:sz w:val="28"/>
          <w:szCs w:val="28"/>
        </w:rPr>
      </w:pPr>
      <w:r>
        <w:rPr>
          <w:rFonts w:hint="eastAsia" w:ascii="宋体" w:hAnsi="宋体"/>
          <w:b/>
          <w:bCs/>
          <w:sz w:val="28"/>
          <w:szCs w:val="28"/>
        </w:rPr>
        <w:t>被</w:t>
      </w:r>
      <w:r>
        <w:rPr>
          <w:rFonts w:ascii="宋体" w:hAnsi="宋体"/>
          <w:b/>
          <w:bCs/>
          <w:sz w:val="28"/>
          <w:szCs w:val="28"/>
        </w:rPr>
        <w:t>告</w:t>
      </w:r>
      <w:r>
        <w:rPr>
          <w:rFonts w:hint="eastAsia" w:ascii="宋体" w:hAnsi="宋体"/>
          <w:b/>
          <w:bCs/>
          <w:sz w:val="28"/>
          <w:szCs w:val="28"/>
        </w:rPr>
        <w:t>一</w:t>
      </w:r>
      <w:r>
        <w:rPr>
          <w:rFonts w:ascii="宋体" w:hAnsi="宋体"/>
          <w:b/>
          <w:bCs/>
          <w:sz w:val="28"/>
          <w:szCs w:val="28"/>
        </w:rPr>
        <w:t>：</w:t>
      </w:r>
      <w:r>
        <w:rPr>
          <w:rFonts w:hint="eastAsia" w:ascii="宋体" w:hAnsi="宋体"/>
          <w:sz w:val="28"/>
          <w:szCs w:val="28"/>
        </w:rPr>
        <w:t>蓝焘，身份证号：</w:t>
      </w:r>
      <w:r>
        <w:rPr>
          <w:rFonts w:hint="eastAsia" w:ascii="宋体" w:hAnsi="宋体"/>
          <w:kern w:val="0"/>
          <w:sz w:val="28"/>
          <w:szCs w:val="28"/>
        </w:rPr>
        <w:t>450203197209040712，</w:t>
      </w:r>
      <w:r>
        <w:rPr>
          <w:rFonts w:hint="eastAsia" w:ascii="宋体" w:hAnsi="宋体"/>
          <w:sz w:val="28"/>
          <w:szCs w:val="28"/>
        </w:rPr>
        <w:t>住所：广西柳州市鱼峰区龙潭路33号13栋2单元401室，电话： 15877186969</w:t>
      </w:r>
    </w:p>
    <w:p w14:paraId="481E8E62">
      <w:pPr>
        <w:spacing w:line="360" w:lineRule="auto"/>
        <w:ind w:firstLine="562" w:firstLineChars="200"/>
        <w:jc w:val="left"/>
        <w:rPr>
          <w:rFonts w:hint="eastAsia" w:ascii="宋体" w:hAnsi="宋体"/>
          <w:sz w:val="28"/>
          <w:szCs w:val="28"/>
        </w:rPr>
      </w:pPr>
      <w:r>
        <w:rPr>
          <w:rFonts w:hint="eastAsia" w:ascii="宋体" w:hAnsi="宋体"/>
          <w:b/>
          <w:bCs/>
          <w:sz w:val="28"/>
          <w:szCs w:val="28"/>
        </w:rPr>
        <w:t>被告二：</w:t>
      </w:r>
      <w:r>
        <w:rPr>
          <w:rFonts w:hint="eastAsia" w:ascii="宋体" w:hAnsi="宋体"/>
          <w:sz w:val="28"/>
          <w:szCs w:val="28"/>
        </w:rPr>
        <w:t>广西乐水文化传播有限公司，统一信用代码：91450103MA5K9UMPX8，法定代表人：尚旌子，住所地：柳州市新柳大道111号新城智埠大楼22层1#-22F0165，联系方式：15289666599、0771-5346351</w:t>
      </w:r>
    </w:p>
    <w:p w14:paraId="1121ADA1">
      <w:pPr>
        <w:spacing w:line="360" w:lineRule="auto"/>
        <w:ind w:firstLine="560" w:firstLineChars="200"/>
        <w:jc w:val="left"/>
        <w:rPr>
          <w:rFonts w:hint="eastAsia" w:ascii="宋体" w:hAnsi="宋体"/>
          <w:sz w:val="28"/>
          <w:szCs w:val="28"/>
        </w:rPr>
      </w:pPr>
    </w:p>
    <w:p w14:paraId="68EDDA28">
      <w:pPr>
        <w:spacing w:line="360" w:lineRule="auto"/>
        <w:ind w:firstLine="560" w:firstLineChars="200"/>
        <w:jc w:val="left"/>
        <w:rPr>
          <w:rFonts w:hint="eastAsia" w:ascii="宋体" w:hAnsi="宋体"/>
          <w:sz w:val="28"/>
          <w:szCs w:val="28"/>
        </w:rPr>
      </w:pPr>
      <w:r>
        <w:rPr>
          <w:rFonts w:hint="eastAsia" w:ascii="宋体" w:hAnsi="宋体"/>
          <w:sz w:val="28"/>
          <w:szCs w:val="28"/>
        </w:rPr>
        <w:t>案由：</w:t>
      </w:r>
      <w:r>
        <w:rPr>
          <w:rFonts w:hint="eastAsia" w:ascii="宋体" w:hAnsi="宋体"/>
          <w:b/>
          <w:bCs/>
          <w:sz w:val="28"/>
          <w:szCs w:val="28"/>
        </w:rPr>
        <w:t>合同纠纷</w:t>
      </w:r>
    </w:p>
    <w:p w14:paraId="1A90C4EE">
      <w:pPr>
        <w:spacing w:line="360" w:lineRule="auto"/>
        <w:ind w:firstLine="562" w:firstLineChars="200"/>
        <w:jc w:val="left"/>
        <w:rPr>
          <w:rFonts w:hint="eastAsia" w:ascii="宋体" w:hAnsi="宋体"/>
          <w:b/>
          <w:bCs/>
          <w:sz w:val="28"/>
          <w:szCs w:val="28"/>
        </w:rPr>
      </w:pPr>
      <w:r>
        <w:rPr>
          <w:rFonts w:ascii="宋体" w:hAnsi="宋体"/>
          <w:b/>
          <w:bCs/>
          <w:sz w:val="28"/>
          <w:szCs w:val="28"/>
        </w:rPr>
        <w:t>诉讼请求：</w:t>
      </w:r>
    </w:p>
    <w:p w14:paraId="57B6A474">
      <w:pPr>
        <w:pStyle w:val="4"/>
        <w:numPr>
          <w:ilvl w:val="0"/>
          <w:numId w:val="1"/>
        </w:numPr>
        <w:shd w:val="clear" w:color="auto" w:fill="FFFFFF"/>
        <w:spacing w:line="360" w:lineRule="auto"/>
        <w:ind w:firstLine="560" w:firstLineChars="200"/>
        <w:rPr>
          <w:rFonts w:hint="eastAsia" w:ascii="宋体" w:hAnsi="宋体" w:cs="Times New Roman"/>
          <w:kern w:val="2"/>
          <w:sz w:val="28"/>
          <w:szCs w:val="28"/>
        </w:rPr>
      </w:pPr>
      <w:r>
        <w:rPr>
          <w:rFonts w:hint="eastAsia" w:ascii="宋体" w:hAnsi="宋体" w:cs="Times New Roman"/>
          <w:kern w:val="2"/>
          <w:sz w:val="28"/>
          <w:szCs w:val="28"/>
        </w:rPr>
        <w:t>请求贵院依法判令被告一向原告支付投资款人民币 50,000 元（大写：伍万元整）。</w:t>
      </w:r>
    </w:p>
    <w:p w14:paraId="0CF19C75">
      <w:pPr>
        <w:pStyle w:val="4"/>
        <w:numPr>
          <w:ilvl w:val="0"/>
          <w:numId w:val="1"/>
        </w:numPr>
        <w:shd w:val="clear" w:color="auto" w:fill="FFFFFF"/>
        <w:spacing w:line="360" w:lineRule="auto"/>
        <w:ind w:firstLine="560" w:firstLineChars="200"/>
        <w:rPr>
          <w:rFonts w:hint="eastAsia" w:ascii="宋体" w:hAnsi="宋体"/>
          <w:sz w:val="28"/>
          <w:szCs w:val="28"/>
        </w:rPr>
      </w:pPr>
      <w:r>
        <w:rPr>
          <w:rFonts w:hint="eastAsia" w:ascii="宋体" w:hAnsi="宋体" w:cs="Times New Roman"/>
          <w:kern w:val="2"/>
          <w:sz w:val="28"/>
          <w:szCs w:val="28"/>
        </w:rPr>
        <w:t>请求判令被告一向原告支付以投资款人民币 50,000 元为基数，自 2018年12月19日起至实际给付之日止的逾期付款利息损失（按照全国银行间同业拆借中心公布的同期贷款市场报价利率的四倍计算，暂计至起诉之日为</w:t>
      </w:r>
      <w:r>
        <w:rPr>
          <w:rFonts w:hint="eastAsia" w:ascii="宋体" w:hAnsi="宋体"/>
          <w:sz w:val="28"/>
          <w:szCs w:val="28"/>
        </w:rPr>
        <w:t>34733.34</w:t>
      </w:r>
      <w:r>
        <w:rPr>
          <w:rFonts w:hint="eastAsia" w:ascii="宋体" w:hAnsi="宋体" w:cs="Times New Roman"/>
          <w:kern w:val="2"/>
          <w:sz w:val="28"/>
          <w:szCs w:val="28"/>
        </w:rPr>
        <w:t>元。</w:t>
      </w:r>
    </w:p>
    <w:p w14:paraId="1F725593">
      <w:pPr>
        <w:pStyle w:val="4"/>
        <w:numPr>
          <w:ilvl w:val="0"/>
          <w:numId w:val="1"/>
        </w:numPr>
        <w:shd w:val="clear" w:color="auto" w:fill="FFFFFF"/>
        <w:spacing w:line="360" w:lineRule="auto"/>
        <w:ind w:firstLine="560" w:firstLineChars="200"/>
        <w:rPr>
          <w:rFonts w:ascii="宋体" w:hAnsi="宋体"/>
          <w:sz w:val="28"/>
          <w:szCs w:val="28"/>
        </w:rPr>
      </w:pPr>
      <w:r>
        <w:rPr>
          <w:rFonts w:hint="eastAsia" w:ascii="宋体" w:hAnsi="宋体"/>
          <w:sz w:val="28"/>
          <w:szCs w:val="28"/>
        </w:rPr>
        <w:t>请求判令被告二对上述债务及诉讼费承担连带清偿责任。</w:t>
      </w:r>
    </w:p>
    <w:p w14:paraId="5B5FAA1F">
      <w:pPr>
        <w:pStyle w:val="4"/>
        <w:numPr>
          <w:ilvl w:val="0"/>
          <w:numId w:val="1"/>
        </w:numPr>
        <w:shd w:val="clear" w:color="auto" w:fill="FFFFFF"/>
        <w:spacing w:line="360" w:lineRule="auto"/>
        <w:ind w:firstLine="560" w:firstLineChars="200"/>
        <w:rPr>
          <w:rFonts w:hint="eastAsia" w:ascii="宋体" w:hAnsi="宋体"/>
          <w:sz w:val="28"/>
          <w:szCs w:val="28"/>
        </w:rPr>
      </w:pPr>
      <w:r>
        <w:rPr>
          <w:rFonts w:hint="eastAsia" w:ascii="宋体" w:hAnsi="宋体"/>
          <w:sz w:val="28"/>
          <w:szCs w:val="28"/>
        </w:rPr>
        <w:t>请求判令</w:t>
      </w:r>
      <w:r>
        <w:rPr>
          <w:rFonts w:hint="eastAsia" w:ascii="宋体" w:hAnsi="宋体" w:cs="Times New Roman"/>
          <w:kern w:val="2"/>
          <w:sz w:val="28"/>
          <w:szCs w:val="28"/>
        </w:rPr>
        <w:t>被告一与被告二</w:t>
      </w:r>
      <w:r>
        <w:rPr>
          <w:rFonts w:hint="eastAsia" w:ascii="宋体" w:hAnsi="宋体"/>
          <w:sz w:val="28"/>
          <w:szCs w:val="28"/>
        </w:rPr>
        <w:t>承担本案的全部诉讼费用，包括但不限于案件受理费、保全费（若申请保全）、公告费（若涉及公告送达）等。</w:t>
      </w:r>
    </w:p>
    <w:p w14:paraId="5247C05A">
      <w:pPr>
        <w:spacing w:line="360" w:lineRule="auto"/>
        <w:ind w:firstLine="281" w:firstLineChars="100"/>
        <w:rPr>
          <w:rFonts w:hint="eastAsia" w:ascii="宋体" w:hAnsi="宋体"/>
          <w:b/>
          <w:bCs/>
          <w:sz w:val="28"/>
          <w:szCs w:val="28"/>
        </w:rPr>
      </w:pPr>
      <w:r>
        <w:rPr>
          <w:rFonts w:ascii="宋体" w:hAnsi="宋体"/>
          <w:b/>
          <w:bCs/>
          <w:sz w:val="28"/>
          <w:szCs w:val="28"/>
        </w:rPr>
        <w:t>事实与理由：</w:t>
      </w:r>
    </w:p>
    <w:p w14:paraId="1D0AC7F8">
      <w:pPr>
        <w:spacing w:line="360" w:lineRule="auto"/>
        <w:ind w:firstLine="480"/>
        <w:rPr>
          <w:rFonts w:ascii="宋体" w:hAnsi="宋体"/>
          <w:b/>
          <w:bCs/>
          <w:sz w:val="28"/>
          <w:szCs w:val="28"/>
        </w:rPr>
      </w:pPr>
      <w:r>
        <w:rPr>
          <w:rFonts w:hint="eastAsia" w:ascii="宋体" w:hAnsi="宋体"/>
          <w:sz w:val="28"/>
          <w:szCs w:val="28"/>
        </w:rPr>
        <w:t>一、</w:t>
      </w:r>
      <w:r>
        <w:rPr>
          <w:rFonts w:hint="eastAsia" w:ascii="宋体" w:hAnsi="宋体"/>
          <w:b/>
          <w:bCs/>
          <w:sz w:val="28"/>
          <w:szCs w:val="28"/>
        </w:rPr>
        <w:t>代持协议合法有效，原告已履行出资义务。</w:t>
      </w:r>
    </w:p>
    <w:p w14:paraId="71C9D556">
      <w:pPr>
        <w:spacing w:line="360" w:lineRule="auto"/>
        <w:ind w:firstLine="480"/>
        <w:rPr>
          <w:rFonts w:hint="eastAsia" w:ascii="宋体" w:hAnsi="宋体"/>
          <w:sz w:val="28"/>
          <w:szCs w:val="28"/>
        </w:rPr>
      </w:pPr>
      <w:r>
        <w:rPr>
          <w:rFonts w:hint="eastAsia" w:ascii="宋体" w:hAnsi="宋体"/>
          <w:sz w:val="28"/>
          <w:szCs w:val="28"/>
        </w:rPr>
        <w:t>在2017年12月18日，原告与被告一经平等、自愿协商后，签订了 “台档” 连锁加盟项目股权代持协议（以下简称“代持协议”），被告一为被告二的股东，拥有被告二旗下“台档”项目25.2%的股份。依据该协议约定，原告需向被告一支付相应投资款，以通过被告一代持被告二旗下 “台档” 连锁加盟项目股权的方式参与项目投资运营，从而享有相应的权益。</w:t>
      </w:r>
    </w:p>
    <w:p w14:paraId="36F40741">
      <w:pPr>
        <w:spacing w:line="360" w:lineRule="auto"/>
        <w:ind w:firstLine="480"/>
        <w:rPr>
          <w:rFonts w:hint="eastAsia" w:ascii="宋体" w:hAnsi="宋体"/>
          <w:sz w:val="28"/>
          <w:szCs w:val="28"/>
        </w:rPr>
      </w:pPr>
      <w:r>
        <w:rPr>
          <w:rFonts w:hint="eastAsia" w:ascii="宋体" w:hAnsi="宋体"/>
          <w:sz w:val="28"/>
          <w:szCs w:val="28"/>
        </w:rPr>
        <w:t>协议签订当日，原告秉持着对被告一的信任以及对协议履行的诚意，严格按照约定，通过柳州银行（账号：621412011006197299）以银行转账的方式，一次性向被告一足额支付了人民币 50,000 元（大写：伍万元整）的投资款。该转账行为有相应的银行转账凭证予以明确证实，原告已切实履行了自己在协议项下的出资义务。</w:t>
      </w:r>
    </w:p>
    <w:p w14:paraId="3329FF60">
      <w:pPr>
        <w:spacing w:line="360" w:lineRule="auto"/>
        <w:ind w:firstLine="480"/>
        <w:rPr>
          <w:rFonts w:ascii="宋体" w:hAnsi="宋体"/>
          <w:b/>
          <w:bCs/>
          <w:sz w:val="28"/>
          <w:szCs w:val="28"/>
        </w:rPr>
      </w:pPr>
      <w:r>
        <w:rPr>
          <w:rFonts w:hint="eastAsia" w:ascii="宋体" w:hAnsi="宋体"/>
          <w:sz w:val="28"/>
          <w:szCs w:val="28"/>
        </w:rPr>
        <w:t>二、</w:t>
      </w:r>
      <w:r>
        <w:rPr>
          <w:rFonts w:hint="eastAsia" w:ascii="宋体" w:hAnsi="宋体"/>
          <w:b/>
          <w:bCs/>
          <w:sz w:val="28"/>
          <w:szCs w:val="28"/>
        </w:rPr>
        <w:t>被告一构成根本违约，应承担返还责任。</w:t>
      </w:r>
    </w:p>
    <w:p w14:paraId="14320DAE">
      <w:pPr>
        <w:spacing w:line="360" w:lineRule="auto"/>
        <w:ind w:firstLine="480"/>
        <w:rPr>
          <w:rFonts w:hint="eastAsia" w:ascii="宋体" w:hAnsi="宋体"/>
          <w:sz w:val="28"/>
          <w:szCs w:val="28"/>
        </w:rPr>
      </w:pPr>
      <w:r>
        <w:rPr>
          <w:rFonts w:hint="eastAsia" w:ascii="宋体" w:hAnsi="宋体"/>
          <w:sz w:val="28"/>
          <w:szCs w:val="28"/>
        </w:rPr>
        <w:t>然而，自协议履行满一年后，根据代持协议第三条约定，原告理应享有相应的分红权益，但实际情况却是原告并未获得任何分红。经原告审慎核实，发现自身未能按照约定享受到应有的权益，故依据代持协议中关于权益保障及退出机制的相关条款，原告及时、合理地向被告一提出退回投资款的申请，要求被告一尽快按照协议约定履行退款义务。但被告一却无视协议约定及原告的合理诉求，以各种无端理由进行推脱、敷衍，至今仍拒不向原告退还该投资款，其行为已严重违反了双方签订的代持协议，构成了根本违约，给原告造成了重大的经济损失。</w:t>
      </w:r>
    </w:p>
    <w:p w14:paraId="6ACCFCB2">
      <w:pPr>
        <w:spacing w:line="360" w:lineRule="auto"/>
        <w:ind w:firstLine="480"/>
        <w:rPr>
          <w:rFonts w:ascii="宋体" w:hAnsi="宋体"/>
          <w:sz w:val="28"/>
          <w:szCs w:val="28"/>
        </w:rPr>
      </w:pPr>
      <w:r>
        <w:rPr>
          <w:rFonts w:hint="eastAsia" w:ascii="宋体" w:hAnsi="宋体"/>
          <w:sz w:val="28"/>
          <w:szCs w:val="28"/>
        </w:rPr>
        <w:t>原告认为，原告、被告一双方签订的 “台档” 连锁加盟项目股权代持协议系双方真实意思表示，内容未违反法律法规的强制性规定，合法有效，对双方均具有法律约束力。现被告一拒不履行协议约定的退款义务，损害了原告的合法权益。</w:t>
      </w:r>
    </w:p>
    <w:p w14:paraId="460B6AB2">
      <w:pPr>
        <w:spacing w:line="360" w:lineRule="auto"/>
        <w:ind w:firstLine="480"/>
        <w:rPr>
          <w:rFonts w:ascii="宋体" w:hAnsi="宋体"/>
          <w:sz w:val="28"/>
          <w:szCs w:val="28"/>
        </w:rPr>
      </w:pPr>
      <w:r>
        <w:rPr>
          <w:rFonts w:hint="eastAsia" w:ascii="宋体" w:hAnsi="宋体"/>
          <w:sz w:val="28"/>
          <w:szCs w:val="28"/>
        </w:rPr>
        <w:t>三、</w:t>
      </w:r>
      <w:r>
        <w:rPr>
          <w:rFonts w:hint="eastAsia" w:ascii="宋体" w:hAnsi="宋体"/>
          <w:b/>
          <w:bCs/>
          <w:sz w:val="28"/>
          <w:szCs w:val="28"/>
        </w:rPr>
        <w:t>被告二应承担连带清偿责任</w:t>
      </w:r>
    </w:p>
    <w:p w14:paraId="3F08F6F8">
      <w:pPr>
        <w:tabs>
          <w:tab w:val="left" w:pos="720"/>
        </w:tabs>
        <w:spacing w:line="360" w:lineRule="auto"/>
        <w:ind w:firstLine="480"/>
        <w:rPr>
          <w:rFonts w:hint="eastAsia" w:ascii="宋体" w:hAnsi="宋体"/>
          <w:sz w:val="28"/>
          <w:szCs w:val="28"/>
        </w:rPr>
      </w:pPr>
      <w:r>
        <w:rPr>
          <w:rFonts w:hint="eastAsia" w:ascii="宋体" w:hAnsi="宋体"/>
          <w:sz w:val="28"/>
          <w:szCs w:val="28"/>
        </w:rPr>
        <w:t>被告二对代持行为的知情与认可。被告二向原告出具盖有公章的股东证明，表明其明知被告一代持股权的事实，且未对代持关系提出异议。根据《公司法》司法解释精神，公司对代持行为的默示认可可视为对实际出资人权益的间接确认。</w:t>
      </w:r>
    </w:p>
    <w:p w14:paraId="55F76CCC">
      <w:pPr>
        <w:tabs>
          <w:tab w:val="left" w:pos="720"/>
        </w:tabs>
        <w:spacing w:line="360" w:lineRule="auto"/>
        <w:ind w:firstLine="480"/>
        <w:rPr>
          <w:rFonts w:hint="eastAsia" w:ascii="宋体" w:hAnsi="宋体"/>
          <w:sz w:val="28"/>
          <w:szCs w:val="28"/>
        </w:rPr>
      </w:pPr>
      <w:r>
        <w:rPr>
          <w:rFonts w:hint="eastAsia" w:ascii="宋体" w:hAnsi="宋体"/>
          <w:sz w:val="28"/>
          <w:szCs w:val="28"/>
        </w:rPr>
        <w:t>被告二的共同过错与责任连带。因为被告二未将原告作为实际出资人记载于股东名册或未保障分红权益，存在协助被告一侵害原告利益的行为，依据《民法典》第一百六十七条（共同侵权），应承担连带责任。</w:t>
      </w:r>
    </w:p>
    <w:p w14:paraId="105FB6EF">
      <w:pPr>
        <w:spacing w:line="360" w:lineRule="auto"/>
        <w:ind w:firstLine="480"/>
        <w:rPr>
          <w:rFonts w:ascii="宋体" w:hAnsi="宋体"/>
          <w:sz w:val="28"/>
          <w:szCs w:val="28"/>
        </w:rPr>
      </w:pPr>
    </w:p>
    <w:p w14:paraId="741FA910">
      <w:pPr>
        <w:spacing w:line="360" w:lineRule="auto"/>
        <w:ind w:firstLine="480"/>
        <w:rPr>
          <w:rFonts w:hint="eastAsia" w:ascii="宋体" w:hAnsi="宋体"/>
          <w:sz w:val="28"/>
          <w:szCs w:val="28"/>
        </w:rPr>
      </w:pPr>
      <w:r>
        <w:rPr>
          <w:rFonts w:hint="eastAsia" w:ascii="宋体" w:hAnsi="宋体"/>
          <w:sz w:val="28"/>
          <w:szCs w:val="28"/>
        </w:rPr>
        <w:t>依据《中华人民共和国民法典》合同编中关于合同的履行、违约责任等相关规定以及《中华人民共和国民事诉讼法》的相关条款，原告为维护自身的合法权益，特向贵院提起诉讼，恳请贵院依法判如所请。</w:t>
      </w:r>
    </w:p>
    <w:p w14:paraId="14FB41EC">
      <w:pPr>
        <w:spacing w:line="360" w:lineRule="auto"/>
        <w:ind w:firstLine="480"/>
        <w:rPr>
          <w:rFonts w:hint="eastAsia" w:ascii="宋体" w:hAnsi="宋体"/>
          <w:sz w:val="28"/>
          <w:szCs w:val="28"/>
        </w:rPr>
      </w:pPr>
      <w:r>
        <w:rPr>
          <w:rFonts w:ascii="宋体" w:hAnsi="宋体"/>
          <w:sz w:val="28"/>
          <w:szCs w:val="28"/>
        </w:rPr>
        <w:t>此致</w:t>
      </w:r>
    </w:p>
    <w:p w14:paraId="5CEAD9E6">
      <w:pPr>
        <w:spacing w:line="360" w:lineRule="auto"/>
        <w:ind w:firstLine="480"/>
        <w:rPr>
          <w:rFonts w:hint="eastAsia" w:ascii="宋体" w:hAnsi="宋体"/>
          <w:sz w:val="28"/>
          <w:szCs w:val="28"/>
        </w:rPr>
      </w:pPr>
      <w:r>
        <w:rPr>
          <w:rFonts w:hint="eastAsia" w:ascii="宋体" w:hAnsi="宋体"/>
          <w:sz w:val="28"/>
          <w:szCs w:val="28"/>
        </w:rPr>
        <w:t>柳州市鱼峰区人民法院</w:t>
      </w:r>
    </w:p>
    <w:p w14:paraId="67D59D8A">
      <w:pPr>
        <w:spacing w:line="360" w:lineRule="auto"/>
        <w:ind w:firstLine="5320" w:firstLineChars="1900"/>
        <w:jc w:val="left"/>
        <w:rPr>
          <w:rFonts w:hint="eastAsia" w:ascii="宋体" w:hAnsi="宋体"/>
          <w:sz w:val="28"/>
          <w:szCs w:val="28"/>
        </w:rPr>
      </w:pPr>
      <w:r>
        <w:rPr>
          <w:rFonts w:hint="eastAsia" w:ascii="宋体" w:hAnsi="宋体"/>
          <w:sz w:val="28"/>
          <w:szCs w:val="28"/>
        </w:rPr>
        <w:t xml:space="preserve">  具状人</w:t>
      </w:r>
      <w:r>
        <w:rPr>
          <w:rFonts w:ascii="宋体" w:hAnsi="宋体"/>
          <w:sz w:val="28"/>
          <w:szCs w:val="28"/>
        </w:rPr>
        <w:t>：　　</w:t>
      </w:r>
      <w:r>
        <w:rPr>
          <w:rFonts w:hint="eastAsia" w:ascii="宋体" w:hAnsi="宋体"/>
          <w:sz w:val="28"/>
          <w:szCs w:val="28"/>
        </w:rPr>
        <w:t xml:space="preserve">                                                        </w:t>
      </w:r>
    </w:p>
    <w:p w14:paraId="2BC9E8D8">
      <w:pPr>
        <w:spacing w:line="360" w:lineRule="auto"/>
        <w:ind w:left="4673" w:leftChars="2225"/>
        <w:jc w:val="left"/>
        <w:rPr>
          <w:rFonts w:hint="eastAsia" w:ascii="宋体" w:hAnsi="宋体"/>
          <w:sz w:val="28"/>
          <w:szCs w:val="28"/>
        </w:rPr>
      </w:pPr>
    </w:p>
    <w:p w14:paraId="0E40257D">
      <w:pPr>
        <w:spacing w:line="360" w:lineRule="auto"/>
        <w:ind w:firstLine="6160" w:firstLineChars="2200"/>
        <w:jc w:val="left"/>
        <w:rPr>
          <w:rFonts w:hint="eastAsia" w:ascii="宋体" w:hAnsi="宋体"/>
          <w:sz w:val="28"/>
          <w:szCs w:val="28"/>
        </w:rPr>
      </w:pPr>
      <w:r>
        <w:rPr>
          <w:rFonts w:ascii="宋体" w:hAnsi="宋体"/>
          <w:sz w:val="28"/>
          <w:szCs w:val="28"/>
        </w:rPr>
        <w:t>年</w:t>
      </w:r>
      <w:r>
        <w:rPr>
          <w:rFonts w:hint="eastAsia" w:ascii="宋体" w:hAnsi="宋体"/>
          <w:sz w:val="28"/>
          <w:szCs w:val="28"/>
        </w:rPr>
        <w:t xml:space="preserve">   </w:t>
      </w:r>
      <w:r>
        <w:rPr>
          <w:rFonts w:ascii="宋体" w:hAnsi="宋体"/>
          <w:sz w:val="28"/>
          <w:szCs w:val="28"/>
        </w:rPr>
        <w:t>月</w:t>
      </w:r>
      <w:r>
        <w:rPr>
          <w:rFonts w:hint="eastAsia" w:ascii="宋体" w:hAnsi="宋体"/>
          <w:sz w:val="28"/>
          <w:szCs w:val="28"/>
        </w:rPr>
        <w:t xml:space="preserve">   </w:t>
      </w:r>
      <w:r>
        <w:rPr>
          <w:rFonts w:ascii="宋体" w:hAnsi="宋体"/>
          <w:sz w:val="28"/>
          <w:szCs w:val="28"/>
        </w:rPr>
        <w:t>日</w:t>
      </w:r>
    </w:p>
    <w:p w14:paraId="2D477D0A">
      <w:pPr>
        <w:spacing w:line="360" w:lineRule="auto"/>
        <w:ind w:left="6344" w:leftChars="3021" w:firstLine="280" w:firstLineChars="100"/>
        <w:jc w:val="left"/>
        <w:rPr>
          <w:rFonts w:hint="eastAsia" w:ascii="宋体" w:hAnsi="宋体"/>
          <w:sz w:val="28"/>
          <w:szCs w:val="28"/>
        </w:rPr>
      </w:pPr>
    </w:p>
    <w:p w14:paraId="45F70074">
      <w:pPr>
        <w:spacing w:line="360" w:lineRule="auto"/>
        <w:ind w:left="6344" w:leftChars="3021" w:firstLine="280" w:firstLineChars="100"/>
        <w:jc w:val="left"/>
        <w:rPr>
          <w:rFonts w:hint="eastAsia" w:ascii="宋体" w:hAnsi="宋体"/>
          <w:sz w:val="28"/>
          <w:szCs w:val="28"/>
        </w:rPr>
      </w:pPr>
    </w:p>
    <w:p w14:paraId="5F1D820E">
      <w:pPr>
        <w:spacing w:line="360" w:lineRule="auto"/>
        <w:jc w:val="left"/>
        <w:rPr>
          <w:rFonts w:hint="eastAsia" w:ascii="宋体" w:hAnsi="宋体"/>
          <w:sz w:val="28"/>
          <w:szCs w:val="28"/>
        </w:rPr>
      </w:pPr>
    </w:p>
    <w:p w14:paraId="022C36C7">
      <w:pPr>
        <w:widowControl/>
        <w:shd w:val="clear" w:color="auto" w:fill="FFFFFF"/>
        <w:jc w:val="left"/>
        <w:rPr>
          <w:rFonts w:hint="eastAsia" w:ascii="宋体" w:hAnsi="宋体"/>
          <w:b/>
          <w:bCs/>
          <w:sz w:val="28"/>
          <w:szCs w:val="28"/>
        </w:rPr>
      </w:pPr>
      <w:r>
        <w:rPr>
          <w:rFonts w:hint="eastAsia" w:ascii="宋体" w:hAnsi="宋体"/>
          <w:b/>
          <w:bCs/>
          <w:sz w:val="28"/>
          <w:szCs w:val="28"/>
        </w:rPr>
        <w:t>附件1：</w:t>
      </w:r>
      <w:bookmarkStart w:id="0" w:name="_GoBack"/>
      <w:bookmarkEnd w:id="0"/>
    </w:p>
    <w:p w14:paraId="33DE56A1">
      <w:pPr>
        <w:spacing w:line="360" w:lineRule="auto"/>
        <w:ind w:firstLine="480"/>
        <w:rPr>
          <w:rFonts w:hint="eastAsia" w:ascii="宋体" w:hAnsi="宋体"/>
          <w:sz w:val="28"/>
          <w:szCs w:val="28"/>
        </w:rPr>
      </w:pPr>
      <w:r>
        <w:rPr>
          <w:rFonts w:ascii="宋体" w:hAnsi="宋体"/>
          <w:sz w:val="28"/>
          <w:szCs w:val="28"/>
        </w:rPr>
        <w:t xml:space="preserve">计算利息公式为：利息本金利率时间，则自 2018 年 12 月 19 日起至 2025 年 </w:t>
      </w:r>
      <w:r>
        <w:rPr>
          <w:rFonts w:hint="eastAsia" w:ascii="宋体" w:hAnsi="宋体"/>
          <w:sz w:val="28"/>
          <w:szCs w:val="28"/>
        </w:rPr>
        <w:t>2</w:t>
      </w:r>
      <w:r>
        <w:rPr>
          <w:rFonts w:ascii="宋体" w:hAnsi="宋体"/>
          <w:sz w:val="28"/>
          <w:szCs w:val="28"/>
        </w:rPr>
        <w:t xml:space="preserve"> 月 19 日止的逾期付款利息损失计算如下：</w:t>
      </w:r>
    </w:p>
    <w:p w14:paraId="53834885">
      <w:pPr>
        <w:numPr>
          <w:ilvl w:val="0"/>
          <w:numId w:val="2"/>
        </w:numPr>
        <w:spacing w:line="360" w:lineRule="auto"/>
        <w:ind w:firstLine="480"/>
        <w:rPr>
          <w:rFonts w:hint="eastAsia" w:ascii="宋体" w:hAnsi="宋体"/>
          <w:sz w:val="28"/>
          <w:szCs w:val="28"/>
        </w:rPr>
      </w:pPr>
      <w:r>
        <w:rPr>
          <w:rFonts w:ascii="宋体" w:hAnsi="宋体"/>
          <w:sz w:val="28"/>
          <w:szCs w:val="28"/>
        </w:rPr>
        <w:t>2018 年 12 月 19 日至 2019 年 8 月 19 日：这段时间共 8 个月，中国人民银行同期同类人民币贷款基准利率可大致按 4.35% 计算，按四倍计算利率为</w:t>
      </w:r>
      <w:r>
        <w:rPr>
          <w:rFonts w:hint="eastAsia" w:ascii="宋体" w:hAnsi="宋体"/>
          <w:sz w:val="28"/>
          <w:szCs w:val="28"/>
        </w:rPr>
        <w:t>4.35%</w:t>
      </w:r>
      <w:r>
        <w:rPr>
          <w:rFonts w:ascii="宋体" w:hAnsi="宋体"/>
          <w:sz w:val="28"/>
          <w:szCs w:val="28"/>
        </w:rPr>
        <w:t>×</w:t>
      </w:r>
      <w:r>
        <w:rPr>
          <w:rFonts w:hint="eastAsia" w:ascii="宋体" w:hAnsi="宋体"/>
          <w:sz w:val="28"/>
          <w:szCs w:val="28"/>
        </w:rPr>
        <w:t>4=17.4%</w:t>
      </w:r>
      <w:r>
        <w:rPr>
          <w:rFonts w:ascii="宋体" w:hAnsi="宋体"/>
          <w:sz w:val="28"/>
          <w:szCs w:val="28"/>
        </w:rPr>
        <w:t>。此期间利息为：</w:t>
      </w:r>
      <w:r>
        <w:rPr>
          <w:rFonts w:hint="eastAsia" w:ascii="宋体" w:hAnsi="宋体"/>
          <w:sz w:val="28"/>
          <w:szCs w:val="28"/>
        </w:rPr>
        <w:t>50000.0</w:t>
      </w:r>
      <w:r>
        <w:rPr>
          <w:rFonts w:ascii="宋体" w:hAnsi="宋体"/>
          <w:sz w:val="28"/>
          <w:szCs w:val="28"/>
        </w:rPr>
        <w:t>×</w:t>
      </w:r>
      <w:r>
        <w:rPr>
          <w:rFonts w:hint="eastAsia" w:ascii="宋体" w:hAnsi="宋体"/>
          <w:sz w:val="28"/>
          <w:szCs w:val="28"/>
        </w:rPr>
        <w:t>17.4%</w:t>
      </w:r>
      <w:r>
        <w:rPr>
          <w:rFonts w:ascii="宋体" w:hAnsi="宋体"/>
          <w:sz w:val="28"/>
          <w:szCs w:val="28"/>
        </w:rPr>
        <w:t>×</w:t>
      </w:r>
      <w:r>
        <w:rPr>
          <w:rFonts w:hint="eastAsia" w:ascii="宋体" w:hAnsi="宋体"/>
          <w:sz w:val="28"/>
          <w:szCs w:val="28"/>
        </w:rPr>
        <w:t>8</w:t>
      </w:r>
      <w:r>
        <w:rPr>
          <w:rFonts w:ascii="宋体" w:hAnsi="宋体"/>
          <w:sz w:val="28"/>
          <w:szCs w:val="28"/>
        </w:rPr>
        <w:t>÷</w:t>
      </w:r>
      <w:r>
        <w:rPr>
          <w:rFonts w:hint="eastAsia" w:ascii="宋体" w:hAnsi="宋体"/>
          <w:sz w:val="28"/>
          <w:szCs w:val="28"/>
        </w:rPr>
        <w:t>12=5800.0</w:t>
      </w:r>
      <w:r>
        <w:rPr>
          <w:rFonts w:ascii="宋体" w:hAnsi="宋体"/>
          <w:sz w:val="28"/>
          <w:szCs w:val="28"/>
        </w:rPr>
        <w:t>元。</w:t>
      </w:r>
    </w:p>
    <w:p w14:paraId="64EDFBE9">
      <w:pPr>
        <w:numPr>
          <w:ilvl w:val="0"/>
          <w:numId w:val="2"/>
        </w:numPr>
        <w:spacing w:line="360" w:lineRule="auto"/>
        <w:ind w:firstLine="480"/>
        <w:rPr>
          <w:rFonts w:hint="eastAsia" w:ascii="宋体" w:hAnsi="宋体"/>
          <w:sz w:val="28"/>
          <w:szCs w:val="28"/>
        </w:rPr>
      </w:pPr>
      <w:r>
        <w:rPr>
          <w:rFonts w:ascii="宋体" w:hAnsi="宋体"/>
          <w:sz w:val="28"/>
          <w:szCs w:val="28"/>
        </w:rPr>
        <w:t>2019 年 8 月 20 日至 2024 年 12 月 20 日：这段时间需按每月公布的 LPR 计算，为方便计算，以 2024 年 12 月 20 日公布的 1 年期 LPR 为 3.1% 为例，按四倍计算利率为</w:t>
      </w:r>
      <w:r>
        <w:rPr>
          <w:rFonts w:hint="eastAsia" w:ascii="宋体" w:hAnsi="宋体"/>
          <w:sz w:val="28"/>
          <w:szCs w:val="28"/>
        </w:rPr>
        <w:t>3.1%</w:t>
      </w:r>
      <w:r>
        <w:rPr>
          <w:rFonts w:ascii="宋体" w:hAnsi="宋体"/>
          <w:sz w:val="28"/>
          <w:szCs w:val="28"/>
        </w:rPr>
        <w:t>×</w:t>
      </w:r>
      <w:r>
        <w:rPr>
          <w:rFonts w:hint="eastAsia" w:ascii="宋体" w:hAnsi="宋体"/>
          <w:sz w:val="28"/>
          <w:szCs w:val="28"/>
        </w:rPr>
        <w:t>4=12.4%</w:t>
      </w:r>
      <w:r>
        <w:rPr>
          <w:rFonts w:ascii="宋体" w:hAnsi="宋体"/>
          <w:sz w:val="28"/>
          <w:szCs w:val="28"/>
        </w:rPr>
        <w:t>。此期间共</w:t>
      </w:r>
      <w:r>
        <w:rPr>
          <w:rFonts w:hint="eastAsia" w:ascii="宋体" w:hAnsi="宋体"/>
          <w:sz w:val="28"/>
          <w:szCs w:val="28"/>
        </w:rPr>
        <w:t>52</w:t>
      </w:r>
      <w:r>
        <w:rPr>
          <w:rFonts w:ascii="宋体" w:hAnsi="宋体"/>
          <w:sz w:val="28"/>
          <w:szCs w:val="28"/>
        </w:rPr>
        <w:t>个月，利息为：</w:t>
      </w:r>
      <w:r>
        <w:rPr>
          <w:rFonts w:hint="eastAsia" w:ascii="宋体" w:hAnsi="宋体"/>
          <w:sz w:val="28"/>
          <w:szCs w:val="28"/>
        </w:rPr>
        <w:t>50000.0</w:t>
      </w:r>
      <w:r>
        <w:rPr>
          <w:rFonts w:ascii="宋体" w:hAnsi="宋体"/>
          <w:sz w:val="28"/>
          <w:szCs w:val="28"/>
        </w:rPr>
        <w:t>×</w:t>
      </w:r>
      <w:r>
        <w:rPr>
          <w:rFonts w:hint="eastAsia" w:ascii="宋体" w:hAnsi="宋体"/>
          <w:sz w:val="28"/>
          <w:szCs w:val="28"/>
        </w:rPr>
        <w:t>12.4%</w:t>
      </w:r>
      <w:r>
        <w:rPr>
          <w:rFonts w:ascii="宋体" w:hAnsi="宋体"/>
          <w:sz w:val="28"/>
          <w:szCs w:val="28"/>
        </w:rPr>
        <w:t>×</w:t>
      </w:r>
      <w:r>
        <w:rPr>
          <w:rFonts w:hint="eastAsia" w:ascii="宋体" w:hAnsi="宋体"/>
          <w:sz w:val="28"/>
          <w:szCs w:val="28"/>
        </w:rPr>
        <w:t>52</w:t>
      </w:r>
      <w:r>
        <w:rPr>
          <w:rFonts w:ascii="宋体" w:hAnsi="宋体"/>
          <w:sz w:val="28"/>
          <w:szCs w:val="28"/>
        </w:rPr>
        <w:t>÷</w:t>
      </w:r>
      <w:r>
        <w:rPr>
          <w:rFonts w:hint="eastAsia" w:ascii="宋体" w:hAnsi="宋体"/>
          <w:sz w:val="28"/>
          <w:szCs w:val="28"/>
        </w:rPr>
        <w:t>12=26866.67</w:t>
      </w:r>
      <w:r>
        <w:rPr>
          <w:rFonts w:ascii="宋体" w:hAnsi="宋体"/>
          <w:sz w:val="28"/>
          <w:szCs w:val="28"/>
        </w:rPr>
        <w:t>元。</w:t>
      </w:r>
    </w:p>
    <w:p w14:paraId="1B3F2BE5">
      <w:pPr>
        <w:numPr>
          <w:ilvl w:val="0"/>
          <w:numId w:val="2"/>
        </w:numPr>
        <w:spacing w:line="360" w:lineRule="auto"/>
        <w:ind w:firstLine="480"/>
        <w:rPr>
          <w:rFonts w:hint="eastAsia" w:ascii="宋体" w:hAnsi="宋体"/>
          <w:sz w:val="28"/>
          <w:szCs w:val="28"/>
        </w:rPr>
      </w:pPr>
      <w:r>
        <w:rPr>
          <w:rFonts w:ascii="宋体" w:hAnsi="宋体"/>
          <w:sz w:val="28"/>
          <w:szCs w:val="28"/>
        </w:rPr>
        <w:t xml:space="preserve">2024 年 12 月 20 日至 2025 年 </w:t>
      </w:r>
      <w:r>
        <w:rPr>
          <w:rFonts w:hint="eastAsia" w:ascii="宋体" w:hAnsi="宋体"/>
          <w:sz w:val="28"/>
          <w:szCs w:val="28"/>
        </w:rPr>
        <w:t>4</w:t>
      </w:r>
      <w:r>
        <w:rPr>
          <w:rFonts w:ascii="宋体" w:hAnsi="宋体"/>
          <w:sz w:val="28"/>
          <w:szCs w:val="28"/>
        </w:rPr>
        <w:t xml:space="preserve"> 月 19 日：共 </w:t>
      </w:r>
      <w:r>
        <w:rPr>
          <w:rFonts w:hint="eastAsia" w:ascii="宋体" w:hAnsi="宋体"/>
          <w:sz w:val="28"/>
          <w:szCs w:val="28"/>
        </w:rPr>
        <w:t>4</w:t>
      </w:r>
      <w:r>
        <w:rPr>
          <w:rFonts w:ascii="宋体" w:hAnsi="宋体"/>
          <w:sz w:val="28"/>
          <w:szCs w:val="28"/>
        </w:rPr>
        <w:t xml:space="preserve"> 个月，以 LPR 为 3.1% 的四倍即 12.4% 计算，利息为：</w:t>
      </w:r>
      <w:r>
        <w:rPr>
          <w:rFonts w:hint="eastAsia" w:ascii="宋体" w:hAnsi="宋体"/>
          <w:sz w:val="28"/>
          <w:szCs w:val="28"/>
        </w:rPr>
        <w:t>50000.0</w:t>
      </w:r>
      <w:r>
        <w:rPr>
          <w:rFonts w:ascii="宋体" w:hAnsi="宋体"/>
          <w:sz w:val="28"/>
          <w:szCs w:val="28"/>
        </w:rPr>
        <w:t>×</w:t>
      </w:r>
      <w:r>
        <w:rPr>
          <w:rFonts w:hint="eastAsia" w:ascii="宋体" w:hAnsi="宋体"/>
          <w:sz w:val="28"/>
          <w:szCs w:val="28"/>
        </w:rPr>
        <w:t>12.4%</w:t>
      </w:r>
      <w:r>
        <w:rPr>
          <w:rFonts w:ascii="宋体" w:hAnsi="宋体"/>
          <w:sz w:val="28"/>
          <w:szCs w:val="28"/>
        </w:rPr>
        <w:t>×</w:t>
      </w:r>
      <w:r>
        <w:rPr>
          <w:rFonts w:hint="eastAsia" w:ascii="宋体" w:hAnsi="宋体"/>
          <w:sz w:val="28"/>
          <w:szCs w:val="28"/>
        </w:rPr>
        <w:t>4</w:t>
      </w:r>
      <w:r>
        <w:rPr>
          <w:rFonts w:ascii="宋体" w:hAnsi="宋体"/>
          <w:sz w:val="28"/>
          <w:szCs w:val="28"/>
        </w:rPr>
        <w:t>÷</w:t>
      </w:r>
      <w:r>
        <w:rPr>
          <w:rFonts w:hint="eastAsia" w:ascii="宋体" w:hAnsi="宋体"/>
          <w:sz w:val="28"/>
          <w:szCs w:val="28"/>
        </w:rPr>
        <w:t>12=2066.67</w:t>
      </w:r>
      <w:r>
        <w:rPr>
          <w:rFonts w:ascii="宋体" w:hAnsi="宋体"/>
          <w:sz w:val="28"/>
          <w:szCs w:val="28"/>
        </w:rPr>
        <w:t>元。</w:t>
      </w:r>
    </w:p>
    <w:p w14:paraId="7A2AB0D6">
      <w:pPr>
        <w:spacing w:line="360" w:lineRule="auto"/>
        <w:ind w:firstLine="480"/>
        <w:rPr>
          <w:rFonts w:hint="eastAsia" w:ascii="宋体" w:hAnsi="宋体"/>
          <w:sz w:val="28"/>
          <w:szCs w:val="28"/>
        </w:rPr>
      </w:pPr>
      <w:r>
        <w:rPr>
          <w:rFonts w:ascii="宋体" w:hAnsi="宋体"/>
          <w:sz w:val="28"/>
          <w:szCs w:val="28"/>
        </w:rPr>
        <w:t>将以上三个阶段的利息相加：</w:t>
      </w:r>
      <w:r>
        <w:rPr>
          <w:rFonts w:hint="eastAsia" w:ascii="宋体" w:hAnsi="宋体"/>
          <w:sz w:val="28"/>
          <w:szCs w:val="28"/>
        </w:rPr>
        <w:t>5800+26866.67+2066.67=34733.34</w:t>
      </w:r>
      <w:r>
        <w:rPr>
          <w:rFonts w:ascii="宋体" w:hAnsi="宋体"/>
          <w:sz w:val="28"/>
          <w:szCs w:val="28"/>
        </w:rPr>
        <w:t>元。</w:t>
      </w:r>
    </w:p>
    <w:p w14:paraId="02ED08A6">
      <w:pPr>
        <w:spacing w:line="360" w:lineRule="auto"/>
        <w:jc w:val="left"/>
        <w:rPr>
          <w:rFonts w:hint="eastAsia" w:ascii="宋体" w:hAnsi="宋体"/>
          <w:sz w:val="28"/>
          <w:szCs w:val="28"/>
        </w:rPr>
      </w:pPr>
    </w:p>
    <w:sectPr>
      <w:footerReference r:id="rId3" w:type="default"/>
      <w:pgSz w:w="11906" w:h="16838"/>
      <w:pgMar w:top="1327" w:right="1463" w:bottom="1327" w:left="146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9464A">
    <w:pPr>
      <w:pStyle w:val="2"/>
      <w:jc w:val="center"/>
    </w:pPr>
    <w:r>
      <w:fldChar w:fldCharType="begin"/>
    </w:r>
    <w:r>
      <w:instrText xml:space="preserve"> PAGE   \* MERGEFORMAT </w:instrText>
    </w:r>
    <w:r>
      <w:fldChar w:fldCharType="separate"/>
    </w:r>
    <w:r>
      <w:t>2</w:t>
    </w:r>
    <w:r>
      <w:fldChar w:fldCharType="end"/>
    </w:r>
  </w:p>
  <w:p w14:paraId="20A97A40">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BAC44"/>
    <w:multiLevelType w:val="singleLevel"/>
    <w:tmpl w:val="B66BAC44"/>
    <w:lvl w:ilvl="0" w:tentative="0">
      <w:start w:val="1"/>
      <w:numFmt w:val="decimal"/>
      <w:lvlText w:val="(%1)"/>
      <w:lvlJc w:val="left"/>
      <w:pPr>
        <w:tabs>
          <w:tab w:val="left" w:pos="312"/>
        </w:tabs>
      </w:pPr>
    </w:lvl>
  </w:abstractNum>
  <w:abstractNum w:abstractNumId="1">
    <w:nsid w:val="F2260FEA"/>
    <w:multiLevelType w:val="singleLevel"/>
    <w:tmpl w:val="F2260FEA"/>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D71"/>
    <w:rsid w:val="00000E76"/>
    <w:rsid w:val="00040437"/>
    <w:rsid w:val="00040B2C"/>
    <w:rsid w:val="0004285C"/>
    <w:rsid w:val="00042FC6"/>
    <w:rsid w:val="00043E44"/>
    <w:rsid w:val="00046881"/>
    <w:rsid w:val="0005009B"/>
    <w:rsid w:val="000535B3"/>
    <w:rsid w:val="00054532"/>
    <w:rsid w:val="0005566F"/>
    <w:rsid w:val="000B0D22"/>
    <w:rsid w:val="000B326C"/>
    <w:rsid w:val="000F0687"/>
    <w:rsid w:val="000F5035"/>
    <w:rsid w:val="00107AC3"/>
    <w:rsid w:val="00111F0E"/>
    <w:rsid w:val="0013006F"/>
    <w:rsid w:val="00145D9F"/>
    <w:rsid w:val="00165D27"/>
    <w:rsid w:val="00172776"/>
    <w:rsid w:val="00186BFD"/>
    <w:rsid w:val="001A7BB3"/>
    <w:rsid w:val="001C46C2"/>
    <w:rsid w:val="001F0849"/>
    <w:rsid w:val="002319C2"/>
    <w:rsid w:val="00283202"/>
    <w:rsid w:val="00287FC9"/>
    <w:rsid w:val="002A219D"/>
    <w:rsid w:val="002A4DDB"/>
    <w:rsid w:val="002B6A43"/>
    <w:rsid w:val="002D5DC4"/>
    <w:rsid w:val="002F5D67"/>
    <w:rsid w:val="002F62D7"/>
    <w:rsid w:val="00306E77"/>
    <w:rsid w:val="00314348"/>
    <w:rsid w:val="0032274B"/>
    <w:rsid w:val="00330282"/>
    <w:rsid w:val="0033123D"/>
    <w:rsid w:val="00333CBA"/>
    <w:rsid w:val="00335824"/>
    <w:rsid w:val="00353D71"/>
    <w:rsid w:val="00392EDE"/>
    <w:rsid w:val="00393C15"/>
    <w:rsid w:val="00394488"/>
    <w:rsid w:val="003A2160"/>
    <w:rsid w:val="003B6ADD"/>
    <w:rsid w:val="003E09AB"/>
    <w:rsid w:val="003E12E1"/>
    <w:rsid w:val="003E480F"/>
    <w:rsid w:val="003F42E6"/>
    <w:rsid w:val="004130CD"/>
    <w:rsid w:val="00414D7E"/>
    <w:rsid w:val="004521B5"/>
    <w:rsid w:val="004E582F"/>
    <w:rsid w:val="004F26BC"/>
    <w:rsid w:val="0050062A"/>
    <w:rsid w:val="00502DA7"/>
    <w:rsid w:val="00520AD3"/>
    <w:rsid w:val="005259EE"/>
    <w:rsid w:val="00544B0D"/>
    <w:rsid w:val="00556034"/>
    <w:rsid w:val="005575BF"/>
    <w:rsid w:val="00560D2C"/>
    <w:rsid w:val="005654B2"/>
    <w:rsid w:val="00581F63"/>
    <w:rsid w:val="0059271B"/>
    <w:rsid w:val="00592B2D"/>
    <w:rsid w:val="00597190"/>
    <w:rsid w:val="005A5854"/>
    <w:rsid w:val="005A78D9"/>
    <w:rsid w:val="005D1844"/>
    <w:rsid w:val="005D349E"/>
    <w:rsid w:val="006057DF"/>
    <w:rsid w:val="00656AF7"/>
    <w:rsid w:val="00662129"/>
    <w:rsid w:val="00663B2B"/>
    <w:rsid w:val="006645AE"/>
    <w:rsid w:val="00666A1A"/>
    <w:rsid w:val="006704F2"/>
    <w:rsid w:val="00676D3B"/>
    <w:rsid w:val="00695F91"/>
    <w:rsid w:val="006A3E42"/>
    <w:rsid w:val="006B0377"/>
    <w:rsid w:val="006B0711"/>
    <w:rsid w:val="006C6234"/>
    <w:rsid w:val="00702B1C"/>
    <w:rsid w:val="00707593"/>
    <w:rsid w:val="00763D39"/>
    <w:rsid w:val="0079594F"/>
    <w:rsid w:val="007B3DA1"/>
    <w:rsid w:val="007C47DB"/>
    <w:rsid w:val="007D4003"/>
    <w:rsid w:val="007F56B4"/>
    <w:rsid w:val="00801D07"/>
    <w:rsid w:val="00826B24"/>
    <w:rsid w:val="008356C0"/>
    <w:rsid w:val="0086358F"/>
    <w:rsid w:val="00866ED3"/>
    <w:rsid w:val="00883AED"/>
    <w:rsid w:val="008B09F0"/>
    <w:rsid w:val="008B1793"/>
    <w:rsid w:val="008C64B6"/>
    <w:rsid w:val="008D179A"/>
    <w:rsid w:val="008D5A48"/>
    <w:rsid w:val="008F375C"/>
    <w:rsid w:val="009053DB"/>
    <w:rsid w:val="0091609B"/>
    <w:rsid w:val="00936BC8"/>
    <w:rsid w:val="00942FAD"/>
    <w:rsid w:val="009850F5"/>
    <w:rsid w:val="009B3125"/>
    <w:rsid w:val="009B5815"/>
    <w:rsid w:val="009B690E"/>
    <w:rsid w:val="009C7FCD"/>
    <w:rsid w:val="009F3544"/>
    <w:rsid w:val="00A12011"/>
    <w:rsid w:val="00A163C1"/>
    <w:rsid w:val="00A3125B"/>
    <w:rsid w:val="00A53ABE"/>
    <w:rsid w:val="00A806A3"/>
    <w:rsid w:val="00A818FA"/>
    <w:rsid w:val="00A8252A"/>
    <w:rsid w:val="00AA21CF"/>
    <w:rsid w:val="00AB1BD3"/>
    <w:rsid w:val="00AF63F9"/>
    <w:rsid w:val="00B262AD"/>
    <w:rsid w:val="00B40ACA"/>
    <w:rsid w:val="00B4297B"/>
    <w:rsid w:val="00B648E6"/>
    <w:rsid w:val="00B9365D"/>
    <w:rsid w:val="00BA0720"/>
    <w:rsid w:val="00BA7515"/>
    <w:rsid w:val="00BC64A4"/>
    <w:rsid w:val="00BD12E6"/>
    <w:rsid w:val="00BD1CDA"/>
    <w:rsid w:val="00BE1259"/>
    <w:rsid w:val="00BF4DAE"/>
    <w:rsid w:val="00BF5D67"/>
    <w:rsid w:val="00C002CF"/>
    <w:rsid w:val="00C00E8B"/>
    <w:rsid w:val="00C10631"/>
    <w:rsid w:val="00C40E3A"/>
    <w:rsid w:val="00C52D0C"/>
    <w:rsid w:val="00C95B28"/>
    <w:rsid w:val="00CA0BB6"/>
    <w:rsid w:val="00D07EF3"/>
    <w:rsid w:val="00D21858"/>
    <w:rsid w:val="00D223EC"/>
    <w:rsid w:val="00D45B32"/>
    <w:rsid w:val="00D46664"/>
    <w:rsid w:val="00D74078"/>
    <w:rsid w:val="00D776EF"/>
    <w:rsid w:val="00D809BD"/>
    <w:rsid w:val="00D81155"/>
    <w:rsid w:val="00D925D9"/>
    <w:rsid w:val="00D94309"/>
    <w:rsid w:val="00DE34DC"/>
    <w:rsid w:val="00DF4846"/>
    <w:rsid w:val="00E0433E"/>
    <w:rsid w:val="00E0738F"/>
    <w:rsid w:val="00E26087"/>
    <w:rsid w:val="00E4520B"/>
    <w:rsid w:val="00E5544D"/>
    <w:rsid w:val="00E64AE7"/>
    <w:rsid w:val="00E92194"/>
    <w:rsid w:val="00E96199"/>
    <w:rsid w:val="00EE4077"/>
    <w:rsid w:val="00EE724F"/>
    <w:rsid w:val="00F13D0A"/>
    <w:rsid w:val="00F22EAA"/>
    <w:rsid w:val="00F31633"/>
    <w:rsid w:val="00F31CC5"/>
    <w:rsid w:val="00F34809"/>
    <w:rsid w:val="00F36647"/>
    <w:rsid w:val="00F66B76"/>
    <w:rsid w:val="00F66F33"/>
    <w:rsid w:val="00F738E8"/>
    <w:rsid w:val="00F81A35"/>
    <w:rsid w:val="00F87B18"/>
    <w:rsid w:val="00FE5569"/>
    <w:rsid w:val="016A256E"/>
    <w:rsid w:val="05A43A91"/>
    <w:rsid w:val="10C705B2"/>
    <w:rsid w:val="10C85AC8"/>
    <w:rsid w:val="12BA56C7"/>
    <w:rsid w:val="14060DE1"/>
    <w:rsid w:val="38A238B0"/>
    <w:rsid w:val="38FD1F03"/>
    <w:rsid w:val="394144E6"/>
    <w:rsid w:val="3A9E7428"/>
    <w:rsid w:val="4F8C69B7"/>
    <w:rsid w:val="63A4086C"/>
    <w:rsid w:val="64930C78"/>
    <w:rsid w:val="6EB02F99"/>
    <w:rsid w:val="7481774B"/>
    <w:rsid w:val="75F57AD2"/>
    <w:rsid w:val="77037B00"/>
    <w:rsid w:val="7A5D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99"/>
    <w:pPr>
      <w:tabs>
        <w:tab w:val="center" w:pos="4153"/>
        <w:tab w:val="right" w:pos="8306"/>
      </w:tabs>
      <w:snapToGrid w:val="0"/>
      <w:jc w:val="left"/>
    </w:pPr>
    <w:rPr>
      <w:sz w:val="18"/>
      <w:szCs w:val="18"/>
      <w:lang w:val="zh-CN"/>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lang w:val="zh-CN"/>
    </w:rPr>
  </w:style>
  <w:style w:type="paragraph" w:styleId="4">
    <w:name w:val="Normal (Web)"/>
    <w:basedOn w:val="1"/>
    <w:qFormat/>
    <w:uiPriority w:val="0"/>
    <w:pPr>
      <w:widowControl/>
      <w:jc w:val="left"/>
    </w:pPr>
    <w:rPr>
      <w:rFonts w:ascii="Arial Narrow" w:hAnsi="Arial Narrow" w:cs="宋体"/>
      <w:kern w:val="0"/>
      <w:sz w:val="18"/>
      <w:szCs w:val="18"/>
    </w:rPr>
  </w:style>
  <w:style w:type="character" w:styleId="7">
    <w:name w:val="Strong"/>
    <w:basedOn w:val="6"/>
    <w:qFormat/>
    <w:uiPriority w:val="0"/>
    <w:rPr>
      <w:b/>
    </w:rPr>
  </w:style>
  <w:style w:type="character" w:customStyle="1" w:styleId="8">
    <w:name w:val="页眉 字符"/>
    <w:link w:val="3"/>
    <w:qFormat/>
    <w:uiPriority w:val="0"/>
    <w:rPr>
      <w:kern w:val="2"/>
      <w:sz w:val="18"/>
      <w:szCs w:val="18"/>
    </w:rPr>
  </w:style>
  <w:style w:type="character" w:customStyle="1" w:styleId="9">
    <w:name w:val="页脚 字符"/>
    <w:link w:val="2"/>
    <w:qFormat/>
    <w:uiPriority w:val="99"/>
    <w:rPr>
      <w:kern w:val="2"/>
      <w:sz w:val="18"/>
      <w:szCs w:val="18"/>
    </w:rPr>
  </w:style>
  <w:style w:type="paragraph" w:styleId="1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E3103-6050-4649-9674-E604B8DF0367}">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Pages>
  <Words>1653</Words>
  <Characters>1986</Characters>
  <Lines>15</Lines>
  <Paragraphs>4</Paragraphs>
  <TotalTime>131</TotalTime>
  <ScaleCrop>false</ScaleCrop>
  <LinksUpToDate>false</LinksUpToDate>
  <CharactersWithSpaces>2138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2025-01-09T05:59:00Z</dcterms:created>
  <dc:creator>Administrator</dc:creator>
  <cp:lastModifiedBy>Jenny</cp:lastModifiedBy>
  <cp:lastPrinted>2025-02-24T03:38:00Z</cp:lastPrinted>
  <dcterms:modified xsi:type="dcterms:W3CDTF">2025-04-22T07:34:50Z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eyJoZGlkIjoiMTFkYjU5NzQ1MTMwMzhlMjMxNmY1ZTEyYzE5YTYyYWMiLCJ1c2VySWQiOiI2MTYwMDI2NDcifQ==</vt:lpwstr>
  </property>
  <property fmtid="{D5CDD505-2E9C-101B-9397-08002B2CF9AE}" pid="3" name="KSOProductBuildVer">
    <vt:lpwstr>2052-12.1.0.20784</vt:lpwstr>
  </property>
  <property fmtid="{D5CDD505-2E9C-101B-9397-08002B2CF9AE}" pid="4" name="ICV">
    <vt:lpwstr>059CED6A00A34124AB9ECCD1932FAB35_13</vt:lpwstr>
  </property>
</Properties>
</file>