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ED0A" w14:textId="77777777" w:rsidR="00ED627B" w:rsidRPr="00ED627B" w:rsidRDefault="00ED627B" w:rsidP="00ED627B">
      <w:r w:rsidRPr="00ED627B">
        <w:t>政策制定与公示相关证据</w:t>
      </w:r>
      <w:r w:rsidRPr="00ED627B">
        <w:rPr>
          <w:rFonts w:ascii="Times New Roman" w:hAnsi="Times New Roman" w:cs="Times New Roman"/>
        </w:rPr>
        <w:t>​</w:t>
      </w:r>
    </w:p>
    <w:p w14:paraId="1F0A988A" w14:textId="77777777" w:rsidR="00ED627B" w:rsidRPr="00ED627B" w:rsidRDefault="00ED627B" w:rsidP="00ED627B">
      <w:pPr>
        <w:numPr>
          <w:ilvl w:val="0"/>
          <w:numId w:val="1"/>
        </w:numPr>
      </w:pPr>
      <w:r w:rsidRPr="00ED627B">
        <w:rPr>
          <w:b/>
          <w:bCs/>
        </w:rPr>
        <w:t>调剂政策文件</w:t>
      </w:r>
      <w:r w:rsidRPr="00ED627B">
        <w:t>：申请公开松江区教育局关于无房产家庭子女调剂政策的正式文件，包括政策制定的依据、目的、具体调剂规则及适用范围等内容。该文件能直接证明教育局调剂政策的具体内容，若其与国家及地方相关政策冲突，可作为有力证据。例如，若文件中规定将无房产家庭子女统一调剂至松江老城学校，而未遵循国家 “就近协调” 的要求，即可凸显其违法性。</w:t>
      </w:r>
      <w:r w:rsidRPr="00ED627B">
        <w:rPr>
          <w:rFonts w:ascii="Times New Roman" w:hAnsi="Times New Roman" w:cs="Times New Roman"/>
        </w:rPr>
        <w:t>​</w:t>
      </w:r>
    </w:p>
    <w:p w14:paraId="748A9C01" w14:textId="77777777" w:rsidR="00ED627B" w:rsidRPr="00ED627B" w:rsidRDefault="00ED627B" w:rsidP="00ED627B">
      <w:pPr>
        <w:numPr>
          <w:ilvl w:val="0"/>
          <w:numId w:val="2"/>
        </w:numPr>
      </w:pPr>
      <w:r w:rsidRPr="00ED627B">
        <w:rPr>
          <w:b/>
          <w:bCs/>
        </w:rPr>
        <w:t>政策制定过程材料</w:t>
      </w:r>
      <w:r w:rsidRPr="00ED627B">
        <w:t>：依据《重大行政决策程序暂行条例》，学区划分等涉及公众切身利益的重大行政决策事项，应遵循公众参与、专家论证、风险评估等程序。因此，需申请公开松江区教育局在制定调剂政策过程中的相关材料，如公众意见征集记录、专家论证报告、风险评估报告等。若教育局无法提供这些材料，或材料显示其未遵循法定程序，将证明其政策制定程序违法。</w:t>
      </w:r>
      <w:r w:rsidRPr="00ED627B">
        <w:rPr>
          <w:rFonts w:ascii="Times New Roman" w:hAnsi="Times New Roman" w:cs="Times New Roman"/>
        </w:rPr>
        <w:t>​</w:t>
      </w:r>
    </w:p>
    <w:p w14:paraId="048FC336" w14:textId="77777777" w:rsidR="00ED627B" w:rsidRPr="00ED627B" w:rsidRDefault="00ED627B" w:rsidP="00ED627B">
      <w:r w:rsidRPr="00ED627B">
        <w:t>学位信息与资源利用相关证据</w:t>
      </w:r>
      <w:r w:rsidRPr="00ED627B">
        <w:rPr>
          <w:rFonts w:ascii="Times New Roman" w:hAnsi="Times New Roman" w:cs="Times New Roman"/>
        </w:rPr>
        <w:t>​</w:t>
      </w:r>
    </w:p>
    <w:p w14:paraId="1A409103" w14:textId="77777777" w:rsidR="00ED627B" w:rsidRPr="00ED627B" w:rsidRDefault="00ED627B" w:rsidP="00ED627B">
      <w:pPr>
        <w:numPr>
          <w:ilvl w:val="0"/>
          <w:numId w:val="3"/>
        </w:numPr>
      </w:pPr>
      <w:r w:rsidRPr="00ED627B">
        <w:rPr>
          <w:b/>
          <w:bCs/>
        </w:rPr>
        <w:t>学校学位情况统计</w:t>
      </w:r>
      <w:r w:rsidRPr="00ED627B">
        <w:t>：要求松江区教育局公开 2025 年各学校的学位数量、已招生数量及空余学位数量，特别是三新东校等距离无房产家庭居住地较近学校的学位信息。若有证据表明附近学校有空余学位，而教育局却将无房产家庭子女调剂至较远学校，可证明其未充分利用教育资源，违背 “就近入学” 原则。</w:t>
      </w:r>
      <w:r w:rsidRPr="00ED627B">
        <w:rPr>
          <w:rFonts w:ascii="Times New Roman" w:hAnsi="Times New Roman" w:cs="Times New Roman"/>
        </w:rPr>
        <w:t>​</w:t>
      </w:r>
    </w:p>
    <w:p w14:paraId="3A07E1E1" w14:textId="77777777" w:rsidR="00ED627B" w:rsidRPr="00ED627B" w:rsidRDefault="00ED627B" w:rsidP="00ED627B">
      <w:pPr>
        <w:numPr>
          <w:ilvl w:val="0"/>
          <w:numId w:val="4"/>
        </w:numPr>
      </w:pPr>
      <w:r w:rsidRPr="00ED627B">
        <w:rPr>
          <w:b/>
          <w:bCs/>
        </w:rPr>
        <w:t>学位分配依据与标准</w:t>
      </w:r>
      <w:r w:rsidRPr="00ED627B">
        <w:t>：申请公开学位分配的具体依据和标准，包括如何确定调剂学校、调剂顺序等。若教育局的调剂政策在学位分配上缺乏合理依据，随意性大，将对诉讼有利。</w:t>
      </w:r>
      <w:r w:rsidRPr="00ED627B">
        <w:rPr>
          <w:rFonts w:ascii="Times New Roman" w:hAnsi="Times New Roman" w:cs="Times New Roman"/>
        </w:rPr>
        <w:t>​</w:t>
      </w:r>
    </w:p>
    <w:p w14:paraId="5B713AA5" w14:textId="77777777" w:rsidR="00ED627B" w:rsidRPr="00ED627B" w:rsidRDefault="00ED627B" w:rsidP="00ED627B">
      <w:r w:rsidRPr="00ED627B">
        <w:t>多孩家庭政策落实相关证据</w:t>
      </w:r>
      <w:r w:rsidRPr="00ED627B">
        <w:rPr>
          <w:rFonts w:ascii="Times New Roman" w:hAnsi="Times New Roman" w:cs="Times New Roman"/>
        </w:rPr>
        <w:t>​</w:t>
      </w:r>
    </w:p>
    <w:p w14:paraId="21E3B7D7" w14:textId="77777777" w:rsidR="00ED627B" w:rsidRPr="00ED627B" w:rsidRDefault="00ED627B" w:rsidP="00ED627B">
      <w:pPr>
        <w:numPr>
          <w:ilvl w:val="0"/>
          <w:numId w:val="5"/>
        </w:numPr>
      </w:pPr>
      <w:r w:rsidRPr="00ED627B">
        <w:rPr>
          <w:b/>
          <w:bCs/>
        </w:rPr>
        <w:t>“长幼随学” 政策实施细则与执行记录</w:t>
      </w:r>
      <w:r w:rsidRPr="00ED627B">
        <w:t>：公开松江区 “长幼随学” 政策的具体实施细则，以及在 2025 年招生过程中该政策的执行记录，包括申请数量、批准数量、未批准原因等。若有证据显示教育局未按规定落实 “长幼随学” 政策，对多孩家庭申请推诿、拖延或不合理拒绝，可证明其未履行对多孩家庭的政策关怀义务。</w:t>
      </w:r>
      <w:r w:rsidRPr="00ED627B">
        <w:rPr>
          <w:rFonts w:ascii="Times New Roman" w:hAnsi="Times New Roman" w:cs="Times New Roman"/>
        </w:rPr>
        <w:t>​</w:t>
      </w:r>
    </w:p>
    <w:p w14:paraId="38107C29" w14:textId="77777777" w:rsidR="00ED627B" w:rsidRPr="00ED627B" w:rsidRDefault="00ED627B" w:rsidP="00ED627B">
      <w:pPr>
        <w:numPr>
          <w:ilvl w:val="0"/>
          <w:numId w:val="6"/>
        </w:numPr>
      </w:pPr>
      <w:r w:rsidRPr="00ED627B">
        <w:rPr>
          <w:b/>
          <w:bCs/>
        </w:rPr>
        <w:t>多孩家庭特殊困难评估材料</w:t>
      </w:r>
      <w:r w:rsidRPr="00ED627B">
        <w:t>：如果可能，申请公开教育局对多孩家庭特殊困难的评估标准和相关材料。若教育局在调剂政策中未考虑多孩家庭的接送困难等实际问题，且缺乏合理的评估和应对措施，将进一步支持诉讼主张。</w:t>
      </w:r>
      <w:r w:rsidRPr="00ED627B">
        <w:rPr>
          <w:rFonts w:ascii="Times New Roman" w:hAnsi="Times New Roman" w:cs="Times New Roman"/>
        </w:rPr>
        <w:t>​</w:t>
      </w:r>
    </w:p>
    <w:p w14:paraId="6B780E8D" w14:textId="77777777" w:rsidR="00ED627B" w:rsidRPr="00ED627B" w:rsidRDefault="00ED627B" w:rsidP="00ED627B">
      <w:r w:rsidRPr="00ED627B">
        <w:t>依申请公开的流程</w:t>
      </w:r>
      <w:r w:rsidRPr="00ED627B">
        <w:rPr>
          <w:rFonts w:ascii="Times New Roman" w:hAnsi="Times New Roman" w:cs="Times New Roman"/>
        </w:rPr>
        <w:t>​</w:t>
      </w:r>
    </w:p>
    <w:p w14:paraId="77D3395F" w14:textId="77777777" w:rsidR="00ED627B" w:rsidRPr="00ED627B" w:rsidRDefault="00ED627B" w:rsidP="00ED627B">
      <w:pPr>
        <w:numPr>
          <w:ilvl w:val="0"/>
          <w:numId w:val="7"/>
        </w:numPr>
      </w:pPr>
      <w:r w:rsidRPr="00ED627B">
        <w:rPr>
          <w:b/>
          <w:bCs/>
        </w:rPr>
        <w:t>确定申请方式</w:t>
      </w:r>
      <w:r w:rsidRPr="00ED627B">
        <w:t>：松江区教育局通常接受书面申请（包括信函、传真等）和网上申请。建议优先采用网上申请方式，可通过松江区教育局官方网站的政府信息公开申请平台进行申请。若选择书面申请，需准备好相关材料并寄送至教育局指定的政府信息公开工作机构地址。</w:t>
      </w:r>
      <w:r w:rsidRPr="00ED627B">
        <w:rPr>
          <w:rFonts w:ascii="Times New Roman" w:hAnsi="Times New Roman" w:cs="Times New Roman"/>
        </w:rPr>
        <w:t>​</w:t>
      </w:r>
    </w:p>
    <w:p w14:paraId="7D4CDEFB" w14:textId="77777777" w:rsidR="00ED627B" w:rsidRPr="00ED627B" w:rsidRDefault="00ED627B" w:rsidP="00ED627B">
      <w:pPr>
        <w:numPr>
          <w:ilvl w:val="0"/>
          <w:numId w:val="8"/>
        </w:numPr>
      </w:pPr>
      <w:r w:rsidRPr="00ED627B">
        <w:rPr>
          <w:b/>
          <w:bCs/>
        </w:rPr>
        <w:t>撰写申请内容</w:t>
      </w:r>
      <w:r w:rsidRPr="00ED627B">
        <w:t>：在申请书中，应明确申请人的姓名、联系方式、地址等个人信息；清晰说明申请公开的政府信息的名称、文号或者便于行政机关查询的其他特征性描述，例如 “松江区教育局关于 2025 年无房产家庭子女调剂政策的正式文件及制定过程材料”；并注明获取信息的方式（如电子邮件、邮寄等）和用途。</w:t>
      </w:r>
      <w:r w:rsidRPr="00ED627B">
        <w:rPr>
          <w:rFonts w:ascii="Times New Roman" w:hAnsi="Times New Roman" w:cs="Times New Roman"/>
        </w:rPr>
        <w:t>​</w:t>
      </w:r>
    </w:p>
    <w:p w14:paraId="09132B90" w14:textId="77777777" w:rsidR="00ED627B" w:rsidRPr="00ED627B" w:rsidRDefault="00ED627B" w:rsidP="00ED627B">
      <w:pPr>
        <w:numPr>
          <w:ilvl w:val="0"/>
          <w:numId w:val="9"/>
        </w:numPr>
      </w:pPr>
      <w:r w:rsidRPr="00ED627B">
        <w:rPr>
          <w:b/>
          <w:bCs/>
        </w:rPr>
        <w:t>跟进申请进度</w:t>
      </w:r>
      <w:r w:rsidRPr="00ED627B">
        <w:t>：提交申请后，可通过申请平台或与教育局信息公开工作机构联系，了解申请的受理情况和办理进度。根据《政府信息公开条例》，行政机关一般应在收到申请之日起 20 个工作日内予以答复，如需延长答复期限，应告知申请人，延长的期限最长不得超过 20 个工作日。若教育局未在规定期限内答复，或答复内容不符合要求，可采取进一步措施，如向上级行政机关投诉或在诉讼中作为教育局不作为的证据。</w:t>
      </w:r>
    </w:p>
    <w:p w14:paraId="0BD169DB" w14:textId="77777777" w:rsidR="00CC2B8F" w:rsidRPr="00ED627B" w:rsidRDefault="00CC2B8F">
      <w:pPr>
        <w:rPr>
          <w:rFonts w:hint="eastAsia"/>
        </w:rPr>
      </w:pPr>
    </w:p>
    <w:sectPr w:rsidR="00CC2B8F" w:rsidRPr="00ED62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389"/>
    <w:multiLevelType w:val="multilevel"/>
    <w:tmpl w:val="3572C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94489"/>
    <w:multiLevelType w:val="multilevel"/>
    <w:tmpl w:val="F3A82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C3B49"/>
    <w:multiLevelType w:val="multilevel"/>
    <w:tmpl w:val="388A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D7A25"/>
    <w:multiLevelType w:val="multilevel"/>
    <w:tmpl w:val="67E2D3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65EEC"/>
    <w:multiLevelType w:val="multilevel"/>
    <w:tmpl w:val="9848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B06E88"/>
    <w:multiLevelType w:val="multilevel"/>
    <w:tmpl w:val="68AE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AB6FF8"/>
    <w:multiLevelType w:val="multilevel"/>
    <w:tmpl w:val="B49672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97026C"/>
    <w:multiLevelType w:val="multilevel"/>
    <w:tmpl w:val="0DD4B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1D209B"/>
    <w:multiLevelType w:val="multilevel"/>
    <w:tmpl w:val="1AD81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145824">
    <w:abstractNumId w:val="4"/>
  </w:num>
  <w:num w:numId="2" w16cid:durableId="805706259">
    <w:abstractNumId w:val="3"/>
  </w:num>
  <w:num w:numId="3" w16cid:durableId="366300978">
    <w:abstractNumId w:val="0"/>
  </w:num>
  <w:num w:numId="4" w16cid:durableId="1073813595">
    <w:abstractNumId w:val="8"/>
  </w:num>
  <w:num w:numId="5" w16cid:durableId="2010786043">
    <w:abstractNumId w:val="2"/>
  </w:num>
  <w:num w:numId="6" w16cid:durableId="1988894999">
    <w:abstractNumId w:val="6"/>
  </w:num>
  <w:num w:numId="7" w16cid:durableId="2040009205">
    <w:abstractNumId w:val="5"/>
  </w:num>
  <w:num w:numId="8" w16cid:durableId="1867059370">
    <w:abstractNumId w:val="1"/>
  </w:num>
  <w:num w:numId="9" w16cid:durableId="1902062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27B"/>
    <w:rsid w:val="004669BB"/>
    <w:rsid w:val="00820AC4"/>
    <w:rsid w:val="00CC2B8F"/>
    <w:rsid w:val="00ED62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D59DF"/>
  <w15:chartTrackingRefBased/>
  <w15:docId w15:val="{A93C2BC1-E28A-4EEC-AE6D-A4E942EC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62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D62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D62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D62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D627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D627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D62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62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D62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62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D62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D62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D627B"/>
    <w:rPr>
      <w:rFonts w:cstheme="majorBidi"/>
      <w:color w:val="0F4761" w:themeColor="accent1" w:themeShade="BF"/>
      <w:sz w:val="28"/>
      <w:szCs w:val="28"/>
    </w:rPr>
  </w:style>
  <w:style w:type="character" w:customStyle="1" w:styleId="50">
    <w:name w:val="标题 5 字符"/>
    <w:basedOn w:val="a0"/>
    <w:link w:val="5"/>
    <w:uiPriority w:val="9"/>
    <w:semiHidden/>
    <w:rsid w:val="00ED627B"/>
    <w:rPr>
      <w:rFonts w:cstheme="majorBidi"/>
      <w:color w:val="0F4761" w:themeColor="accent1" w:themeShade="BF"/>
      <w:sz w:val="24"/>
      <w:szCs w:val="24"/>
    </w:rPr>
  </w:style>
  <w:style w:type="character" w:customStyle="1" w:styleId="60">
    <w:name w:val="标题 6 字符"/>
    <w:basedOn w:val="a0"/>
    <w:link w:val="6"/>
    <w:uiPriority w:val="9"/>
    <w:semiHidden/>
    <w:rsid w:val="00ED627B"/>
    <w:rPr>
      <w:rFonts w:cstheme="majorBidi"/>
      <w:b/>
      <w:bCs/>
      <w:color w:val="0F4761" w:themeColor="accent1" w:themeShade="BF"/>
    </w:rPr>
  </w:style>
  <w:style w:type="character" w:customStyle="1" w:styleId="70">
    <w:name w:val="标题 7 字符"/>
    <w:basedOn w:val="a0"/>
    <w:link w:val="7"/>
    <w:uiPriority w:val="9"/>
    <w:semiHidden/>
    <w:rsid w:val="00ED627B"/>
    <w:rPr>
      <w:rFonts w:cstheme="majorBidi"/>
      <w:b/>
      <w:bCs/>
      <w:color w:val="595959" w:themeColor="text1" w:themeTint="A6"/>
    </w:rPr>
  </w:style>
  <w:style w:type="character" w:customStyle="1" w:styleId="80">
    <w:name w:val="标题 8 字符"/>
    <w:basedOn w:val="a0"/>
    <w:link w:val="8"/>
    <w:uiPriority w:val="9"/>
    <w:semiHidden/>
    <w:rsid w:val="00ED627B"/>
    <w:rPr>
      <w:rFonts w:cstheme="majorBidi"/>
      <w:color w:val="595959" w:themeColor="text1" w:themeTint="A6"/>
    </w:rPr>
  </w:style>
  <w:style w:type="character" w:customStyle="1" w:styleId="90">
    <w:name w:val="标题 9 字符"/>
    <w:basedOn w:val="a0"/>
    <w:link w:val="9"/>
    <w:uiPriority w:val="9"/>
    <w:semiHidden/>
    <w:rsid w:val="00ED627B"/>
    <w:rPr>
      <w:rFonts w:eastAsiaTheme="majorEastAsia" w:cstheme="majorBidi"/>
      <w:color w:val="595959" w:themeColor="text1" w:themeTint="A6"/>
    </w:rPr>
  </w:style>
  <w:style w:type="paragraph" w:styleId="a3">
    <w:name w:val="Title"/>
    <w:basedOn w:val="a"/>
    <w:next w:val="a"/>
    <w:link w:val="a4"/>
    <w:uiPriority w:val="10"/>
    <w:qFormat/>
    <w:rsid w:val="00ED62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62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62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62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627B"/>
    <w:pPr>
      <w:spacing w:before="160" w:after="160"/>
      <w:jc w:val="center"/>
    </w:pPr>
    <w:rPr>
      <w:i/>
      <w:iCs/>
      <w:color w:val="404040" w:themeColor="text1" w:themeTint="BF"/>
    </w:rPr>
  </w:style>
  <w:style w:type="character" w:customStyle="1" w:styleId="a8">
    <w:name w:val="引用 字符"/>
    <w:basedOn w:val="a0"/>
    <w:link w:val="a7"/>
    <w:uiPriority w:val="29"/>
    <w:rsid w:val="00ED627B"/>
    <w:rPr>
      <w:i/>
      <w:iCs/>
      <w:color w:val="404040" w:themeColor="text1" w:themeTint="BF"/>
    </w:rPr>
  </w:style>
  <w:style w:type="paragraph" w:styleId="a9">
    <w:name w:val="List Paragraph"/>
    <w:basedOn w:val="a"/>
    <w:uiPriority w:val="34"/>
    <w:qFormat/>
    <w:rsid w:val="00ED627B"/>
    <w:pPr>
      <w:ind w:left="720"/>
      <w:contextualSpacing/>
    </w:pPr>
  </w:style>
  <w:style w:type="character" w:styleId="aa">
    <w:name w:val="Intense Emphasis"/>
    <w:basedOn w:val="a0"/>
    <w:uiPriority w:val="21"/>
    <w:qFormat/>
    <w:rsid w:val="00ED627B"/>
    <w:rPr>
      <w:i/>
      <w:iCs/>
      <w:color w:val="0F4761" w:themeColor="accent1" w:themeShade="BF"/>
    </w:rPr>
  </w:style>
  <w:style w:type="paragraph" w:styleId="ab">
    <w:name w:val="Intense Quote"/>
    <w:basedOn w:val="a"/>
    <w:next w:val="a"/>
    <w:link w:val="ac"/>
    <w:uiPriority w:val="30"/>
    <w:qFormat/>
    <w:rsid w:val="00ED6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D627B"/>
    <w:rPr>
      <w:i/>
      <w:iCs/>
      <w:color w:val="0F4761" w:themeColor="accent1" w:themeShade="BF"/>
    </w:rPr>
  </w:style>
  <w:style w:type="character" w:styleId="ad">
    <w:name w:val="Intense Reference"/>
    <w:basedOn w:val="a0"/>
    <w:uiPriority w:val="32"/>
    <w:qFormat/>
    <w:rsid w:val="00ED6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1120</Characters>
  <Application>Microsoft Office Word</Application>
  <DocSecurity>0</DocSecurity>
  <Lines>9</Lines>
  <Paragraphs>2</Paragraphs>
  <ScaleCrop>false</ScaleCrop>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2025-08-23T05:17:00Z</dcterms:created>
  <dcterms:modified xsi:type="dcterms:W3CDTF">2025-08-23T05:18:00Z</dcterms:modified>
</cp:coreProperties>
</file>