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A5E8C"/>
          <w:sz w:val="48"/>
        </w:rPr>
        <w:t>SHARK HUMAN ALLIANCE</w:t>
      </w:r>
    </w:p>
    <w:p>
      <w:pPr>
        <w:jc w:val="center"/>
      </w:pPr>
      <w:r>
        <w:rPr>
          <w:rFonts w:ascii="Arial" w:hAnsi="Arial"/>
          <w:color w:val="667085"/>
          <w:sz w:val="28"/>
        </w:rPr>
        <w:t>Implementační plán webu</w:t>
      </w:r>
    </w:p>
    <w:p>
      <w:pPr>
        <w:spacing w:after="480"/>
        <w:jc w:val="center"/>
      </w:pPr>
      <w:r>
        <w:rPr>
          <w:rFonts w:ascii="Arial" w:hAnsi="Arial"/>
          <w:color w:val="667085"/>
          <w:sz w:val="20"/>
        </w:rPr>
        <w:t>Verze 1.0  |  Březen 2026</w:t>
      </w:r>
    </w:p>
    <w:p>
      <w:pPr>
        <w:pStyle w:val="Heading1"/>
      </w:pPr>
      <w:r>
        <w:t>Shrnutí</w:t>
      </w:r>
    </w:p>
    <w:p>
      <w:r>
        <w:rPr>
          <w:rFonts w:ascii="Arial" w:hAnsi="Arial"/>
          <w:sz w:val="20"/>
        </w:rPr>
        <w:t>Tento dokument obsahuje strukturovaný plán implementace všech doporučení pro web Shark Human Alliance. Doporučení jsou rozdělena do 4 fází podle priority a náročnosti. Položky označené v původním zadání jako „ke zvážení“ mají sníženou prioritu (LOW).</w:t>
      </w:r>
    </w:p>
    <w:p>
      <w:r>
        <w:rPr>
          <w:rFonts w:ascii="Arial" w:hAnsi="Arial"/>
          <w:sz w:val="20"/>
        </w:rPr>
      </w:r>
    </w:p>
    <w:p>
      <w:r>
        <w:rPr>
          <w:rFonts w:ascii="Arial" w:hAnsi="Arial"/>
          <w:b/>
          <w:sz w:val="20"/>
        </w:rPr>
        <w:t xml:space="preserve">Klíčové priority: </w:t>
      </w:r>
      <w:r>
        <w:rPr>
          <w:rFonts w:ascii="Arial" w:hAnsi="Arial"/>
          <w:sz w:val="20"/>
        </w:rPr>
        <w:t>E-mail na web, partnerské organizace pro důvěryhodnost, oprava faktických claimů, live preview certifikátu, gift flow, a samostatná Impact stránka.</w:t>
      </w:r>
    </w:p>
    <w:p>
      <w:pPr>
        <w:pStyle w:val="Heading1"/>
      </w:pPr>
      <w:r>
        <w:t>Přehled fází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984"/>
            <w:shd w:fill="0A5E8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Fáze</w:t>
            </w:r>
          </w:p>
        </w:tc>
        <w:tc>
          <w:tcPr>
            <w:tcW w:type="dxa" w:w="3685"/>
            <w:shd w:fill="0A5E8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Zaměření</w:t>
            </w:r>
          </w:p>
        </w:tc>
        <w:tc>
          <w:tcPr>
            <w:tcW w:type="dxa" w:w="1701"/>
            <w:shd w:fill="0A5E8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Čas</w:t>
            </w:r>
          </w:p>
        </w:tc>
        <w:tc>
          <w:tcPr>
            <w:tcW w:type="dxa" w:w="1701"/>
            <w:shd w:fill="0A5E8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Počet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/>
                <w:b/>
                <w:sz w:val="18"/>
              </w:rPr>
              <w:t>Fáze 1</w:t>
            </w:r>
          </w:p>
        </w:tc>
        <w:tc>
          <w:tcPr>
            <w:tcW w:type="dxa" w:w="3685"/>
          </w:tcPr>
          <w:p>
            <w:r/>
            <w:r>
              <w:rPr>
                <w:rFonts w:ascii="Arial" w:hAnsi="Arial"/>
                <w:sz w:val="18"/>
              </w:rPr>
              <w:t>Rychlé výhry a důvěryhodnost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18"/>
              </w:rPr>
              <w:t>1–2 dny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18"/>
              </w:rPr>
              <w:t>6 úkolů</w:t>
            </w:r>
          </w:p>
        </w:tc>
      </w:tr>
      <w:tr>
        <w:tc>
          <w:tcPr>
            <w:tcW w:type="dxa" w:w="1984"/>
            <w:shd w:fill="F8FAFC" w:val="clear"/>
          </w:tcPr>
          <w:p>
            <w:r/>
            <w:r>
              <w:rPr>
                <w:rFonts w:ascii="Arial" w:hAnsi="Arial"/>
                <w:b/>
                <w:sz w:val="18"/>
              </w:rPr>
              <w:t>Fáze 2</w:t>
            </w:r>
          </w:p>
        </w:tc>
        <w:tc>
          <w:tcPr>
            <w:tcW w:type="dxa" w:w="3685"/>
            <w:shd w:fill="F8FAFC" w:val="clear"/>
          </w:tcPr>
          <w:p>
            <w:r/>
            <w:r>
              <w:rPr>
                <w:rFonts w:ascii="Arial" w:hAnsi="Arial"/>
                <w:sz w:val="18"/>
              </w:rPr>
              <w:t>UX a konverze</w:t>
            </w:r>
          </w:p>
        </w:tc>
        <w:tc>
          <w:tcPr>
            <w:tcW w:type="dxa" w:w="1701"/>
            <w:shd w:fill="F8FAFC" w:val="clear"/>
          </w:tcPr>
          <w:p>
            <w:r/>
            <w:r>
              <w:rPr>
                <w:rFonts w:ascii="Arial" w:hAnsi="Arial"/>
                <w:sz w:val="18"/>
              </w:rPr>
              <w:t>3–5 dní</w:t>
            </w:r>
          </w:p>
        </w:tc>
        <w:tc>
          <w:tcPr>
            <w:tcW w:type="dxa" w:w="1701"/>
            <w:shd w:fill="F8FAFC" w:val="clear"/>
          </w:tcPr>
          <w:p>
            <w:r/>
            <w:r>
              <w:rPr>
                <w:rFonts w:ascii="Arial" w:hAnsi="Arial"/>
                <w:sz w:val="18"/>
              </w:rPr>
              <w:t>7 úkolů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/>
                <w:b/>
                <w:sz w:val="18"/>
              </w:rPr>
              <w:t>Fáze 3</w:t>
            </w:r>
          </w:p>
        </w:tc>
        <w:tc>
          <w:tcPr>
            <w:tcW w:type="dxa" w:w="3685"/>
          </w:tcPr>
          <w:p>
            <w:r/>
            <w:r>
              <w:rPr>
                <w:rFonts w:ascii="Arial" w:hAnsi="Arial"/>
                <w:sz w:val="18"/>
              </w:rPr>
              <w:t>Nové stránky a rozšíření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18"/>
              </w:rPr>
              <w:t>5–10 dní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18"/>
              </w:rPr>
              <w:t>4 úkolů</w:t>
            </w:r>
          </w:p>
        </w:tc>
      </w:tr>
      <w:tr>
        <w:tc>
          <w:tcPr>
            <w:tcW w:type="dxa" w:w="1984"/>
            <w:shd w:fill="F8FAFC" w:val="clear"/>
          </w:tcPr>
          <w:p>
            <w:r/>
            <w:r>
              <w:rPr>
                <w:rFonts w:ascii="Arial" w:hAnsi="Arial"/>
                <w:b/>
                <w:sz w:val="18"/>
              </w:rPr>
              <w:t>Fáze 4</w:t>
            </w:r>
          </w:p>
        </w:tc>
        <w:tc>
          <w:tcPr>
            <w:tcW w:type="dxa" w:w="3685"/>
            <w:shd w:fill="F8FAFC" w:val="clear"/>
          </w:tcPr>
          <w:p>
            <w:r/>
            <w:r>
              <w:rPr>
                <w:rFonts w:ascii="Arial" w:hAnsi="Arial"/>
                <w:sz w:val="18"/>
              </w:rPr>
              <w:t>Obsahová strategie a monetizace</w:t>
            </w:r>
          </w:p>
        </w:tc>
        <w:tc>
          <w:tcPr>
            <w:tcW w:type="dxa" w:w="1701"/>
            <w:shd w:fill="F8FAFC" w:val="clear"/>
          </w:tcPr>
          <w:p>
            <w:r/>
            <w:r>
              <w:rPr>
                <w:rFonts w:ascii="Arial" w:hAnsi="Arial"/>
                <w:sz w:val="18"/>
              </w:rPr>
              <w:t>2–4 týdny</w:t>
            </w:r>
          </w:p>
        </w:tc>
        <w:tc>
          <w:tcPr>
            <w:tcW w:type="dxa" w:w="1701"/>
            <w:shd w:fill="F8FAFC" w:val="clear"/>
          </w:tcPr>
          <w:p>
            <w:r/>
            <w:r>
              <w:rPr>
                <w:rFonts w:ascii="Arial" w:hAnsi="Arial"/>
                <w:sz w:val="18"/>
              </w:rPr>
              <w:t>3 úkolů</w:t>
            </w:r>
          </w:p>
        </w:tc>
      </w:tr>
    </w:tbl>
    <w:p>
      <w:pPr>
        <w:pStyle w:val="Heading1"/>
      </w:pPr>
      <w:r>
        <w:t>Fáze 1 — Rychlé výhry a důvěryhodnost</w:t>
      </w:r>
    </w:p>
    <w:p>
      <w:r>
        <w:rPr>
          <w:rFonts w:ascii="Arial" w:hAnsi="Arial"/>
          <w:b/>
          <w:sz w:val="20"/>
        </w:rPr>
        <w:t xml:space="preserve">Odhadovaný čas: </w:t>
      </w:r>
      <w:r>
        <w:rPr>
          <w:rFonts w:ascii="Arial" w:hAnsi="Arial"/>
          <w:sz w:val="20"/>
        </w:rPr>
        <w:t>1–2 dny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fill="0A5E8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1701"/>
            <w:shd w:fill="0A5E8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Úkol</w:t>
            </w:r>
          </w:p>
        </w:tc>
        <w:tc>
          <w:tcPr>
            <w:tcW w:type="dxa" w:w="3118"/>
            <w:shd w:fill="0A5E8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Popis</w:t>
            </w:r>
          </w:p>
        </w:tc>
        <w:tc>
          <w:tcPr>
            <w:tcW w:type="dxa" w:w="1020"/>
            <w:shd w:fill="0A5E8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Priorita</w:t>
            </w:r>
          </w:p>
        </w:tc>
        <w:tc>
          <w:tcPr>
            <w:tcW w:type="dxa" w:w="850"/>
            <w:shd w:fill="0A5E8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Čas</w:t>
            </w:r>
          </w:p>
        </w:tc>
        <w:tc>
          <w:tcPr>
            <w:tcW w:type="dxa" w:w="2268"/>
            <w:shd w:fill="0A5E8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Soubory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Arial" w:hAnsi="Arial"/>
                <w:b/>
                <w:sz w:val="18"/>
              </w:rPr>
              <w:t>1.1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/>
                <w:sz w:val="18"/>
              </w:rPr>
              <w:t>E-mail na web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/>
                <w:sz w:val="18"/>
              </w:rPr>
              <w:t>Přidat sharkhumanalliance@gmail.com do footeru a na budoucí Impact stránku.</w:t>
            </w:r>
          </w:p>
        </w:tc>
        <w:tc>
          <w:tcPr>
            <w:tcW w:type="dxa" w:w="1020"/>
            <w:shd w:fill="FEF2F2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D9534F"/>
                <w:sz w:val="18"/>
              </w:rPr>
              <w:t>HIGH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&lt; 1h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color w:val="667085"/>
                <w:sz w:val="16"/>
              </w:rPr>
              <w:t>site-footer.tsx, en/es.json</w:t>
            </w:r>
          </w:p>
        </w:tc>
      </w:tr>
      <w:tr>
        <w:tc>
          <w:tcPr>
            <w:tcW w:type="dxa" w:w="680"/>
            <w:shd w:fill="F8FAFC" w:val="clear"/>
          </w:tcPr>
          <w:p>
            <w:r/>
            <w:r>
              <w:rPr>
                <w:rFonts w:ascii="Arial" w:hAnsi="Arial"/>
                <w:b/>
                <w:sz w:val="18"/>
              </w:rPr>
              <w:t>1.2</w:t>
            </w:r>
          </w:p>
        </w:tc>
        <w:tc>
          <w:tcPr>
            <w:tcW w:type="dxa" w:w="1701"/>
            <w:shd w:fill="F8FAFC" w:val="clear"/>
          </w:tcPr>
          <w:p>
            <w:r/>
            <w:r>
              <w:rPr>
                <w:rFonts w:ascii="Arial" w:hAnsi="Arial"/>
                <w:b/>
                <w:sz w:val="18"/>
              </w:rPr>
              <w:t>Partnerské organizace</w:t>
            </w:r>
          </w:p>
        </w:tc>
        <w:tc>
          <w:tcPr>
            <w:tcW w:type="dxa" w:w="3118"/>
            <w:shd w:fill="F8FAFC" w:val="clear"/>
          </w:tcPr>
          <w:p>
            <w:r/>
            <w:r>
              <w:rPr>
                <w:rFonts w:ascii="Arial" w:hAnsi="Arial"/>
                <w:sz w:val="18"/>
              </w:rPr>
              <w:t>Přidat 3–4 organizace (Shark Trust, Oceana, Shark Conservation Fund, Malpelo Foundation) jako „planned partners“ s logy a odkazy do sekce Real Impact. Zásadní pro důvěryhodnost.</w:t>
            </w:r>
          </w:p>
        </w:tc>
        <w:tc>
          <w:tcPr>
            <w:tcW w:type="dxa" w:w="1020"/>
            <w:shd w:fill="F8FAFC" w:val="clear"/>
            <w:shd w:fill="FEF2F2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D9534F"/>
                <w:sz w:val="18"/>
              </w:rPr>
              <w:t>HIGH</w:t>
            </w:r>
          </w:p>
        </w:tc>
        <w:tc>
          <w:tcPr>
            <w:tcW w:type="dxa" w:w="850"/>
            <w:shd w:fill="F8FAFC" w:val="clear"/>
          </w:tcPr>
          <w:p>
            <w:r/>
            <w:r>
              <w:rPr>
                <w:rFonts w:ascii="Arial" w:hAnsi="Arial"/>
                <w:sz w:val="18"/>
              </w:rPr>
              <w:t>2–3h</w:t>
            </w:r>
          </w:p>
        </w:tc>
        <w:tc>
          <w:tcPr>
            <w:tcW w:type="dxa" w:w="2268"/>
            <w:shd w:fill="F8FAFC" w:val="clear"/>
          </w:tcPr>
          <w:p>
            <w:r/>
            <w:r>
              <w:rPr>
                <w:rFonts w:ascii="Arial" w:hAnsi="Arial"/>
                <w:color w:val="667085"/>
                <w:sz w:val="16"/>
              </w:rPr>
              <w:t>home-content.tsx, en/es.json, public/logos/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Arial" w:hAnsi="Arial"/>
                <w:b/>
                <w:sz w:val="18"/>
              </w:rPr>
              <w:t>1.3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/>
                <w:sz w:val="18"/>
              </w:rPr>
              <w:t>Opravit statistiky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/>
                <w:sz w:val="18"/>
              </w:rPr>
              <w:t>~5 humans → „human fatalities remain in the single digits globally“. 100M → „estimated 100 million+“. Zachovat „one third“ s odkazem na IUCN.</w:t>
            </w:r>
          </w:p>
        </w:tc>
        <w:tc>
          <w:tcPr>
            <w:tcW w:type="dxa" w:w="1020"/>
            <w:shd w:fill="FEF2F2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D9534F"/>
                <w:sz w:val="18"/>
              </w:rPr>
              <w:t>HIGH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&lt; 1h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color w:val="667085"/>
                <w:sz w:val="16"/>
              </w:rPr>
              <w:t>en.json, es.json</w:t>
            </w:r>
          </w:p>
        </w:tc>
      </w:tr>
      <w:tr>
        <w:tc>
          <w:tcPr>
            <w:tcW w:type="dxa" w:w="680"/>
            <w:shd w:fill="F8FAFC" w:val="clear"/>
          </w:tcPr>
          <w:p>
            <w:r/>
            <w:r>
              <w:rPr>
                <w:rFonts w:ascii="Arial" w:hAnsi="Arial"/>
                <w:b/>
                <w:sz w:val="18"/>
              </w:rPr>
              <w:t>1.4</w:t>
            </w:r>
          </w:p>
        </w:tc>
        <w:tc>
          <w:tcPr>
            <w:tcW w:type="dxa" w:w="1701"/>
            <w:shd w:fill="F8FAFC" w:val="clear"/>
          </w:tcPr>
          <w:p>
            <w:r/>
            <w:r>
              <w:rPr>
                <w:rFonts w:ascii="Arial" w:hAnsi="Arial"/>
                <w:b/>
                <w:sz w:val="18"/>
              </w:rPr>
              <w:t>Reporting cadence</w:t>
            </w:r>
          </w:p>
        </w:tc>
        <w:tc>
          <w:tcPr>
            <w:tcW w:type="dxa" w:w="3118"/>
            <w:shd w:fill="F8FAFC" w:val="clear"/>
          </w:tcPr>
          <w:p>
            <w:r/>
            <w:r>
              <w:rPr>
                <w:rFonts w:ascii="Arial" w:hAnsi="Arial"/>
                <w:sz w:val="18"/>
              </w:rPr>
              <w:t>„Reports coming as soon as...“ → „Reports published quarterly once donations begin.“</w:t>
            </w:r>
          </w:p>
        </w:tc>
        <w:tc>
          <w:tcPr>
            <w:tcW w:type="dxa" w:w="1020"/>
            <w:shd w:fill="F8FAFC" w:val="clear"/>
            <w:shd w:fill="FEF2F2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D9534F"/>
                <w:sz w:val="18"/>
              </w:rPr>
              <w:t>HIGH</w:t>
            </w:r>
          </w:p>
        </w:tc>
        <w:tc>
          <w:tcPr>
            <w:tcW w:type="dxa" w:w="850"/>
            <w:shd w:fill="F8FAFC" w:val="clear"/>
          </w:tcPr>
          <w:p>
            <w:r/>
            <w:r>
              <w:rPr>
                <w:rFonts w:ascii="Arial" w:hAnsi="Arial"/>
                <w:sz w:val="18"/>
              </w:rPr>
              <w:t>&lt; 30min</w:t>
            </w:r>
          </w:p>
        </w:tc>
        <w:tc>
          <w:tcPr>
            <w:tcW w:type="dxa" w:w="2268"/>
            <w:shd w:fill="F8FAFC" w:val="clear"/>
          </w:tcPr>
          <w:p>
            <w:r/>
            <w:r>
              <w:rPr>
                <w:rFonts w:ascii="Arial" w:hAnsi="Arial"/>
                <w:color w:val="667085"/>
                <w:sz w:val="16"/>
              </w:rPr>
              <w:t>en.json, es.json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Arial" w:hAnsi="Arial"/>
                <w:b/>
                <w:sz w:val="18"/>
              </w:rPr>
              <w:t>1.5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/>
                <w:sz w:val="18"/>
              </w:rPr>
              <w:t>Registry empty state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/>
                <w:sz w:val="18"/>
              </w:rPr>
              <w:t>Místo 0/0/0/0 zobrazit „Founding diplomats will appear here first“ nebo „No one is officially uneaten yet.“</w:t>
            </w:r>
          </w:p>
        </w:tc>
        <w:tc>
          <w:tcPr>
            <w:tcW w:type="dxa" w:w="1020"/>
            <w:shd w:fill="FEF2F2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D9534F"/>
                <w:sz w:val="18"/>
              </w:rPr>
              <w:t>HIGH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1h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color w:val="667085"/>
                <w:sz w:val="16"/>
              </w:rPr>
              <w:t>registry-content.tsx, en/es.json</w:t>
            </w:r>
          </w:p>
        </w:tc>
      </w:tr>
      <w:tr>
        <w:tc>
          <w:tcPr>
            <w:tcW w:type="dxa" w:w="680"/>
            <w:shd w:fill="F8FAFC" w:val="clear"/>
          </w:tcPr>
          <w:p>
            <w:r/>
            <w:r>
              <w:rPr>
                <w:rFonts w:ascii="Arial" w:hAnsi="Arial"/>
                <w:b/>
                <w:sz w:val="18"/>
              </w:rPr>
              <w:t>1.6</w:t>
            </w:r>
          </w:p>
        </w:tc>
        <w:tc>
          <w:tcPr>
            <w:tcW w:type="dxa" w:w="1701"/>
            <w:shd w:fill="F8FAFC" w:val="clear"/>
          </w:tcPr>
          <w:p>
            <w:r/>
            <w:r>
              <w:rPr>
                <w:rFonts w:ascii="Arial" w:hAnsi="Arial"/>
                <w:b/>
                <w:sz w:val="18"/>
              </w:rPr>
              <w:t>Checkout micro-copy</w:t>
            </w:r>
          </w:p>
        </w:tc>
        <w:tc>
          <w:tcPr>
            <w:tcW w:type="dxa" w:w="3118"/>
            <w:shd w:fill="F8FAFC" w:val="clear"/>
          </w:tcPr>
          <w:p>
            <w:r/>
            <w:r>
              <w:rPr>
                <w:rFonts w:ascii="Arial" w:hAnsi="Arial"/>
                <w:sz w:val="18"/>
              </w:rPr>
              <w:t>Checkout → Diplomatic Clearance, Order summary → Diplomatic Briefing, Payment → Secure Payment (Sharks can't read card numbers), Complete → Issue My Certificate.</w:t>
            </w:r>
          </w:p>
        </w:tc>
        <w:tc>
          <w:tcPr>
            <w:tcW w:type="dxa" w:w="1020"/>
            <w:shd w:fill="F8FAFC" w:val="clear"/>
            <w:shd w:fill="FFFBEB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D97706"/>
                <w:sz w:val="18"/>
              </w:rPr>
              <w:t>MEDIUM</w:t>
            </w:r>
          </w:p>
        </w:tc>
        <w:tc>
          <w:tcPr>
            <w:tcW w:type="dxa" w:w="850"/>
            <w:shd w:fill="F8FAFC" w:val="clear"/>
          </w:tcPr>
          <w:p>
            <w:r/>
            <w:r>
              <w:rPr>
                <w:rFonts w:ascii="Arial" w:hAnsi="Arial"/>
                <w:sz w:val="18"/>
              </w:rPr>
              <w:t>1h</w:t>
            </w:r>
          </w:p>
        </w:tc>
        <w:tc>
          <w:tcPr>
            <w:tcW w:type="dxa" w:w="2268"/>
            <w:shd w:fill="F8FAFC" w:val="clear"/>
          </w:tcPr>
          <w:p>
            <w:r/>
            <w:r>
              <w:rPr>
                <w:rFonts w:ascii="Arial" w:hAnsi="Arial"/>
                <w:color w:val="667085"/>
                <w:sz w:val="16"/>
              </w:rPr>
              <w:t>purchase-flow.tsx, en/es.json</w:t>
            </w:r>
          </w:p>
        </w:tc>
      </w:tr>
    </w:tbl>
    <w:p>
      <w:pPr>
        <w:pStyle w:val="Heading1"/>
      </w:pPr>
      <w:r>
        <w:t>Fáze 2 — UX a konverze</w:t>
      </w:r>
    </w:p>
    <w:p>
      <w:r>
        <w:rPr>
          <w:rFonts w:ascii="Arial" w:hAnsi="Arial"/>
          <w:b/>
          <w:sz w:val="20"/>
        </w:rPr>
        <w:t xml:space="preserve">Odhadovaný čas: </w:t>
      </w:r>
      <w:r>
        <w:rPr>
          <w:rFonts w:ascii="Arial" w:hAnsi="Arial"/>
          <w:sz w:val="20"/>
        </w:rPr>
        <w:t>3–5 dní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fill="0A5E8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1701"/>
            <w:shd w:fill="0A5E8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Úkol</w:t>
            </w:r>
          </w:p>
        </w:tc>
        <w:tc>
          <w:tcPr>
            <w:tcW w:type="dxa" w:w="3118"/>
            <w:shd w:fill="0A5E8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Popis</w:t>
            </w:r>
          </w:p>
        </w:tc>
        <w:tc>
          <w:tcPr>
            <w:tcW w:type="dxa" w:w="1020"/>
            <w:shd w:fill="0A5E8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Priorita</w:t>
            </w:r>
          </w:p>
        </w:tc>
        <w:tc>
          <w:tcPr>
            <w:tcW w:type="dxa" w:w="850"/>
            <w:shd w:fill="0A5E8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Čas</w:t>
            </w:r>
          </w:p>
        </w:tc>
        <w:tc>
          <w:tcPr>
            <w:tcW w:type="dxa" w:w="2268"/>
            <w:shd w:fill="0A5E8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Soubory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Arial" w:hAnsi="Arial"/>
                <w:b/>
                <w:sz w:val="18"/>
              </w:rPr>
              <w:t>2.1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/>
                <w:sz w:val="18"/>
              </w:rPr>
              <w:t>Live preview certifikátu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/>
                <w:sz w:val="18"/>
              </w:rPr>
              <w:t>Input pro jméno přímo na homepage — uživatel zadá jméno a ihned vidí certifikát. Umístit pod hero. Conversion block: „Enter a name“ → „See your certificate“.</w:t>
            </w:r>
          </w:p>
        </w:tc>
        <w:tc>
          <w:tcPr>
            <w:tcW w:type="dxa" w:w="1020"/>
            <w:shd w:fill="FEF2F2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D9534F"/>
                <w:sz w:val="18"/>
              </w:rPr>
              <w:t>HIGH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3–4h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color w:val="667085"/>
                <w:sz w:val="16"/>
              </w:rPr>
              <w:t>home-content.tsx, certificate-preview.tsx</w:t>
            </w:r>
          </w:p>
        </w:tc>
      </w:tr>
      <w:tr>
        <w:tc>
          <w:tcPr>
            <w:tcW w:type="dxa" w:w="680"/>
            <w:shd w:fill="F8FAFC" w:val="clear"/>
          </w:tcPr>
          <w:p>
            <w:r/>
            <w:r>
              <w:rPr>
                <w:rFonts w:ascii="Arial" w:hAnsi="Arial"/>
                <w:b/>
                <w:sz w:val="18"/>
              </w:rPr>
              <w:t>2.2</w:t>
            </w:r>
          </w:p>
        </w:tc>
        <w:tc>
          <w:tcPr>
            <w:tcW w:type="dxa" w:w="1701"/>
            <w:shd w:fill="F8FAFC" w:val="clear"/>
          </w:tcPr>
          <w:p>
            <w:r/>
            <w:r>
              <w:rPr>
                <w:rFonts w:ascii="Arial" w:hAnsi="Arial"/>
                <w:b/>
                <w:sz w:val="18"/>
              </w:rPr>
              <w:t>Pricing karty — pro koho</w:t>
            </w:r>
          </w:p>
        </w:tc>
        <w:tc>
          <w:tcPr>
            <w:tcW w:type="dxa" w:w="3118"/>
            <w:shd w:fill="F8FAFC" w:val="clear"/>
          </w:tcPr>
          <w:p>
            <w:r/>
            <w:r>
              <w:rPr>
                <w:rFonts w:ascii="Arial" w:hAnsi="Arial"/>
                <w:sz w:val="18"/>
              </w:rPr>
              <w:t>Ke každé kartě 1 věta: Protected Friend = quick funny gifting, Non-Snack = deluxe collectible, Business = offices, cafés, studios.</w:t>
            </w:r>
          </w:p>
        </w:tc>
        <w:tc>
          <w:tcPr>
            <w:tcW w:type="dxa" w:w="1020"/>
            <w:shd w:fill="F8FAFC" w:val="clear"/>
            <w:shd w:fill="FEF2F2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D9534F"/>
                <w:sz w:val="18"/>
              </w:rPr>
              <w:t>HIGH</w:t>
            </w:r>
          </w:p>
        </w:tc>
        <w:tc>
          <w:tcPr>
            <w:tcW w:type="dxa" w:w="850"/>
            <w:shd w:fill="F8FAFC" w:val="clear"/>
          </w:tcPr>
          <w:p>
            <w:r/>
            <w:r>
              <w:rPr>
                <w:rFonts w:ascii="Arial" w:hAnsi="Arial"/>
                <w:sz w:val="18"/>
              </w:rPr>
              <w:t>1h</w:t>
            </w:r>
          </w:p>
        </w:tc>
        <w:tc>
          <w:tcPr>
            <w:tcW w:type="dxa" w:w="2268"/>
            <w:shd w:fill="F8FAFC" w:val="clear"/>
          </w:tcPr>
          <w:p>
            <w:r/>
            <w:r>
              <w:rPr>
                <w:rFonts w:ascii="Arial" w:hAnsi="Arial"/>
                <w:color w:val="667085"/>
                <w:sz w:val="16"/>
              </w:rPr>
              <w:t>en/es.json, home-content.tsx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Arial" w:hAnsi="Arial"/>
                <w:b/>
                <w:sz w:val="18"/>
              </w:rPr>
              <w:t>2.3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/>
                <w:sz w:val="18"/>
              </w:rPr>
              <w:t>Posílit Non-Snack tier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/>
                <w:sz w:val="18"/>
              </w:rPr>
              <w:t>Přidat hmatatelný benefit: deluxe seal, framed-print layout, special registry placement, nebo exclusive badge.</w:t>
            </w:r>
          </w:p>
        </w:tc>
        <w:tc>
          <w:tcPr>
            <w:tcW w:type="dxa" w:w="1020"/>
            <w:shd w:fill="FFFBEB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D97706"/>
                <w:sz w:val="18"/>
              </w:rPr>
              <w:t>MEDIUM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2h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color w:val="667085"/>
                <w:sz w:val="16"/>
              </w:rPr>
              <w:t>en/es.json, generate-certificate.ts</w:t>
            </w:r>
          </w:p>
        </w:tc>
      </w:tr>
      <w:tr>
        <w:tc>
          <w:tcPr>
            <w:tcW w:type="dxa" w:w="680"/>
            <w:shd w:fill="F8FAFC" w:val="clear"/>
          </w:tcPr>
          <w:p>
            <w:r/>
            <w:r>
              <w:rPr>
                <w:rFonts w:ascii="Arial" w:hAnsi="Arial"/>
                <w:b/>
                <w:sz w:val="18"/>
              </w:rPr>
              <w:t>2.4</w:t>
            </w:r>
          </w:p>
        </w:tc>
        <w:tc>
          <w:tcPr>
            <w:tcW w:type="dxa" w:w="1701"/>
            <w:shd w:fill="F8FAFC" w:val="clear"/>
          </w:tcPr>
          <w:p>
            <w:r/>
            <w:r>
              <w:rPr>
                <w:rFonts w:ascii="Arial" w:hAnsi="Arial"/>
                <w:b/>
                <w:sz w:val="18"/>
              </w:rPr>
              <w:t>Gift flow — explicitní volba</w:t>
            </w:r>
          </w:p>
        </w:tc>
        <w:tc>
          <w:tcPr>
            <w:tcW w:type="dxa" w:w="3118"/>
            <w:shd w:fill="F8FAFC" w:val="clear"/>
          </w:tcPr>
          <w:p>
            <w:r/>
            <w:r>
              <w:rPr>
                <w:rFonts w:ascii="Arial" w:hAnsi="Arial"/>
                <w:sz w:val="18"/>
              </w:rPr>
              <w:t>Rozdělit na homepage na „Buy for yourself“ / „Buy as a gift“ jako dvě jasné UI volby, ne jen toggle.</w:t>
            </w:r>
          </w:p>
        </w:tc>
        <w:tc>
          <w:tcPr>
            <w:tcW w:type="dxa" w:w="1020"/>
            <w:shd w:fill="F8FAFC" w:val="clear"/>
            <w:shd w:fill="FEF2F2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D9534F"/>
                <w:sz w:val="18"/>
              </w:rPr>
              <w:t>HIGH</w:t>
            </w:r>
          </w:p>
        </w:tc>
        <w:tc>
          <w:tcPr>
            <w:tcW w:type="dxa" w:w="850"/>
            <w:shd w:fill="F8FAFC" w:val="clear"/>
          </w:tcPr>
          <w:p>
            <w:r/>
            <w:r>
              <w:rPr>
                <w:rFonts w:ascii="Arial" w:hAnsi="Arial"/>
                <w:sz w:val="18"/>
              </w:rPr>
              <w:t>2–3h</w:t>
            </w:r>
          </w:p>
        </w:tc>
        <w:tc>
          <w:tcPr>
            <w:tcW w:type="dxa" w:w="2268"/>
            <w:shd w:fill="F8FAFC" w:val="clear"/>
          </w:tcPr>
          <w:p>
            <w:r/>
            <w:r>
              <w:rPr>
                <w:rFonts w:ascii="Arial" w:hAnsi="Arial"/>
                <w:color w:val="667085"/>
                <w:sz w:val="16"/>
              </w:rPr>
              <w:t>home-content.tsx, purchase-flow.tsx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Arial" w:hAnsi="Arial"/>
                <w:b/>
                <w:sz w:val="18"/>
              </w:rPr>
              <w:t>2.5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/>
                <w:sz w:val="18"/>
              </w:rPr>
              <w:t>Gift flow — pole pro obdarovaného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/>
                <w:sz w:val="18"/>
              </w:rPr>
              <w:t>Přidat: e-mail obdarovaného, datum doručení, osobní vzkaz. Napojit na e-mailovou službu.</w:t>
            </w:r>
          </w:p>
        </w:tc>
        <w:tc>
          <w:tcPr>
            <w:tcW w:type="dxa" w:w="1020"/>
            <w:shd w:fill="FEF2F2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D9534F"/>
                <w:sz w:val="18"/>
              </w:rPr>
              <w:t>HIGH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3–4h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color w:val="667085"/>
                <w:sz w:val="16"/>
              </w:rPr>
              <w:t>purchase-flow.tsx, en/es.json, api/</w:t>
            </w:r>
          </w:p>
        </w:tc>
      </w:tr>
      <w:tr>
        <w:tc>
          <w:tcPr>
            <w:tcW w:type="dxa" w:w="680"/>
            <w:shd w:fill="F8FAFC" w:val="clear"/>
          </w:tcPr>
          <w:p>
            <w:r/>
            <w:r>
              <w:rPr>
                <w:rFonts w:ascii="Arial" w:hAnsi="Arial"/>
                <w:b/>
                <w:sz w:val="18"/>
              </w:rPr>
              <w:t>2.6</w:t>
            </w:r>
          </w:p>
        </w:tc>
        <w:tc>
          <w:tcPr>
            <w:tcW w:type="dxa" w:w="1701"/>
            <w:shd w:fill="F8FAFC" w:val="clear"/>
          </w:tcPr>
          <w:p>
            <w:r/>
            <w:r>
              <w:rPr>
                <w:rFonts w:ascii="Arial" w:hAnsi="Arial"/>
                <w:b/>
                <w:sz w:val="18"/>
              </w:rPr>
              <w:t>Trust strip pod hero</w:t>
            </w:r>
          </w:p>
        </w:tc>
        <w:tc>
          <w:tcPr>
            <w:tcW w:type="dxa" w:w="3118"/>
            <w:shd w:fill="F8FAFC" w:val="clear"/>
          </w:tcPr>
          <w:p>
            <w:r/>
            <w:r>
              <w:rPr>
                <w:rFonts w:ascii="Arial" w:hAnsi="Arial"/>
                <w:sz w:val="18"/>
              </w:rPr>
              <w:t>Jednořádkový strip: Personalized • Digital delivery • Gift-ready • Funds real conservation.</w:t>
            </w:r>
          </w:p>
        </w:tc>
        <w:tc>
          <w:tcPr>
            <w:tcW w:type="dxa" w:w="1020"/>
            <w:shd w:fill="F8FAFC" w:val="clear"/>
            <w:shd w:fill="F3F4F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B7280"/>
                <w:sz w:val="18"/>
              </w:rPr>
              <w:t>LOW</w:t>
            </w:r>
          </w:p>
        </w:tc>
        <w:tc>
          <w:tcPr>
            <w:tcW w:type="dxa" w:w="850"/>
            <w:shd w:fill="F8FAFC" w:val="clear"/>
          </w:tcPr>
          <w:p>
            <w:r/>
            <w:r>
              <w:rPr>
                <w:rFonts w:ascii="Arial" w:hAnsi="Arial"/>
                <w:sz w:val="18"/>
              </w:rPr>
              <w:t>1h</w:t>
            </w:r>
          </w:p>
        </w:tc>
        <w:tc>
          <w:tcPr>
            <w:tcW w:type="dxa" w:w="2268"/>
            <w:shd w:fill="F8FAFC" w:val="clear"/>
          </w:tcPr>
          <w:p>
            <w:r/>
            <w:r>
              <w:rPr>
                <w:rFonts w:ascii="Arial" w:hAnsi="Arial"/>
                <w:color w:val="667085"/>
                <w:sz w:val="16"/>
              </w:rPr>
              <w:t>hero-section.tsx, en/es.json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Arial" w:hAnsi="Arial"/>
                <w:b/>
                <w:sz w:val="18"/>
              </w:rPr>
              <w:t>2.7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/>
                <w:sz w:val="18"/>
              </w:rPr>
              <w:t>Primární CTA výraznější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/>
                <w:sz w:val="18"/>
              </w:rPr>
              <w:t>Hlavní CTA tlačítko s unikátním stylingem (větší, shadow, animace).</w:t>
            </w:r>
          </w:p>
        </w:tc>
        <w:tc>
          <w:tcPr>
            <w:tcW w:type="dxa" w:w="1020"/>
            <w:shd w:fill="F3F4F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B7280"/>
                <w:sz w:val="18"/>
              </w:rPr>
              <w:t>LOW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1h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color w:val="667085"/>
                <w:sz w:val="16"/>
              </w:rPr>
              <w:t>hero-section.tsx, globals.css</w:t>
            </w:r>
          </w:p>
        </w:tc>
      </w:tr>
    </w:tbl>
    <w:p>
      <w:pPr>
        <w:pStyle w:val="Heading1"/>
      </w:pPr>
      <w:r>
        <w:t>Fáze 3 — Nové stránky a rozšíření</w:t>
      </w:r>
    </w:p>
    <w:p>
      <w:r>
        <w:rPr>
          <w:rFonts w:ascii="Arial" w:hAnsi="Arial"/>
          <w:b/>
          <w:sz w:val="20"/>
        </w:rPr>
        <w:t xml:space="preserve">Odhadovaný čas: </w:t>
      </w:r>
      <w:r>
        <w:rPr>
          <w:rFonts w:ascii="Arial" w:hAnsi="Arial"/>
          <w:sz w:val="20"/>
        </w:rPr>
        <w:t>5–10 dní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fill="0A5E8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1701"/>
            <w:shd w:fill="0A5E8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Úkol</w:t>
            </w:r>
          </w:p>
        </w:tc>
        <w:tc>
          <w:tcPr>
            <w:tcW w:type="dxa" w:w="3118"/>
            <w:shd w:fill="0A5E8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Popis</w:t>
            </w:r>
          </w:p>
        </w:tc>
        <w:tc>
          <w:tcPr>
            <w:tcW w:type="dxa" w:w="1020"/>
            <w:shd w:fill="0A5E8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Priorita</w:t>
            </w:r>
          </w:p>
        </w:tc>
        <w:tc>
          <w:tcPr>
            <w:tcW w:type="dxa" w:w="850"/>
            <w:shd w:fill="0A5E8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Čas</w:t>
            </w:r>
          </w:p>
        </w:tc>
        <w:tc>
          <w:tcPr>
            <w:tcW w:type="dxa" w:w="2268"/>
            <w:shd w:fill="0A5E8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Soubory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Arial" w:hAnsi="Arial"/>
                <w:b/>
                <w:sz w:val="18"/>
              </w:rPr>
              <w:t>3.1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/>
                <w:sz w:val="18"/>
              </w:rPr>
              <w:t>Impact stránka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/>
                <w:sz w:val="18"/>
              </w:rPr>
              <w:t>Nová stránka: how funds are split, when donations are made, how orgs are selected, reporting, pre-first-report info. Přidat do navigace.</w:t>
            </w:r>
          </w:p>
        </w:tc>
        <w:tc>
          <w:tcPr>
            <w:tcW w:type="dxa" w:w="1020"/>
            <w:shd w:fill="FEF2F2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D9534F"/>
                <w:sz w:val="18"/>
              </w:rPr>
              <w:t>HIGH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4–6h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color w:val="667085"/>
                <w:sz w:val="16"/>
              </w:rPr>
              <w:t>app/[locale]/impact/, en/es.json, header</w:t>
            </w:r>
          </w:p>
        </w:tc>
      </w:tr>
      <w:tr>
        <w:tc>
          <w:tcPr>
            <w:tcW w:type="dxa" w:w="680"/>
            <w:shd w:fill="F8FAFC" w:val="clear"/>
          </w:tcPr>
          <w:p>
            <w:r/>
            <w:r>
              <w:rPr>
                <w:rFonts w:ascii="Arial" w:hAnsi="Arial"/>
                <w:b/>
                <w:sz w:val="18"/>
              </w:rPr>
              <w:t>3.2</w:t>
            </w:r>
          </w:p>
        </w:tc>
        <w:tc>
          <w:tcPr>
            <w:tcW w:type="dxa" w:w="1701"/>
            <w:shd w:fill="F8FAFC" w:val="clear"/>
          </w:tcPr>
          <w:p>
            <w:r/>
            <w:r>
              <w:rPr>
                <w:rFonts w:ascii="Arial" w:hAnsi="Arial"/>
                <w:b/>
                <w:sz w:val="18"/>
              </w:rPr>
              <w:t>Registry — virální sekce</w:t>
            </w:r>
          </w:p>
        </w:tc>
        <w:tc>
          <w:tcPr>
            <w:tcW w:type="dxa" w:w="3118"/>
            <w:shd w:fill="F8FAFC" w:val="clear"/>
          </w:tcPr>
          <w:p>
            <w:r/>
            <w:r>
              <w:rPr>
                <w:rFonts w:ascii="Arial" w:hAnsi="Arial"/>
                <w:sz w:val="18"/>
              </w:rPr>
              <w:t>Přidat Wanted, Officially Not Food, Newest Diplomats, Founding Friends. Shareable profily: Registry ID, datum, Copy link.</w:t>
            </w:r>
          </w:p>
        </w:tc>
        <w:tc>
          <w:tcPr>
            <w:tcW w:type="dxa" w:w="1020"/>
            <w:shd w:fill="F8FAFC" w:val="clear"/>
            <w:shd w:fill="FFFBEB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D97706"/>
                <w:sz w:val="18"/>
              </w:rPr>
              <w:t>MEDIUM</w:t>
            </w:r>
          </w:p>
        </w:tc>
        <w:tc>
          <w:tcPr>
            <w:tcW w:type="dxa" w:w="850"/>
            <w:shd w:fill="F8FAFC" w:val="clear"/>
          </w:tcPr>
          <w:p>
            <w:r/>
            <w:r>
              <w:rPr>
                <w:rFonts w:ascii="Arial" w:hAnsi="Arial"/>
                <w:sz w:val="18"/>
              </w:rPr>
              <w:t>4–5h</w:t>
            </w:r>
          </w:p>
        </w:tc>
        <w:tc>
          <w:tcPr>
            <w:tcW w:type="dxa" w:w="2268"/>
            <w:shd w:fill="F8FAFC" w:val="clear"/>
          </w:tcPr>
          <w:p>
            <w:r/>
            <w:r>
              <w:rPr>
                <w:rFonts w:ascii="Arial" w:hAnsi="Arial"/>
                <w:color w:val="667085"/>
                <w:sz w:val="16"/>
              </w:rPr>
              <w:t>registry-content.tsx, en/es.json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Arial" w:hAnsi="Arial"/>
                <w:b/>
                <w:sz w:val="18"/>
              </w:rPr>
              <w:t>3.3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/>
                <w:sz w:val="18"/>
              </w:rPr>
              <w:t>Gifting — „Bet, they don't have...“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/>
                <w:sz w:val="18"/>
              </w:rPr>
              <w:t>Doplnit „Bet“ na začátek gifting cards.</w:t>
            </w:r>
          </w:p>
        </w:tc>
        <w:tc>
          <w:tcPr>
            <w:tcW w:type="dxa" w:w="1020"/>
            <w:shd w:fill="F3F4F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B7280"/>
                <w:sz w:val="18"/>
              </w:rPr>
              <w:t>LOW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30min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color w:val="667085"/>
                <w:sz w:val="16"/>
              </w:rPr>
              <w:t>en.json, es.json</w:t>
            </w:r>
          </w:p>
        </w:tc>
      </w:tr>
      <w:tr>
        <w:tc>
          <w:tcPr>
            <w:tcW w:type="dxa" w:w="680"/>
            <w:shd w:fill="F8FAFC" w:val="clear"/>
          </w:tcPr>
          <w:p>
            <w:r/>
            <w:r>
              <w:rPr>
                <w:rFonts w:ascii="Arial" w:hAnsi="Arial"/>
                <w:b/>
                <w:sz w:val="18"/>
              </w:rPr>
              <w:t>3.4</w:t>
            </w:r>
          </w:p>
        </w:tc>
        <w:tc>
          <w:tcPr>
            <w:tcW w:type="dxa" w:w="1701"/>
            <w:shd w:fill="F8FAFC" w:val="clear"/>
          </w:tcPr>
          <w:p>
            <w:r/>
            <w:r>
              <w:rPr>
                <w:rFonts w:ascii="Arial" w:hAnsi="Arial"/>
                <w:b/>
                <w:sz w:val="18"/>
              </w:rPr>
              <w:t>„Why people gift this“ sekce</w:t>
            </w:r>
          </w:p>
        </w:tc>
        <w:tc>
          <w:tcPr>
            <w:tcW w:type="dxa" w:w="3118"/>
            <w:shd w:fill="F8FAFC" w:val="clear"/>
          </w:tcPr>
          <w:p>
            <w:r/>
            <w:r>
              <w:rPr>
                <w:rFonts w:ascii="Arial" w:hAnsi="Arial"/>
                <w:sz w:val="18"/>
              </w:rPr>
              <w:t>Nahradit/doplnit testimonials — reputačně bezpečnější než fiktivní reference.</w:t>
            </w:r>
          </w:p>
        </w:tc>
        <w:tc>
          <w:tcPr>
            <w:tcW w:type="dxa" w:w="1020"/>
            <w:shd w:fill="F8FAFC" w:val="clear"/>
            <w:shd w:fill="F3F4F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B7280"/>
                <w:sz w:val="18"/>
              </w:rPr>
              <w:t>LOW</w:t>
            </w:r>
          </w:p>
        </w:tc>
        <w:tc>
          <w:tcPr>
            <w:tcW w:type="dxa" w:w="850"/>
            <w:shd w:fill="F8FAFC" w:val="clear"/>
          </w:tcPr>
          <w:p>
            <w:r/>
            <w:r>
              <w:rPr>
                <w:rFonts w:ascii="Arial" w:hAnsi="Arial"/>
                <w:sz w:val="18"/>
              </w:rPr>
              <w:t>2h</w:t>
            </w:r>
          </w:p>
        </w:tc>
        <w:tc>
          <w:tcPr>
            <w:tcW w:type="dxa" w:w="2268"/>
            <w:shd w:fill="F8FAFC" w:val="clear"/>
          </w:tcPr>
          <w:p>
            <w:r/>
            <w:r>
              <w:rPr>
                <w:rFonts w:ascii="Arial" w:hAnsi="Arial"/>
                <w:color w:val="667085"/>
                <w:sz w:val="16"/>
              </w:rPr>
              <w:t>home-content.tsx, en/es.json</w:t>
            </w:r>
          </w:p>
        </w:tc>
      </w:tr>
    </w:tbl>
    <w:p>
      <w:pPr>
        <w:pStyle w:val="Heading1"/>
      </w:pPr>
      <w:r>
        <w:t>Fáze 4 — Obsahová strategie a monetizace</w:t>
      </w:r>
    </w:p>
    <w:p>
      <w:r>
        <w:rPr>
          <w:rFonts w:ascii="Arial" w:hAnsi="Arial"/>
          <w:b/>
          <w:sz w:val="20"/>
        </w:rPr>
        <w:t xml:space="preserve">Odhadovaný čas: </w:t>
      </w:r>
      <w:r>
        <w:rPr>
          <w:rFonts w:ascii="Arial" w:hAnsi="Arial"/>
          <w:sz w:val="20"/>
        </w:rPr>
        <w:t>2–4 týdny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fill="0A5E8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1701"/>
            <w:shd w:fill="0A5E8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Úkol</w:t>
            </w:r>
          </w:p>
        </w:tc>
        <w:tc>
          <w:tcPr>
            <w:tcW w:type="dxa" w:w="3118"/>
            <w:shd w:fill="0A5E8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Popis</w:t>
            </w:r>
          </w:p>
        </w:tc>
        <w:tc>
          <w:tcPr>
            <w:tcW w:type="dxa" w:w="1020"/>
            <w:shd w:fill="0A5E8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Priorita</w:t>
            </w:r>
          </w:p>
        </w:tc>
        <w:tc>
          <w:tcPr>
            <w:tcW w:type="dxa" w:w="850"/>
            <w:shd w:fill="0A5E8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Čas</w:t>
            </w:r>
          </w:p>
        </w:tc>
        <w:tc>
          <w:tcPr>
            <w:tcW w:type="dxa" w:w="2268"/>
            <w:shd w:fill="0A5E8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Soubory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Arial" w:hAnsi="Arial"/>
                <w:b/>
                <w:sz w:val="18"/>
              </w:rPr>
              <w:t>4.1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/>
                <w:sz w:val="18"/>
              </w:rPr>
              <w:t>Blog / Newsroom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/>
                <w:sz w:val="18"/>
              </w:rPr>
              <w:t>Nová sekce: humorné press releases od Finnleyho + Luna + edukativní články. SEO + social media materiál.</w:t>
            </w:r>
          </w:p>
        </w:tc>
        <w:tc>
          <w:tcPr>
            <w:tcW w:type="dxa" w:w="1020"/>
            <w:shd w:fill="FFFBEB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D97706"/>
                <w:sz w:val="18"/>
              </w:rPr>
              <w:t>MEDIUM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8–12h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color w:val="667085"/>
                <w:sz w:val="16"/>
              </w:rPr>
              <w:t>app/[locale]/blog/, components, en/es.json</w:t>
            </w:r>
          </w:p>
        </w:tc>
      </w:tr>
      <w:tr>
        <w:tc>
          <w:tcPr>
            <w:tcW w:type="dxa" w:w="680"/>
            <w:shd w:fill="F8FAFC" w:val="clear"/>
          </w:tcPr>
          <w:p>
            <w:r/>
            <w:r>
              <w:rPr>
                <w:rFonts w:ascii="Arial" w:hAnsi="Arial"/>
                <w:b/>
                <w:sz w:val="18"/>
              </w:rPr>
              <w:t>4.2</w:t>
            </w:r>
          </w:p>
        </w:tc>
        <w:tc>
          <w:tcPr>
            <w:tcW w:type="dxa" w:w="1701"/>
            <w:shd w:fill="F8FAFC" w:val="clear"/>
          </w:tcPr>
          <w:p>
            <w:r/>
            <w:r>
              <w:rPr>
                <w:rFonts w:ascii="Arial" w:hAnsi="Arial"/>
                <w:b/>
                <w:sz w:val="18"/>
              </w:rPr>
              <w:t>Affiliate / Referral</w:t>
            </w:r>
          </w:p>
        </w:tc>
        <w:tc>
          <w:tcPr>
            <w:tcW w:type="dxa" w:w="3118"/>
            <w:shd w:fill="F8FAFC" w:val="clear"/>
          </w:tcPr>
          <w:p>
            <w:r/>
            <w:r>
              <w:rPr>
                <w:rFonts w:ascii="Arial" w:hAnsi="Arial"/>
                <w:sz w:val="18"/>
              </w:rPr>
              <w:t>Referral code pro každého. Motivace: fund conservation + unlock status upgrade. Vyžaduje backend.</w:t>
            </w:r>
          </w:p>
        </w:tc>
        <w:tc>
          <w:tcPr>
            <w:tcW w:type="dxa" w:w="1020"/>
            <w:shd w:fill="F8FAFC" w:val="clear"/>
            <w:shd w:fill="F3F4F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B7280"/>
                <w:sz w:val="18"/>
              </w:rPr>
              <w:t>LOW</w:t>
            </w:r>
          </w:p>
        </w:tc>
        <w:tc>
          <w:tcPr>
            <w:tcW w:type="dxa" w:w="850"/>
            <w:shd w:fill="F8FAFC" w:val="clear"/>
          </w:tcPr>
          <w:p>
            <w:r/>
            <w:r>
              <w:rPr>
                <w:rFonts w:ascii="Arial" w:hAnsi="Arial"/>
                <w:sz w:val="18"/>
              </w:rPr>
              <w:t>12–16h</w:t>
            </w:r>
          </w:p>
        </w:tc>
        <w:tc>
          <w:tcPr>
            <w:tcW w:type="dxa" w:w="2268"/>
            <w:shd w:fill="F8FAFC" w:val="clear"/>
          </w:tcPr>
          <w:p>
            <w:r/>
            <w:r>
              <w:rPr>
                <w:rFonts w:ascii="Arial" w:hAnsi="Arial"/>
                <w:color w:val="667085"/>
                <w:sz w:val="16"/>
              </w:rPr>
              <w:t>api/referrals, purchase, registry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Arial" w:hAnsi="Arial"/>
                <w:b/>
                <w:sz w:val="18"/>
              </w:rPr>
              <w:t>4.3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/>
                <w:sz w:val="18"/>
              </w:rPr>
              <w:t>Sjednotit terminologii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/>
                <w:sz w:val="18"/>
              </w:rPr>
              <w:t>Hlavní pojem: certificate (produkt), status (výsledek). Projít celý web.</w:t>
            </w:r>
          </w:p>
        </w:tc>
        <w:tc>
          <w:tcPr>
            <w:tcW w:type="dxa" w:w="1020"/>
            <w:shd w:fill="F3F4F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B7280"/>
                <w:sz w:val="18"/>
              </w:rPr>
              <w:t>LOW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2–3h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color w:val="667085"/>
                <w:sz w:val="16"/>
              </w:rPr>
              <w:t>en/es.json, všechny komponenty</w:t>
            </w:r>
          </w:p>
        </w:tc>
      </w:tr>
    </w:tbl>
    <w:p>
      <w:pPr>
        <w:pStyle w:val="Heading1"/>
      </w:pPr>
      <w:r>
        <w:t>Klíčová rozhodnutí před implementací</w:t>
      </w:r>
    </w:p>
    <w:p>
      <w:r>
        <w:rPr>
          <w:rFonts w:ascii="Arial" w:hAnsi="Arial"/>
          <w:sz w:val="20"/>
        </w:rPr>
        <w:t>Následující body vyžadují rozhodnutí před zahájením práce:</w:t>
      </w:r>
    </w:p>
    <w:p>
      <w:pPr>
        <w:pStyle w:val="ListBullet"/>
      </w:pPr>
      <w:r>
        <w:rPr>
          <w:rFonts w:ascii="Arial" w:hAnsi="Arial"/>
          <w:b/>
          <w:sz w:val="20"/>
        </w:rPr>
        <w:t xml:space="preserve">Partnerské organizace: </w:t>
      </w:r>
      <w:r>
        <w:rPr>
          <w:rFonts w:ascii="Arial" w:hAnsi="Arial"/>
          <w:sz w:val="20"/>
        </w:rPr>
        <w:t>Které konkrétní organizace zahrnout? Návrh: Shark Trust, Oceana, Shark Conservation Fund, Malpelo Foundation. Stačí jako „planned partners“.</w:t>
      </w:r>
    </w:p>
    <w:p>
      <w:pPr>
        <w:pStyle w:val="ListBullet"/>
      </w:pPr>
      <w:r>
        <w:rPr>
          <w:rFonts w:ascii="Arial" w:hAnsi="Arial"/>
          <w:b/>
          <w:sz w:val="20"/>
        </w:rPr>
        <w:t xml:space="preserve">Terminologie: </w:t>
      </w:r>
      <w:r>
        <w:rPr>
          <w:rFonts w:ascii="Arial" w:hAnsi="Arial"/>
          <w:sz w:val="20"/>
        </w:rPr>
        <w:t>Co je hlavní pojem — certificate, status, membership? Doporučení: „certificate“ jako produkt, „status“ jako výsledek.</w:t>
      </w:r>
    </w:p>
    <w:p>
      <w:pPr>
        <w:pStyle w:val="ListBullet"/>
      </w:pPr>
      <w:r>
        <w:rPr>
          <w:rFonts w:ascii="Arial" w:hAnsi="Arial"/>
          <w:b/>
          <w:sz w:val="20"/>
        </w:rPr>
        <w:t xml:space="preserve">Non-Snack posílení: </w:t>
      </w:r>
      <w:r>
        <w:rPr>
          <w:rFonts w:ascii="Arial" w:hAnsi="Arial"/>
          <w:sz w:val="20"/>
        </w:rPr>
        <w:t>Jaký benefit přidat? Možnosti: deluxe seal, framed-print layout, special registry placement, exclusive badge.</w:t>
      </w:r>
    </w:p>
    <w:p>
      <w:pPr>
        <w:pStyle w:val="ListBullet"/>
      </w:pPr>
      <w:r>
        <w:rPr>
          <w:rFonts w:ascii="Arial" w:hAnsi="Arial"/>
          <w:b/>
          <w:sz w:val="20"/>
        </w:rPr>
        <w:t xml:space="preserve">Gift flow e-maily: </w:t>
      </w:r>
      <w:r>
        <w:rPr>
          <w:rFonts w:ascii="Arial" w:hAnsi="Arial"/>
          <w:sz w:val="20"/>
        </w:rPr>
        <w:t>Implementovat skutečné odesílání? Aktuálně je API placeholder. Potřeba napojit Resend / SendGrid / Gmail SMTP.</w:t>
      </w:r>
    </w:p>
    <w:p>
      <w:pPr>
        <w:pStyle w:val="ListBullet"/>
      </w:pPr>
      <w:r>
        <w:rPr>
          <w:rFonts w:ascii="Arial" w:hAnsi="Arial"/>
          <w:b/>
          <w:sz w:val="20"/>
        </w:rPr>
        <w:t xml:space="preserve">Blog: </w:t>
      </w:r>
      <w:r>
        <w:rPr>
          <w:rFonts w:ascii="Arial" w:hAnsi="Arial"/>
          <w:sz w:val="20"/>
        </w:rPr>
        <w:t>Spustit hned nebo odložit? Cenný pro SEO, ale vyžaduje průběžný obsah. Možnost: začít s 3–5 články.</w:t>
      </w:r>
    </w:p>
    <w:p>
      <w:pPr>
        <w:pStyle w:val="ListBullet"/>
      </w:pPr>
      <w:r>
        <w:rPr>
          <w:rFonts w:ascii="Arial" w:hAnsi="Arial"/>
          <w:b/>
          <w:sz w:val="20"/>
        </w:rPr>
        <w:t xml:space="preserve">Referral program: </w:t>
      </w:r>
      <w:r>
        <w:rPr>
          <w:rFonts w:ascii="Arial" w:hAnsi="Arial"/>
          <w:sz w:val="20"/>
        </w:rPr>
        <w:t>Vyžaduje backend pro sledování kódů. Složitější — může být v další iteraci.</w:t>
      </w:r>
    </w:p>
    <w:p>
      <w:pPr>
        <w:pStyle w:val="Heading1"/>
      </w:pPr>
      <w:r>
        <w:t>Důvěryhodnost — detail</w:t>
      </w:r>
    </w:p>
    <w:p>
      <w:r>
        <w:rPr>
          <w:rFonts w:ascii="Arial" w:hAnsi="Arial"/>
          <w:sz w:val="20"/>
        </w:rPr>
        <w:t>Nejdůležitější oblast celého plánu. Bez důvěryhodnosti konverze neporostou.</w:t>
      </w:r>
    </w:p>
    <w:p>
      <w:pPr>
        <w:pStyle w:val="Heading2"/>
      </w:pPr>
      <w:r>
        <w:t>Partnerské organizace</w:t>
      </w:r>
    </w:p>
    <w:p>
      <w:r>
        <w:rPr>
          <w:rFonts w:ascii="Arial" w:hAnsi="Arial"/>
          <w:sz w:val="20"/>
        </w:rPr>
        <w:t>Na web přidat sekci s logy a krátkým popisem organizací. Formát:</w:t>
      </w:r>
    </w:p>
    <w:p>
      <w:pPr>
        <w:pStyle w:val="ListBullet"/>
      </w:pPr>
      <w:r>
        <w:rPr>
          <w:rFonts w:ascii="Arial" w:hAnsi="Arial"/>
          <w:sz w:val="20"/>
        </w:rPr>
        <w:t>Logo + název organizace</w:t>
      </w:r>
    </w:p>
    <w:p>
      <w:pPr>
        <w:pStyle w:val="ListBullet"/>
      </w:pPr>
      <w:r>
        <w:rPr>
          <w:rFonts w:ascii="Arial" w:hAnsi="Arial"/>
          <w:sz w:val="20"/>
        </w:rPr>
        <w:t>1 věta o jejich misi</w:t>
      </w:r>
    </w:p>
    <w:p>
      <w:pPr>
        <w:pStyle w:val="ListBullet"/>
      </w:pPr>
      <w:r>
        <w:rPr>
          <w:rFonts w:ascii="Arial" w:hAnsi="Arial"/>
          <w:sz w:val="20"/>
        </w:rPr>
        <w:t>Odkaz na web organizace</w:t>
      </w:r>
    </w:p>
    <w:p>
      <w:pPr>
        <w:pStyle w:val="ListBullet"/>
      </w:pPr>
      <w:r>
        <w:rPr>
          <w:rFonts w:ascii="Arial" w:hAnsi="Arial"/>
          <w:sz w:val="20"/>
        </w:rPr>
        <w:t>Označení: „Planned partner“ nebo „Organization we aim to support“</w:t>
      </w:r>
    </w:p>
    <w:p>
      <w:r>
        <w:rPr>
          <w:rFonts w:ascii="Arial" w:hAnsi="Arial"/>
          <w:sz w:val="20"/>
        </w:rPr>
      </w:r>
    </w:p>
    <w:p>
      <w:r>
        <w:rPr>
          <w:rFonts w:ascii="Arial" w:hAnsi="Arial"/>
          <w:sz w:val="20"/>
        </w:rPr>
        <w:t>Navrhované organizace:</w:t>
      </w:r>
    </w:p>
    <w:p>
      <w:pPr>
        <w:pStyle w:val="ListBullet"/>
      </w:pPr>
      <w:r>
        <w:rPr>
          <w:rFonts w:ascii="Arial" w:hAnsi="Arial"/>
          <w:b/>
          <w:sz w:val="20"/>
        </w:rPr>
        <w:t xml:space="preserve">Shark Trust </w:t>
      </w:r>
      <w:r>
        <w:rPr>
          <w:rFonts w:ascii="Arial" w:hAnsi="Arial"/>
          <w:sz w:val="20"/>
        </w:rPr>
        <w:t>— UK-based charity, ochrana žraloků globálně</w:t>
      </w:r>
    </w:p>
    <w:p>
      <w:pPr>
        <w:pStyle w:val="ListBullet"/>
      </w:pPr>
      <w:r>
        <w:rPr>
          <w:rFonts w:ascii="Arial" w:hAnsi="Arial"/>
          <w:b/>
          <w:sz w:val="20"/>
        </w:rPr>
        <w:t xml:space="preserve">Oceana </w:t>
      </w:r>
      <w:r>
        <w:rPr>
          <w:rFonts w:ascii="Arial" w:hAnsi="Arial"/>
          <w:sz w:val="20"/>
        </w:rPr>
        <w:t>— největší mezinárodní organizace zaměřená na ochranu oceánů</w:t>
      </w:r>
    </w:p>
    <w:p>
      <w:pPr>
        <w:pStyle w:val="ListBullet"/>
      </w:pPr>
      <w:r>
        <w:rPr>
          <w:rFonts w:ascii="Arial" w:hAnsi="Arial"/>
          <w:b/>
          <w:sz w:val="20"/>
        </w:rPr>
        <w:t xml:space="preserve">Shark Conservation Fund </w:t>
      </w:r>
      <w:r>
        <w:rPr>
          <w:rFonts w:ascii="Arial" w:hAnsi="Arial"/>
          <w:sz w:val="20"/>
        </w:rPr>
        <w:t>— přímé financování výzkumu a ochrany žraloků</w:t>
      </w:r>
    </w:p>
    <w:p>
      <w:pPr>
        <w:pStyle w:val="ListBullet"/>
      </w:pPr>
      <w:r>
        <w:rPr>
          <w:rFonts w:ascii="Arial" w:hAnsi="Arial"/>
          <w:b/>
          <w:sz w:val="20"/>
        </w:rPr>
        <w:t xml:space="preserve">Malpelo Foundation </w:t>
      </w:r>
      <w:r>
        <w:rPr>
          <w:rFonts w:ascii="Arial" w:hAnsi="Arial"/>
          <w:sz w:val="20"/>
        </w:rPr>
        <w:t>— ochrana mořské fauny v Kolumbii</w:t>
      </w:r>
    </w:p>
    <w:p>
      <w:pPr>
        <w:pStyle w:val="Heading2"/>
      </w:pPr>
      <w:r>
        <w:t>Impact stránka — struktura</w:t>
      </w:r>
    </w:p>
    <w:p>
      <w:r>
        <w:rPr>
          <w:rFonts w:ascii="Arial" w:hAnsi="Arial"/>
          <w:sz w:val="20"/>
        </w:rPr>
        <w:t>Samostatná stránka s pevnou strukturou:</w:t>
      </w:r>
    </w:p>
    <w:p>
      <w:pPr>
        <w:pStyle w:val="ListNumber"/>
      </w:pPr>
      <w:r>
        <w:rPr>
          <w:rFonts w:ascii="Arial" w:hAnsi="Arial"/>
          <w:sz w:val="20"/>
        </w:rPr>
        <w:t>How funds are split (grafický rozpad)</w:t>
      </w:r>
    </w:p>
    <w:p>
      <w:pPr>
        <w:pStyle w:val="ListNumber"/>
      </w:pPr>
      <w:r>
        <w:rPr>
          <w:rFonts w:ascii="Arial" w:hAnsi="Arial"/>
          <w:sz w:val="20"/>
        </w:rPr>
        <w:t>When donations are made</w:t>
      </w:r>
    </w:p>
    <w:p>
      <w:pPr>
        <w:pStyle w:val="ListNumber"/>
      </w:pPr>
      <w:r>
        <w:rPr>
          <w:rFonts w:ascii="Arial" w:hAnsi="Arial"/>
          <w:sz w:val="20"/>
        </w:rPr>
        <w:t>How organizations are selected</w:t>
      </w:r>
    </w:p>
    <w:p>
      <w:pPr>
        <w:pStyle w:val="ListNumber"/>
      </w:pPr>
      <w:r>
        <w:rPr>
          <w:rFonts w:ascii="Arial" w:hAnsi="Arial"/>
          <w:sz w:val="20"/>
        </w:rPr>
        <w:t>How reporting works</w:t>
      </w:r>
    </w:p>
    <w:p>
      <w:pPr>
        <w:pStyle w:val="ListNumber"/>
      </w:pPr>
      <w:r>
        <w:rPr>
          <w:rFonts w:ascii="Arial" w:hAnsi="Arial"/>
          <w:sz w:val="20"/>
        </w:rPr>
        <w:t>What happens before first public report</w:t>
      </w:r>
    </w:p>
    <w:p>
      <w:pPr>
        <w:pStyle w:val="Heading1"/>
      </w:pPr>
      <w:r>
        <w:t>Korekce faktických claimů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118"/>
            <w:shd w:fill="0A5E8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Současná formulace</w:t>
            </w:r>
          </w:p>
        </w:tc>
        <w:tc>
          <w:tcPr>
            <w:tcW w:type="dxa" w:w="3118"/>
            <w:shd w:fill="0A5E8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Navrhovaná úprava</w:t>
            </w:r>
          </w:p>
        </w:tc>
        <w:tc>
          <w:tcPr>
            <w:tcW w:type="dxa" w:w="3118"/>
            <w:shd w:fill="0A5E8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Zdroj / poznámka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Arial" w:hAnsi="Arial"/>
                <w:sz w:val="18"/>
              </w:rPr>
              <w:t>~5 humans killed by sharks every year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/>
                <w:sz w:val="18"/>
              </w:rPr>
              <w:t>Human fatalities from shark encounters remain in the single digits globally in most years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/>
                <w:sz w:val="18"/>
              </w:rPr>
              <w:t>Florida Museum 2025: 65 unprovoked bites, 1 fatality</w:t>
            </w:r>
          </w:p>
        </w:tc>
      </w:tr>
      <w:tr>
        <w:tc>
          <w:tcPr>
            <w:tcW w:type="dxa" w:w="3118"/>
            <w:shd w:fill="F8FAFC" w:val="clear"/>
          </w:tcPr>
          <w:p>
            <w:r/>
            <w:r>
              <w:rPr>
                <w:rFonts w:ascii="Arial" w:hAnsi="Arial"/>
                <w:sz w:val="18"/>
              </w:rPr>
              <w:t>100M sharks killed by humans every year</w:t>
            </w:r>
          </w:p>
        </w:tc>
        <w:tc>
          <w:tcPr>
            <w:tcW w:type="dxa" w:w="3118"/>
            <w:shd w:fill="F8FAFC" w:val="clear"/>
          </w:tcPr>
          <w:p>
            <w:r/>
            <w:r>
              <w:rPr>
                <w:rFonts w:ascii="Arial" w:hAnsi="Arial"/>
                <w:sz w:val="18"/>
              </w:rPr>
              <w:t>An estimated 100 million+ sharks are killed by humans every year</w:t>
            </w:r>
          </w:p>
        </w:tc>
        <w:tc>
          <w:tcPr>
            <w:tcW w:type="dxa" w:w="3118"/>
            <w:shd w:fill="F8FAFC" w:val="clear"/>
          </w:tcPr>
          <w:p>
            <w:r/>
            <w:r>
              <w:rPr>
                <w:rFonts w:ascii="Arial" w:hAnsi="Arial"/>
                <w:sz w:val="18"/>
              </w:rPr>
              <w:t>Běžně citovaná statistika, změkčit na „estimated“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Arial" w:hAnsi="Arial"/>
                <w:sz w:val="18"/>
              </w:rPr>
              <w:t>One third of all shark species are threatened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/>
                <w:sz w:val="18"/>
              </w:rPr>
              <w:t>Ponechat — formulace je v pořádku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/>
                <w:sz w:val="18"/>
              </w:rPr>
              <w:t>IUCN 2024: ~1/3 sharks, rays &amp; chimaeras</w:t>
            </w:r>
          </w:p>
        </w:tc>
      </w:tr>
      <w:tr>
        <w:tc>
          <w:tcPr>
            <w:tcW w:type="dxa" w:w="3118"/>
            <w:shd w:fill="F8FAFC" w:val="clear"/>
          </w:tcPr>
          <w:p>
            <w:r/>
            <w:r>
              <w:rPr>
                <w:rFonts w:ascii="Arial" w:hAnsi="Arial"/>
                <w:sz w:val="18"/>
              </w:rPr>
              <w:t>Reports coming as soon as the first donations are made</w:t>
            </w:r>
          </w:p>
        </w:tc>
        <w:tc>
          <w:tcPr>
            <w:tcW w:type="dxa" w:w="3118"/>
            <w:shd w:fill="F8FAFC" w:val="clear"/>
          </w:tcPr>
          <w:p>
            <w:r/>
            <w:r>
              <w:rPr>
                <w:rFonts w:ascii="Arial" w:hAnsi="Arial"/>
                <w:sz w:val="18"/>
              </w:rPr>
              <w:t>Reports published quarterly once donations begin</w:t>
            </w:r>
          </w:p>
        </w:tc>
        <w:tc>
          <w:tcPr>
            <w:tcW w:type="dxa" w:w="3118"/>
            <w:shd w:fill="F8FAFC" w:val="clear"/>
          </w:tcPr>
          <w:p>
            <w:r/>
            <w:r>
              <w:rPr>
                <w:rFonts w:ascii="Arial" w:hAnsi="Arial"/>
                <w:sz w:val="18"/>
              </w:rPr>
              <w:t>Přesnější cadence, profesionálnější</w:t>
            </w:r>
          </w:p>
        </w:tc>
      </w:tr>
    </w:tbl>
    <w:p>
      <w:pPr>
        <w:pStyle w:val="Heading1"/>
      </w:pPr>
      <w:r>
        <w:t>Doporučené pořadí implementace</w:t>
      </w:r>
    </w:p>
    <w:p>
      <w:r>
        <w:rPr>
          <w:rFonts w:ascii="Arial" w:hAnsi="Arial"/>
          <w:sz w:val="20"/>
        </w:rPr>
        <w:t>V rámci každé fáze doporučuji začít úkoly s prioritou HIGH a pokračovat dolů.</w:t>
      </w:r>
    </w:p>
    <w:p>
      <w:pPr>
        <w:pStyle w:val="ListBullet"/>
      </w:pPr>
      <w:r>
        <w:rPr>
          <w:rFonts w:ascii="Arial" w:hAnsi="Arial"/>
          <w:b/>
          <w:sz w:val="20"/>
        </w:rPr>
        <w:t xml:space="preserve">Ihned (dnes): </w:t>
      </w:r>
      <w:r>
        <w:rPr>
          <w:rFonts w:ascii="Arial" w:hAnsi="Arial"/>
          <w:sz w:val="20"/>
        </w:rPr>
        <w:t>E-mail na web, oprava statistik, reporting cadence, registry empty state (1.1–1.5)</w:t>
      </w:r>
    </w:p>
    <w:p>
      <w:pPr>
        <w:pStyle w:val="ListBullet"/>
      </w:pPr>
      <w:r>
        <w:rPr>
          <w:rFonts w:ascii="Arial" w:hAnsi="Arial"/>
          <w:b/>
          <w:sz w:val="20"/>
        </w:rPr>
        <w:t xml:space="preserve">Tento týden: </w:t>
      </w:r>
      <w:r>
        <w:rPr>
          <w:rFonts w:ascii="Arial" w:hAnsi="Arial"/>
          <w:sz w:val="20"/>
        </w:rPr>
        <w:t>Partnerské organizace, checkout copy, live preview certifikátu, pricing karty (1.2, 1.6, 2.1, 2.2)</w:t>
      </w:r>
    </w:p>
    <w:p>
      <w:pPr>
        <w:pStyle w:val="ListBullet"/>
      </w:pPr>
      <w:r>
        <w:rPr>
          <w:rFonts w:ascii="Arial" w:hAnsi="Arial"/>
          <w:b/>
          <w:sz w:val="20"/>
        </w:rPr>
        <w:t xml:space="preserve">Příští týden: </w:t>
      </w:r>
      <w:r>
        <w:rPr>
          <w:rFonts w:ascii="Arial" w:hAnsi="Arial"/>
          <w:sz w:val="20"/>
        </w:rPr>
        <w:t>Gift flow, Non-Snack posílení, Impact stránka (2.3–2.5, 3.1)</w:t>
      </w:r>
    </w:p>
    <w:p>
      <w:pPr>
        <w:pStyle w:val="ListBullet"/>
      </w:pPr>
      <w:r>
        <w:rPr>
          <w:rFonts w:ascii="Arial" w:hAnsi="Arial"/>
          <w:b/>
          <w:sz w:val="20"/>
        </w:rPr>
        <w:t xml:space="preserve">Průběžně: </w:t>
      </w:r>
      <w:r>
        <w:rPr>
          <w:rFonts w:ascii="Arial" w:hAnsi="Arial"/>
          <w:sz w:val="20"/>
        </w:rPr>
        <w:t>Registry rozšíření, blog, referral program, terminologie (3.2–4.3)</w:t>
      </w:r>
    </w:p>
    <w:p>
      <w:r>
        <w:rPr>
          <w:rFonts w:ascii="Arial" w:hAnsi="Arial"/>
          <w:sz w:val="20"/>
        </w:rPr>
      </w:r>
    </w:p>
    <w:p>
      <w:r>
        <w:rPr>
          <w:rFonts w:ascii="Arial" w:hAnsi="Arial"/>
          <w:i/>
          <w:color w:val="667085"/>
          <w:sz w:val="20"/>
        </w:rPr>
        <w:t>Dokument připraven k implementaci. Rozhodnutí ke klíčovým bodům výše urychlí práci.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34405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A5E8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0A5E8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34405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