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使用鏟式擔架的實證引言</w:t>
      </w:r>
    </w:p>
    <w:p>
      <w:pPr>
        <w:spacing w:after="40"/>
        <w:jc w:val="center"/>
      </w:pPr>
      <w:r>
        <w:rPr>
          <w:color w:val="2E5A88"/>
          <w:sz w:val="24"/>
          <w:szCs w:val="24"/>
        </w:rPr>
        <w:t xml:space="preserve">脊椎動作限制（SMR）取代翻身上板的證據基礎</w:t>
      </w:r>
    </w:p>
    <w:p>
      <w:pPr>
        <w:spacing w:after="260"/>
        <w:jc w:val="center"/>
      </w:pPr>
      <w:r>
        <w:rPr>
          <w:color w:val="808080"/>
          <w:sz w:val="18"/>
          <w:szCs w:val="18"/>
        </w:rPr>
        <w:t xml:space="preserve">115年新北TP複訓（止血帶降位/轉換與鏟式擔架）</w:t>
      </w:r>
    </w:p>
    <w:p>
      <w:pPr>
        <w:pStyle w:val="Heading2"/>
      </w:pPr>
      <w:r>
        <w:t xml:space="preserve">引言</w:t>
      </w:r>
    </w:p>
    <w:p>
      <w:pPr>
        <w:spacing w:after="160" w:line="320"/>
      </w:pPr>
      <w:r>
        <w:rPr>
          <w:sz w:val="22"/>
          <w:szCs w:val="22"/>
        </w:rPr>
        <w:t xml:space="preserve">傳統上，疑似脊椎傷患多以「翻身（log roll）上長背板」處置，但近十餘年的證據對此提出修正。生物力學研究顯示，翻身會對不穩定脊椎產生最多的非預期移動，反而可能增加二次神經損傷風險〔1〕；而鏟式擔架以兩側鏟取、最小化翻身，其限制脊椎移動的效果與目前最佳的徒手轉移技術相當、甚至更好〔2〕。對清醒、可合作的病患，在頸圈保護下讓其自主移動所造成的頸椎位移，比救助式翻動更小〔3〕〔4〕——這也說明面對躁動病患，「少干預」往往比「硬壓制翻身」更安全。</w:t>
      </w:r>
    </w:p>
    <w:p>
      <w:pPr>
        <w:spacing w:after="160" w:line="320"/>
      </w:pPr>
      <w:r>
        <w:rPr>
          <w:sz w:val="22"/>
          <w:szCs w:val="22"/>
        </w:rPr>
        <w:t xml:space="preserve">在此實證基礎上，美國外科醫師學會創傷委員會（ACS-COT）、急診醫師學會（ACEP）、國家 EMS 醫師協會（NAEMSP）於 2018 年發表《創傷病患的脊椎動作限制——聯合立場聲明》，主張以脊椎動作限制（SMR）取代傳統硬式全脊椎固定，並明文認可鏟式擔架為達成 SMR 的合法工具之一〔5〕。</w:t>
      </w:r>
    </w:p>
    <w:p>
      <w:pPr>
        <w:spacing w:after="200" w:line="320"/>
      </w:pPr>
      <w:r>
        <w:rPr>
          <w:b/>
          <w:bCs/>
          <w:color w:val="1F3864"/>
          <w:sz w:val="22"/>
          <w:szCs w:val="22"/>
        </w:rPr>
        <w:t xml:space="preserve">因此，使用鏟式擔架取代翻身上板，是有官方共識與實證支持的脊椎保護選擇——這正是本訓練推廣鏟式擔架操作的依據。</w:t>
      </w:r>
    </w:p>
    <w:p>
      <w:pPr>
        <w:pStyle w:val="Heading2"/>
      </w:pPr>
      <w:r>
        <w:t xml:space="preserve">引用文獻</w:t>
      </w:r>
    </w:p>
    <w:p>
      <w:pPr>
        <w:pStyle w:val="ListParagraph"/>
        <w:numPr>
          <w:ilvl w:val="0"/>
          <w:numId w:val="2"/>
        </w:numPr>
        <w:spacing w:after="20" w:line="300"/>
      </w:pPr>
      <w:r>
        <w:rPr>
          <w:b/>
          <w:bCs/>
          <w:i w:val="false"/>
          <w:iCs w:val="false"/>
          <w:sz w:val="21"/>
          <w:szCs w:val="21"/>
        </w:rPr>
        <w:t xml:space="preserve">Conrad BP, et al. </w:t>
      </w:r>
      <w:r>
        <w:rPr>
          <w:b w:val="false"/>
          <w:bCs w:val="false"/>
          <w:i/>
          <w:iCs/>
          <w:sz w:val="21"/>
          <w:szCs w:val="21"/>
        </w:rPr>
        <w:t xml:space="preserve">Eliminating log rolling as a spine trauma order. </w:t>
      </w:r>
      <w:r>
        <w:rPr>
          <w:b/>
          <w:bCs/>
          <w:i w:val="false"/>
          <w:iCs w:val="false"/>
          <w:sz w:val="21"/>
          <w:szCs w:val="21"/>
        </w:rPr>
        <w:t xml:space="preserve">Surg Neurol Int.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2012;3(Suppl 3):S188–S197.</w:t>
      </w:r>
    </w:p>
    <w:p>
      <w:pPr>
        <w:spacing w:after="140" w:line="300"/>
        <w:ind w:left="560"/>
      </w:pPr>
      <w:r>
        <w:rPr>
          <w:color w:val="444444"/>
          <w:sz w:val="20"/>
          <w:szCs w:val="20"/>
        </w:rPr>
        <w:t xml:space="preserve">— 翻身比替代轉移技術產生更多脊椎移動，主張將其從脊椎創傷常規中移除。</w:t>
      </w:r>
    </w:p>
    <w:p>
      <w:pPr>
        <w:pStyle w:val="ListParagraph"/>
        <w:numPr>
          <w:ilvl w:val="0"/>
          <w:numId w:val="2"/>
        </w:numPr>
        <w:spacing w:after="20" w:line="300"/>
      </w:pPr>
      <w:r>
        <w:rPr>
          <w:b/>
          <w:bCs/>
          <w:i w:val="false"/>
          <w:iCs w:val="false"/>
          <w:sz w:val="21"/>
          <w:szCs w:val="21"/>
        </w:rPr>
        <w:t xml:space="preserve">Del Rossi G, et al. </w:t>
      </w:r>
      <w:r>
        <w:rPr>
          <w:b w:val="false"/>
          <w:bCs w:val="false"/>
          <w:i/>
          <w:iCs/>
          <w:sz w:val="21"/>
          <w:szCs w:val="21"/>
        </w:rPr>
        <w:t xml:space="preserve">Are scoop stretchers suitable for use on spine-injured patients? </w:t>
      </w:r>
      <w:r>
        <w:rPr>
          <w:b/>
          <w:bCs/>
          <w:i w:val="false"/>
          <w:iCs w:val="false"/>
          <w:sz w:val="21"/>
          <w:szCs w:val="21"/>
        </w:rPr>
        <w:t xml:space="preserve">Am J Emerg Med.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2010;28(7):751–756.</w:t>
      </w:r>
    </w:p>
    <w:p>
      <w:pPr>
        <w:spacing w:after="140" w:line="300"/>
        <w:ind w:left="560"/>
      </w:pPr>
      <w:r>
        <w:rPr>
          <w:color w:val="444444"/>
          <w:sz w:val="20"/>
          <w:szCs w:val="20"/>
        </w:rPr>
        <w:t xml:space="preserve">— 大體研究（C5–C6 製造不穩定、3D 電磁追蹤）；鏟式限制脊椎移動的能力與抬滑相當，優於或等於現行徒手技術。</w:t>
      </w:r>
    </w:p>
    <w:p>
      <w:pPr>
        <w:pStyle w:val="ListParagraph"/>
        <w:numPr>
          <w:ilvl w:val="0"/>
          <w:numId w:val="2"/>
        </w:numPr>
        <w:spacing w:after="20" w:line="300"/>
      </w:pPr>
      <w:r>
        <w:rPr>
          <w:b/>
          <w:bCs/>
          <w:i w:val="false"/>
          <w:iCs w:val="false"/>
          <w:sz w:val="21"/>
          <w:szCs w:val="21"/>
        </w:rPr>
        <w:t xml:space="preserve">Shafer JS, Naunheim RS. </w:t>
      </w:r>
      <w:r>
        <w:rPr>
          <w:b w:val="false"/>
          <w:bCs w:val="false"/>
          <w:i/>
          <w:iCs/>
          <w:sz w:val="21"/>
          <w:szCs w:val="21"/>
        </w:rPr>
        <w:t xml:space="preserve">Cervical Spine Motion During Extrication: A Pilot Study. </w:t>
      </w:r>
      <w:r>
        <w:rPr>
          <w:b/>
          <w:bCs/>
          <w:i w:val="false"/>
          <w:iCs w:val="false"/>
          <w:sz w:val="21"/>
          <w:szCs w:val="21"/>
        </w:rPr>
        <w:t xml:space="preserve">West J Emerg Med.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2009;10(2):74–78.</w:t>
      </w:r>
    </w:p>
    <w:p>
      <w:pPr>
        <w:spacing w:after="140" w:line="300"/>
        <w:ind w:left="560"/>
      </w:pPr>
      <w:r>
        <w:rPr>
          <w:color w:val="444444"/>
          <w:sz w:val="20"/>
          <w:szCs w:val="20"/>
        </w:rPr>
        <w:t xml:space="preserve">— 紅外線動作捕捉模擬車脫困；戴頸圈下讓病患自行離車，頸椎移動最少。</w:t>
      </w:r>
    </w:p>
    <w:p>
      <w:pPr>
        <w:pStyle w:val="ListParagraph"/>
        <w:numPr>
          <w:ilvl w:val="0"/>
          <w:numId w:val="2"/>
        </w:numPr>
        <w:spacing w:after="20" w:line="300"/>
      </w:pPr>
      <w:r>
        <w:rPr>
          <w:b/>
          <w:bCs/>
          <w:i w:val="false"/>
          <w:iCs w:val="false"/>
          <w:sz w:val="21"/>
          <w:szCs w:val="21"/>
        </w:rPr>
        <w:t xml:space="preserve">Nutbeam T, et al. </w:t>
      </w:r>
      <w:r>
        <w:rPr>
          <w:b w:val="false"/>
          <w:bCs w:val="false"/>
          <w:i/>
          <w:iCs/>
          <w:sz w:val="21"/>
          <w:szCs w:val="21"/>
        </w:rPr>
        <w:t xml:space="preserve">The role of cervical collars and verbal instructions in minimising spinal movement during self-extrication following a motor vehicle collision – a biomechanical study using healthy volunteers. </w:t>
      </w:r>
      <w:r>
        <w:rPr>
          <w:b/>
          <w:bCs/>
          <w:i w:val="false"/>
          <w:iCs w:val="false"/>
          <w:sz w:val="21"/>
          <w:szCs w:val="21"/>
        </w:rPr>
        <w:t xml:space="preserve">Scand J Trauma Resusc Emerg Med.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2021;29(1):109.</w:t>
      </w:r>
    </w:p>
    <w:p>
      <w:pPr>
        <w:spacing w:after="140" w:line="300"/>
        <w:ind w:left="560"/>
      </w:pPr>
      <w:r>
        <w:rPr>
          <w:color w:val="444444"/>
          <w:sz w:val="20"/>
          <w:szCs w:val="20"/>
        </w:rPr>
        <w:t xml:space="preserve">— 10 名志願者、IMU、392 次脫困；最小頸椎移動為「戴頸圈、不額外指示、自行脫困」。</w:t>
      </w:r>
    </w:p>
    <w:p>
      <w:pPr>
        <w:pStyle w:val="ListParagraph"/>
        <w:numPr>
          <w:ilvl w:val="0"/>
          <w:numId w:val="2"/>
        </w:numPr>
        <w:spacing w:after="20" w:line="300"/>
      </w:pPr>
      <w:r>
        <w:rPr>
          <w:b/>
          <w:bCs/>
          <w:i w:val="false"/>
          <w:iCs w:val="false"/>
          <w:sz w:val="21"/>
          <w:szCs w:val="21"/>
        </w:rPr>
        <w:t xml:space="preserve">ACS-COT, ACEP, NAEMSP. </w:t>
      </w:r>
      <w:r>
        <w:rPr>
          <w:b w:val="false"/>
          <w:bCs w:val="false"/>
          <w:i/>
          <w:iCs/>
          <w:sz w:val="21"/>
          <w:szCs w:val="21"/>
        </w:rPr>
        <w:t xml:space="preserve">Spinal Motion Restriction in the Trauma Patient – A Joint Position Statement. </w:t>
      </w:r>
      <w:r>
        <w:rPr>
          <w:b/>
          <w:bCs/>
          <w:i w:val="false"/>
          <w:iCs w:val="false"/>
          <w:sz w:val="21"/>
          <w:szCs w:val="21"/>
        </w:rPr>
        <w:t xml:space="preserve">Prehosp Emerg Care. </w:t>
      </w:r>
      <w:r>
        <w:rPr>
          <w:b w:val="false"/>
          <w:bCs w:val="false"/>
          <w:i w:val="false"/>
          <w:iCs w:val="false"/>
          <w:sz w:val="21"/>
          <w:szCs w:val="21"/>
        </w:rPr>
        <w:t xml:space="preserve">2018;22(6):659–661.</w:t>
      </w:r>
    </w:p>
    <w:p>
      <w:pPr>
        <w:spacing w:after="140" w:line="300"/>
        <w:ind w:left="560"/>
      </w:pPr>
      <w:r>
        <w:rPr>
          <w:color w:val="444444"/>
          <w:sz w:val="20"/>
          <w:szCs w:val="20"/>
        </w:rPr>
        <w:t xml:space="preserve">— 三大醫師學會聯合共識；以 SMR 取代硬式固定，明文認可鏟式擔架為 SMR 工具。</w:t>
      </w:r>
    </w:p>
    <w:p>
      <w:pPr>
        <w:pBdr>
          <w:top w:val="single" w:color="CCCCCC" w:sz="4" w:space="6"/>
        </w:pBdr>
        <w:spacing w:before="120" w:line="280"/>
      </w:pPr>
      <w:r>
        <w:rPr>
          <w:color w:val="808080"/>
          <w:sz w:val="18"/>
          <w:szCs w:val="18"/>
        </w:rPr>
        <w:t xml:space="preserve">註：引言內〔1〕〜〔5〕的編號對應上方文獻清單。第 1、3、5 篇為開放取用；第 4 篇 BMC 開放全文已下載；第 2 篇有鏡像全文。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JhengHei" w:cs="Microsoft JhengHei" w:eastAsia="Microsoft JhengHei" w:hAnsi="Microsoft JhengHei"/>
      <w:b/>
      <w:bCs/>
      <w:color w:val="2E5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2026-06-07T13:50:08.353Z</dcterms:created>
  <dcterms:modified xsi:type="dcterms:W3CDTF">2026-06-07T13:50:08.354Z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