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Anthropometric Analysis Report</w:t>
      </w:r>
    </w:p>
    <w:p>
      <w:pPr>
        <w:pStyle w:val="Heading1"/>
      </w:pPr>
      <w:r>
        <w:t xml:space="preserve">Executive Summary</w:t>
      </w:r>
    </w:p>
    <w:p>
      <w:r>
        <w:t xml:space="preserve">This report presents a comprehensive analysis of anthropometric measurements from a dataset of 2,505 subjects. The analysis examines height and weight distributions, correlations between body measurements, and proportional relationships across demographic groups.</w:t>
      </w:r>
    </w:p>
    <w:p>
      <w:pPr>
        <w:pBdr>
          <w:bottom w:val="single" w:color="auto" w:sz="6" w:space="1"/>
        </w:pBdr>
      </w:pPr>
    </w:p>
    <w:p>
      <w:pPr>
        <w:pStyle w:val="Heading1"/>
      </w:pPr>
      <w:r>
        <w:t xml:space="preserve">1. Overall Height and Weight Distribution</w:t>
      </w:r>
    </w:p>
    <w:p>
      <w:pPr>
        <w:pStyle w:val="Heading2"/>
      </w:pPr>
      <w:r>
        <w:t xml:space="preserve">Key Findings</w:t>
      </w:r>
    </w:p>
    <w:p>
      <w:r>
        <w:t xml:space="preserve">The dataset comprises 2,505 subjects with the following aggregate measurements: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Metric</w:t>
            </w:r>
          </w:p>
        </w:tc>
        <w:tc>
          <w:p>
            <w:pPr>
              <w:jc w:val="left"/>
            </w:pPr>
            <w:r>
              <w:t xml:space="preserve">Value</w:t>
            </w:r>
          </w:p>
        </w:tc>
      </w:tr>
      <w:tr>
        <w:tc>
          <w:p>
            <w:pPr>
              <w:jc w:val="left"/>
            </w:pPr>
            <w:r>
              <w:rPr>
                <w:b/>
                <w:bCs/>
              </w:rPr>
              <w:t xml:space="preserve">Average Height</w:t>
            </w:r>
          </w:p>
        </w:tc>
        <w:tc>
          <w:p>
            <w:pPr>
              <w:jc w:val="left"/>
            </w:pPr>
            <w:r>
              <w:t xml:space="preserve">170.57 cm</w:t>
            </w:r>
          </w:p>
        </w:tc>
      </w:tr>
      <w:tr>
        <w:tc>
          <w:p>
            <w:pPr>
              <w:jc w:val="left"/>
            </w:pPr>
            <w:r>
              <w:rPr>
                <w:b/>
                <w:bCs/>
              </w:rPr>
              <w:t xml:space="preserve">Average Weight</w:t>
            </w:r>
          </w:p>
        </w:tc>
        <w:tc>
          <w:p>
            <w:pPr>
              <w:jc w:val="left"/>
            </w:pPr>
            <w:r>
              <w:t xml:space="preserve">74.29 kg</w:t>
            </w:r>
          </w:p>
        </w:tc>
      </w:tr>
      <w:tr>
        <w:tc>
          <w:p>
            <w:pPr>
              <w:jc w:val="left"/>
            </w:pPr>
            <w:r>
              <w:rPr>
                <w:b/>
                <w:bCs/>
              </w:rPr>
              <w:t xml:space="preserve">Total Subjects</w:t>
            </w:r>
          </w:p>
        </w:tc>
        <w:tc>
          <w:p>
            <w:pPr>
              <w:jc w:val="left"/>
            </w:pPr>
            <w:r>
              <w:t xml:space="preserve">2,505</w:t>
            </w:r>
          </w:p>
        </w:tc>
      </w:tr>
    </w:tbl>
    <w:p>
      <w:pPr>
        <w:pStyle w:val="Heading2"/>
      </w:pPr>
      <w:r>
        <w:t xml:space="preserve">Gender Breakdown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t xml:space="preserve">Gender</w:t>
            </w:r>
          </w:p>
        </w:tc>
        <w:tc>
          <w:p>
            <w:pPr>
              <w:jc w:val="left"/>
            </w:pPr>
            <w:r>
              <w:t xml:space="preserve">Count</w:t>
            </w:r>
          </w:p>
        </w:tc>
        <w:tc>
          <w:p>
            <w:pPr>
              <w:jc w:val="left"/>
            </w:pPr>
            <w:r>
              <w:t xml:space="preserve">Avg Height (cm)</w:t>
            </w:r>
          </w:p>
        </w:tc>
        <w:tc>
          <w:p>
            <w:pPr>
              <w:jc w:val="left"/>
            </w:pPr>
            <w:r>
              <w:t xml:space="preserve">Avg Weight (kg)</w:t>
            </w:r>
          </w:p>
        </w:tc>
        <w:tc>
          <w:p>
            <w:pPr>
              <w:jc w:val="left"/>
            </w:pPr>
            <w:r>
              <w:t xml:space="preserve">% of Sample</w:t>
            </w:r>
          </w:p>
        </w:tc>
      </w:tr>
      <w:tr>
        <w:tc>
          <w:p>
            <w:pPr>
              <w:jc w:val="left"/>
            </w:pPr>
            <w:r>
              <w:rPr>
                <w:b/>
                <w:bCs/>
              </w:rPr>
              <w:t xml:space="preserve">Female</w:t>
            </w:r>
          </w:p>
        </w:tc>
        <w:tc>
          <w:p>
            <w:pPr>
              <w:jc w:val="left"/>
            </w:pPr>
            <w:r>
              <w:t xml:space="preserve">1,084</w:t>
            </w:r>
          </w:p>
        </w:tc>
        <w:tc>
          <w:p>
            <w:pPr>
              <w:jc w:val="left"/>
            </w:pPr>
            <w:r>
              <w:t xml:space="preserve">163.24</w:t>
            </w:r>
          </w:p>
        </w:tc>
        <w:tc>
          <w:p>
            <w:pPr>
              <w:jc w:val="left"/>
            </w:pPr>
            <w:r>
              <w:t xml:space="preserve">66.35</w:t>
            </w:r>
          </w:p>
        </w:tc>
        <w:tc>
          <w:p>
            <w:pPr>
              <w:jc w:val="left"/>
            </w:pPr>
            <w:r>
              <w:t xml:space="preserve">43.3%</w:t>
            </w:r>
          </w:p>
        </w:tc>
      </w:tr>
      <w:tr>
        <w:tc>
          <w:p>
            <w:pPr>
              <w:jc w:val="left"/>
            </w:pPr>
            <w:r>
              <w:rPr>
                <w:b/>
                <w:bCs/>
              </w:rPr>
              <w:t xml:space="preserve">Male</w:t>
            </w:r>
          </w:p>
        </w:tc>
        <w:tc>
          <w:p>
            <w:pPr>
              <w:jc w:val="left"/>
            </w:pPr>
            <w:r>
              <w:t xml:space="preserve">1,421</w:t>
            </w:r>
          </w:p>
        </w:tc>
        <w:tc>
          <w:p>
            <w:pPr>
              <w:jc w:val="left"/>
            </w:pPr>
            <w:r>
              <w:t xml:space="preserve">176.17</w:t>
            </w:r>
          </w:p>
        </w:tc>
        <w:tc>
          <w:p>
            <w:pPr>
              <w:jc w:val="left"/>
            </w:pPr>
            <w:r>
              <w:t xml:space="preserve">80.35</w:t>
            </w:r>
          </w:p>
        </w:tc>
        <w:tc>
          <w:p>
            <w:pPr>
              <w:jc w:val="left"/>
            </w:pPr>
            <w:r>
              <w:t xml:space="preserve">56.7%</w:t>
            </w:r>
          </w:p>
        </w:tc>
      </w:tr>
      <w:tr>
        <w:tc>
          <w:p>
            <w:pPr>
              <w:jc w:val="left"/>
            </w:pPr>
            <w:r>
              <w:rPr>
                <w:b/>
                <w:bCs/>
              </w:rPr>
              <w:t xml:space="preserve">Difference</w:t>
            </w:r>
          </w:p>
        </w:tc>
        <w:tc>
          <w:p>
            <w:pPr>
              <w:jc w:val="left"/>
            </w:pPr>
            <w:r>
              <w:t xml:space="preserve">—</w:t>
            </w:r>
          </w:p>
        </w:tc>
        <w:tc>
          <w:p>
            <w:pPr>
              <w:jc w:val="left"/>
            </w:pPr>
            <w:r>
              <w:t xml:space="preserve">+12.93</w:t>
            </w:r>
          </w:p>
        </w:tc>
        <w:tc>
          <w:p>
            <w:pPr>
              <w:jc w:val="left"/>
            </w:pPr>
            <w:r>
              <w:t xml:space="preserve">+14.00</w:t>
            </w:r>
          </w:p>
        </w:tc>
        <w:tc>
          <w:p>
            <w:pPr>
              <w:jc w:val="left"/>
            </w:pPr>
            <w:r>
              <w:t xml:space="preserve">—</w:t>
            </w:r>
          </w:p>
        </w:tc>
      </w:tr>
    </w:tbl>
    <w:p>
      <w:pPr>
        <w:pStyle w:val="Heading2"/>
      </w:pPr>
      <w:r>
        <w:t xml:space="preserve">Interpretation</w:t>
      </w:r>
    </w:p>
    <w:p>
      <w:r>
        <w:t xml:space="preserve">The analysis reveals a pronounced gender differential in both anthropometric measures. Male subjects are approximately 13 centimeters taller and 14 kilograms heavier than female subjects on average. The dataset shows a slight overrepresentation of male subjects (56.7%) compared to female subjects (43.3%).</w:t>
      </w:r>
    </w:p>
    <w:p>
      <w:pPr>
        <w:pBdr>
          <w:bottom w:val="single" w:color="auto" w:sz="6" w:space="1"/>
        </w:pBdr>
      </w:pPr>
    </w:p>
    <w:p>
      <w:pPr>
        <w:pStyle w:val="Heading1"/>
      </w:pPr>
      <w:r>
        <w:t xml:space="preserve">2. Weight and Girth Measurement Correlations</w:t>
      </w:r>
    </w:p>
    <w:p>
      <w:pPr>
        <w:pStyle w:val="Heading2"/>
      </w:pPr>
      <w:r>
        <w:t xml:space="preserve">Overview</w:t>
      </w:r>
    </w:p>
    <w:p>
      <w:r>
        <w:t xml:space="preserve">Nine girth measurements were analyzed to determine their correlation with body weight. All measurements demonstrated statistically significant positive correlations, indicating that body weight is a strong predictor of circumferential dimensions across the entire body.</w:t>
      </w:r>
    </w:p>
    <w:p>
      <w:pPr>
        <w:pStyle w:val="Heading2"/>
      </w:pPr>
      <w:r>
        <w:t xml:space="preserve">Correlation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Girth Measurement</w:t>
            </w:r>
          </w:p>
        </w:tc>
        <w:tc>
          <w:p>
            <w:pPr>
              <w:jc w:val="left"/>
            </w:pPr>
            <w:r>
              <w:t xml:space="preserve">Correlation Coefficient</w:t>
            </w:r>
          </w:p>
        </w:tc>
        <w:tc>
          <w:p>
            <w:pPr>
              <w:jc w:val="left"/>
            </w:pPr>
            <w:r>
              <w:t xml:space="preserve">Strength Classification</w:t>
            </w:r>
          </w:p>
        </w:tc>
      </w:tr>
      <w:tr>
        <w:tc>
          <w:p>
            <w:pPr>
              <w:jc w:val="left"/>
            </w:pPr>
            <w:r>
              <w:rPr>
                <w:b/>
                <w:bCs/>
              </w:rPr>
              <w:t xml:space="preserve">Chest</w:t>
            </w:r>
          </w:p>
        </w:tc>
        <w:tc>
          <w:p>
            <w:pPr>
              <w:jc w:val="left"/>
            </w:pPr>
            <w:r>
              <w:t xml:space="preserve">0.915</w:t>
            </w:r>
          </w:p>
        </w:tc>
        <w:tc>
          <w:p>
            <w:pPr>
              <w:jc w:val="left"/>
            </w:pPr>
            <w:r>
              <w:t xml:space="preserve">Extremely Strong</w:t>
            </w:r>
          </w:p>
        </w:tc>
      </w:tr>
      <w:tr>
        <w:tc>
          <w:p>
            <w:pPr>
              <w:jc w:val="left"/>
            </w:pPr>
            <w:r>
              <w:rPr>
                <w:b/>
                <w:bCs/>
              </w:rPr>
              <w:t xml:space="preserve">Waist</w:t>
            </w:r>
          </w:p>
        </w:tc>
        <w:tc>
          <w:p>
            <w:pPr>
              <w:jc w:val="left"/>
            </w:pPr>
            <w:r>
              <w:t xml:space="preserve">0.913</w:t>
            </w:r>
          </w:p>
        </w:tc>
        <w:tc>
          <w:p>
            <w:pPr>
              <w:jc w:val="left"/>
            </w:pPr>
            <w:r>
              <w:t xml:space="preserve">Extremely Strong</w:t>
            </w:r>
          </w:p>
        </w:tc>
      </w:tr>
      <w:tr>
        <w:tc>
          <w:p>
            <w:pPr>
              <w:jc w:val="left"/>
            </w:pPr>
            <w:r>
              <w:rPr>
                <w:b/>
                <w:bCs/>
              </w:rPr>
              <w:t xml:space="preserve">Hip</w:t>
            </w:r>
          </w:p>
        </w:tc>
        <w:tc>
          <w:p>
            <w:pPr>
              <w:jc w:val="left"/>
            </w:pPr>
            <w:r>
              <w:t xml:space="preserve">0.890</w:t>
            </w:r>
          </w:p>
        </w:tc>
        <w:tc>
          <w:p>
            <w:pPr>
              <w:jc w:val="left"/>
            </w:pPr>
            <w:r>
              <w:t xml:space="preserve">Very Strong</w:t>
            </w:r>
          </w:p>
        </w:tc>
      </w:tr>
      <w:tr>
        <w:tc>
          <w:p>
            <w:pPr>
              <w:jc w:val="left"/>
            </w:pPr>
            <w:r>
              <w:rPr>
                <w:b/>
                <w:bCs/>
              </w:rPr>
              <w:t xml:space="preserve">Bicep</w:t>
            </w:r>
          </w:p>
        </w:tc>
        <w:tc>
          <w:p>
            <w:pPr>
              <w:jc w:val="left"/>
            </w:pPr>
            <w:r>
              <w:t xml:space="preserve">0.875</w:t>
            </w:r>
          </w:p>
        </w:tc>
        <w:tc>
          <w:p>
            <w:pPr>
              <w:jc w:val="left"/>
            </w:pPr>
            <w:r>
              <w:t xml:space="preserve">Very Strong</w:t>
            </w:r>
          </w:p>
        </w:tc>
      </w:tr>
      <w:tr>
        <w:tc>
          <w:p>
            <w:pPr>
              <w:jc w:val="left"/>
            </w:pPr>
            <w:r>
              <w:rPr>
                <w:b/>
                <w:bCs/>
              </w:rPr>
              <w:t xml:space="preserve">Forearm</w:t>
            </w:r>
          </w:p>
        </w:tc>
        <w:tc>
          <w:p>
            <w:pPr>
              <w:jc w:val="left"/>
            </w:pPr>
            <w:r>
              <w:t xml:space="preserve">0.873</w:t>
            </w:r>
          </w:p>
        </w:tc>
        <w:tc>
          <w:p>
            <w:pPr>
              <w:jc w:val="left"/>
            </w:pPr>
            <w:r>
              <w:t xml:space="preserve">Very Strong</w:t>
            </w:r>
          </w:p>
        </w:tc>
      </w:tr>
      <w:tr>
        <w:tc>
          <w:p>
            <w:pPr>
              <w:jc w:val="left"/>
            </w:pPr>
            <w:r>
              <w:rPr>
                <w:b/>
                <w:bCs/>
              </w:rPr>
              <w:t xml:space="preserve">Thigh</w:t>
            </w:r>
          </w:p>
        </w:tc>
        <w:tc>
          <w:p>
            <w:pPr>
              <w:jc w:val="left"/>
            </w:pPr>
            <w:r>
              <w:t xml:space="preserve">0.843</w:t>
            </w:r>
          </w:p>
        </w:tc>
        <w:tc>
          <w:p>
            <w:pPr>
              <w:jc w:val="left"/>
            </w:pPr>
            <w:r>
              <w:t xml:space="preserve">Strong</w:t>
            </w:r>
          </w:p>
        </w:tc>
      </w:tr>
      <w:tr>
        <w:tc>
          <w:p>
            <w:pPr>
              <w:jc w:val="left"/>
            </w:pPr>
            <w:r>
              <w:rPr>
                <w:b/>
                <w:bCs/>
              </w:rPr>
              <w:t xml:space="preserve">Wrist</w:t>
            </w:r>
          </w:p>
        </w:tc>
        <w:tc>
          <w:p>
            <w:pPr>
              <w:jc w:val="left"/>
            </w:pPr>
            <w:r>
              <w:t xml:space="preserve">0.830</w:t>
            </w:r>
          </w:p>
        </w:tc>
        <w:tc>
          <w:p>
            <w:pPr>
              <w:jc w:val="left"/>
            </w:pPr>
            <w:r>
              <w:t xml:space="preserve">Strong</w:t>
            </w:r>
          </w:p>
        </w:tc>
      </w:tr>
      <w:tr>
        <w:tc>
          <w:p>
            <w:pPr>
              <w:jc w:val="left"/>
            </w:pPr>
            <w:r>
              <w:rPr>
                <w:b/>
                <w:bCs/>
              </w:rPr>
              <w:t xml:space="preserve">Calf</w:t>
            </w:r>
          </w:p>
        </w:tc>
        <w:tc>
          <w:p>
            <w:pPr>
              <w:jc w:val="left"/>
            </w:pPr>
            <w:r>
              <w:t xml:space="preserve">0.821</w:t>
            </w:r>
          </w:p>
        </w:tc>
        <w:tc>
          <w:p>
            <w:pPr>
              <w:jc w:val="left"/>
            </w:pPr>
            <w:r>
              <w:t xml:space="preserve">Strong</w:t>
            </w:r>
          </w:p>
        </w:tc>
      </w:tr>
      <w:tr>
        <w:tc>
          <w:p>
            <w:pPr>
              <w:jc w:val="left"/>
            </w:pPr>
            <w:r>
              <w:rPr>
                <w:b/>
                <w:bCs/>
              </w:rPr>
              <w:t xml:space="preserve">Ankle</w:t>
            </w:r>
          </w:p>
        </w:tc>
        <w:tc>
          <w:p>
            <w:pPr>
              <w:jc w:val="left"/>
            </w:pPr>
            <w:r>
              <w:t xml:space="preserve">0.771</w:t>
            </w:r>
          </w:p>
        </w:tc>
        <w:tc>
          <w:p>
            <w:pPr>
              <w:jc w:val="left"/>
            </w:pPr>
            <w:r>
              <w:t xml:space="preserve">Moderate-Strong</w:t>
            </w:r>
          </w:p>
        </w:tc>
      </w:tr>
      <w:tr>
        <w:tc>
          <w:p>
            <w:pPr>
              <w:jc w:val="left"/>
            </w:pPr>
            <w:r>
              <w:rPr>
                <w:b/>
                <w:bCs/>
              </w:rPr>
              <w:t xml:space="preserve">Average Across All Measurements</w:t>
            </w:r>
          </w:p>
        </w:tc>
        <w:tc>
          <w:p>
            <w:pPr>
              <w:jc w:val="left"/>
            </w:pPr>
            <w:r>
              <w:t xml:space="preserve">0.859</w:t>
            </w:r>
          </w:p>
        </w:tc>
        <w:tc>
          <w:p>
            <w:pPr>
              <w:jc w:val="left"/>
            </w:pPr>
            <w:r>
              <w:t xml:space="preserve">—</w:t>
            </w:r>
          </w:p>
        </w:tc>
      </w:tr>
    </w:tbl>
    <w:p>
      <w:pPr>
        <w:pStyle w:val="Heading2"/>
      </w:pPr>
      <w:r>
        <w:t xml:space="preserve">Detailed Analysis</w:t>
      </w:r>
    </w:p>
    <w:p>
      <w:r>
        <w:rPr>
          <w:b/>
          <w:bCs/>
        </w:rPr>
        <w:t xml:space="preserve">Torso Measurements (Chest, Waist, Hip):</w:t>
      </w:r>
      <w:r>
        <w:t xml:space="preserve"> These measurements demonstrate the strongest correlations with weight (0.890–0.915), suggesting that weight accumulation is most pronounced in the central body region. This aligns with physiological expectations, as the torso represents the largest mass concentration.</w:t>
      </w:r>
    </w:p>
    <w:p>
      <w:r>
        <w:rPr>
          <w:b/>
          <w:bCs/>
        </w:rPr>
        <w:t xml:space="preserve">Limb Measurements:</w:t>
      </w:r>
      <w:r>
        <w:t xml:space="preserve"> Measurements of the upper extremities (bicep: 0.875, forearm: 0.873) and lower extremities (thigh: 0.843, calf: 0.821) show strong but slightly diminished correlations compared to torso measurements. This indicates that while weight affects limb circumference, the effect is more pronounced centrally.</w:t>
      </w:r>
    </w:p>
    <w:p>
      <w:r>
        <w:rPr>
          <w:b/>
          <w:bCs/>
        </w:rPr>
        <w:t xml:space="preserve">Peripheral Measurements:</w:t>
      </w:r>
      <w:r>
        <w:t xml:space="preserve"> Wrist (0.830) and ankle (0.771) measurements display the weakest correlations, yet still classify as strong. These peripheral sites are less affected by weight changes than more proximal body segments.</w:t>
      </w:r>
    </w:p>
    <w:p>
      <w:pPr>
        <w:pStyle w:val="Heading2"/>
      </w:pPr>
      <w:r>
        <w:t xml:space="preserve">Conclusion</w:t>
      </w:r>
    </w:p>
    <w:p>
      <w:r>
        <w:t xml:space="preserve">The consistently high correlations across all measurements indicate that body weight is a reliable predictor of girth dimensions throughout the entire body. This relationship supports the use of weight as a primary indicator in body composition assessments.</w:t>
      </w:r>
    </w:p>
    <w:p>
      <w:pPr>
        <w:pBdr>
          <w:bottom w:val="single" w:color="auto" w:sz="6" w:space="1"/>
        </w:pBdr>
      </w:pPr>
    </w:p>
    <w:p>
      <w:pPr>
        <w:pStyle w:val="Heading1"/>
      </w:pPr>
      <w:r>
        <w:t xml:space="preserve">3. Leg-Length to Height Proportions</w:t>
      </w:r>
    </w:p>
    <w:p>
      <w:pPr>
        <w:pStyle w:val="Heading2"/>
      </w:pPr>
      <w:r>
        <w:t xml:space="preserve">Overall Average Ratio</w:t>
      </w:r>
    </w:p>
    <w:p>
      <w:r>
        <w:t xml:space="preserve">The leg-length to total height ratio across all subjects averages </w:t>
      </w:r>
      <w:r>
        <w:rPr>
          <w:b/>
          <w:bCs/>
        </w:rPr>
        <w:t xml:space="preserve">45.50%</w:t>
      </w:r>
      <w:r>
        <w:t xml:space="preserve">, indicating that legs constitute approximately 45-46% of an individual's total body height.</w:t>
      </w:r>
    </w:p>
    <w:p>
      <w:pPr>
        <w:pStyle w:val="Heading2"/>
      </w:pPr>
      <w:r>
        <w:t xml:space="preserve">Ratio Analysis by Height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t xml:space="preserve">Height Category</w:t>
            </w:r>
          </w:p>
        </w:tc>
        <w:tc>
          <w:p>
            <w:pPr>
              <w:jc w:val="left"/>
            </w:pPr>
            <w:r>
              <w:t xml:space="preserve">Count</w:t>
            </w:r>
          </w:p>
        </w:tc>
        <w:tc>
          <w:p>
            <w:pPr>
              <w:jc w:val="left"/>
            </w:pPr>
            <w:r>
              <w:t xml:space="preserve">Avg Ratio (%)</w:t>
            </w:r>
          </w:p>
        </w:tc>
        <w:tc>
          <w:p>
            <w:pPr>
              <w:jc w:val="left"/>
            </w:pPr>
            <w:r>
              <w:t xml:space="preserve">Min Ratio (%)</w:t>
            </w:r>
          </w:p>
        </w:tc>
        <w:tc>
          <w:p>
            <w:pPr>
              <w:jc w:val="left"/>
            </w:pPr>
            <w:r>
              <w:t xml:space="preserve">Max Ratio (%)</w:t>
            </w:r>
          </w:p>
        </w:tc>
      </w:tr>
      <w:tr>
        <w:tc>
          <w:p>
            <w:pPr>
              <w:jc w:val="left"/>
            </w:pPr>
            <w:r>
              <w:rPr>
                <w:b/>
                <w:bCs/>
              </w:rPr>
              <w:t xml:space="preserve">&lt; 160 cm (Short)</w:t>
            </w:r>
          </w:p>
        </w:tc>
        <w:tc>
          <w:p>
            <w:pPr>
              <w:jc w:val="left"/>
            </w:pPr>
            <w:r>
              <w:t xml:space="preserve">292</w:t>
            </w:r>
          </w:p>
        </w:tc>
        <w:tc>
          <w:p>
            <w:pPr>
              <w:jc w:val="left"/>
            </w:pPr>
            <w:r>
              <w:t xml:space="preserve">45.17</w:t>
            </w:r>
          </w:p>
        </w:tc>
        <w:tc>
          <w:p>
            <w:pPr>
              <w:jc w:val="left"/>
            </w:pPr>
            <w:r>
              <w:t xml:space="preserve">41.96</w:t>
            </w:r>
          </w:p>
        </w:tc>
        <w:tc>
          <w:p>
            <w:pPr>
              <w:jc w:val="left"/>
            </w:pPr>
            <w:r>
              <w:t xml:space="preserve">48.75</w:t>
            </w:r>
          </w:p>
        </w:tc>
      </w:tr>
      <w:tr>
        <w:tc>
          <w:p>
            <w:pPr>
              <w:jc w:val="left"/>
            </w:pPr>
            <w:r>
              <w:rPr>
                <w:b/>
                <w:bCs/>
              </w:rPr>
              <w:t xml:space="preserve">160–170 cm (Below Average)</w:t>
            </w:r>
          </w:p>
        </w:tc>
        <w:tc>
          <w:p>
            <w:pPr>
              <w:jc w:val="left"/>
            </w:pPr>
            <w:r>
              <w:t xml:space="preserve">813</w:t>
            </w:r>
          </w:p>
        </w:tc>
        <w:tc>
          <w:p>
            <w:pPr>
              <w:jc w:val="left"/>
            </w:pPr>
            <w:r>
              <w:t xml:space="preserve">45.56</w:t>
            </w:r>
          </w:p>
        </w:tc>
        <w:tc>
          <w:p>
            <w:pPr>
              <w:jc w:val="left"/>
            </w:pPr>
            <w:r>
              <w:t xml:space="preserve">41.33</w:t>
            </w:r>
          </w:p>
        </w:tc>
        <w:tc>
          <w:p>
            <w:pPr>
              <w:jc w:val="left"/>
            </w:pPr>
            <w:r>
              <w:t xml:space="preserve">49.13</w:t>
            </w:r>
          </w:p>
        </w:tc>
      </w:tr>
      <w:tr>
        <w:tc>
          <w:p>
            <w:pPr>
              <w:jc w:val="left"/>
            </w:pPr>
            <w:r>
              <w:rPr>
                <w:b/>
                <w:bCs/>
              </w:rPr>
              <w:t xml:space="preserve">170–180 cm (Average)</w:t>
            </w:r>
          </w:p>
        </w:tc>
        <w:tc>
          <w:p>
            <w:pPr>
              <w:jc w:val="left"/>
            </w:pPr>
            <w:r>
              <w:t xml:space="preserve">907</w:t>
            </w:r>
          </w:p>
        </w:tc>
        <w:tc>
          <w:p>
            <w:pPr>
              <w:jc w:val="left"/>
            </w:pPr>
            <w:r>
              <w:t xml:space="preserve">45.42</w:t>
            </w:r>
          </w:p>
        </w:tc>
        <w:tc>
          <w:p>
            <w:pPr>
              <w:jc w:val="left"/>
            </w:pPr>
            <w:r>
              <w:t xml:space="preserve">41.86</w:t>
            </w:r>
          </w:p>
        </w:tc>
        <w:tc>
          <w:p>
            <w:pPr>
              <w:jc w:val="left"/>
            </w:pPr>
            <w:r>
              <w:t xml:space="preserve">49.61</w:t>
            </w:r>
          </w:p>
        </w:tc>
      </w:tr>
      <w:tr>
        <w:tc>
          <w:p>
            <w:pPr>
              <w:jc w:val="left"/>
            </w:pPr>
            <w:r>
              <w:rPr>
                <w:b/>
                <w:bCs/>
              </w:rPr>
              <w:t xml:space="preserve">≥ 180 cm (Tall)</w:t>
            </w:r>
          </w:p>
        </w:tc>
        <w:tc>
          <w:p>
            <w:pPr>
              <w:jc w:val="left"/>
            </w:pPr>
            <w:r>
              <w:t xml:space="preserve">493</w:t>
            </w:r>
          </w:p>
        </w:tc>
        <w:tc>
          <w:p>
            <w:pPr>
              <w:jc w:val="left"/>
            </w:pPr>
            <w:r>
              <w:t xml:space="preserve">45.75</w:t>
            </w:r>
          </w:p>
        </w:tc>
        <w:tc>
          <w:p>
            <w:pPr>
              <w:jc w:val="left"/>
            </w:pPr>
            <w:r>
              <w:t xml:space="preserve">41.58</w:t>
            </w:r>
          </w:p>
        </w:tc>
        <w:tc>
          <w:p>
            <w:pPr>
              <w:jc w:val="left"/>
            </w:pPr>
            <w:r>
              <w:t xml:space="preserve">50.93</w:t>
            </w:r>
          </w:p>
        </w:tc>
      </w:tr>
    </w:tbl>
    <w:p>
      <w:pPr>
        <w:pStyle w:val="Heading2"/>
      </w:pPr>
      <w:r>
        <w:t xml:space="preserve">Trend Analysis</w:t>
      </w:r>
    </w:p>
    <w:p>
      <w:r>
        <w:t xml:space="preserve">A notable pattern emerges across height categories: as overall height increases, the leg-to-height ratio increases proportionally. Specifically:</w:t>
      </w:r>
    </w:p>
    <w:p>
      <w:pPr>
        <w:pStyle w:val="ListParagraph"/>
        <w:numPr>
          <w:ilvl w:val="0"/>
          <w:numId w:val="1"/>
        </w:numPr>
      </w:pPr>
      <w:r>
        <w:rPr>
          <w:b/>
          <w:bCs/>
        </w:rPr>
        <w:t xml:space="preserve">Short individuals</w:t>
      </w:r>
      <w:r>
        <w:t xml:space="preserve"> (&lt; 160 cm) exhibit the lowest ratio at 45.17%</w:t>
      </w:r>
    </w:p>
    <w:p>
      <w:pPr>
        <w:pStyle w:val="ListParagraph"/>
        <w:numPr>
          <w:ilvl w:val="0"/>
          <w:numId w:val="1"/>
        </w:numPr>
      </w:pPr>
      <w:r>
        <w:rPr>
          <w:b/>
          <w:bCs/>
        </w:rPr>
        <w:t xml:space="preserve">Tall individuals</w:t>
      </w:r>
      <w:r>
        <w:t xml:space="preserve"> (≥ 180 cm) exhibit the highest ratio at 45.75%</w:t>
      </w:r>
    </w:p>
    <w:p>
      <w:pPr>
        <w:pStyle w:val="ListParagraph"/>
        <w:numPr>
          <w:ilvl w:val="0"/>
          <w:numId w:val="1"/>
        </w:numPr>
      </w:pPr>
      <w:r>
        <w:rPr>
          <w:b/>
          <w:bCs/>
        </w:rPr>
        <w:t xml:space="preserve">Variance:</w:t>
      </w:r>
      <w:r>
        <w:t xml:space="preserve"> 0.58 percentage points between shortest and tallest groups</w:t>
      </w:r>
    </w:p>
    <w:p>
      <w:r>
        <w:t xml:space="preserve">This 0.58 percentage point differential, while modest in absolute terms, is consistent and directional, indicating that taller individuals possess proportionally longer legs relative to their total height compared to shorter individuals.</w:t>
      </w:r>
    </w:p>
    <w:p>
      <w:pPr>
        <w:pStyle w:val="Heading2"/>
      </w:pPr>
      <w:r>
        <w:t xml:space="preserve">Anthropological Significance</w:t>
      </w:r>
    </w:p>
    <w:p>
      <w:r>
        <w:t xml:space="preserve">This finding suggests that height gains in taller individuals derive disproportionately from leg length rather than torso length. Conversely, shorter individuals exhibit relatively greater torso-to-leg proportions. This relationship may reflect both genetic variation and developmental factors that influence body segment proportionality.</w:t>
      </w:r>
    </w:p>
    <w:p>
      <w:pPr>
        <w:pBdr>
          <w:bottom w:val="single" w:color="auto" w:sz="6" w:space="1"/>
        </w:pBdr>
      </w:pPr>
    </w:p>
    <w:p>
      <w:pPr>
        <w:pStyle w:val="Heading1"/>
      </w:pPr>
      <w:r>
        <w:t xml:space="preserve">4. Summary and Recommendations</w:t>
      </w:r>
    </w:p>
    <w:p>
      <w:pPr>
        <w:pStyle w:val="Heading2"/>
      </w:pPr>
      <w:r>
        <w:t xml:space="preserve">Key Takeaways</w:t>
      </w:r>
    </w:p>
    <w:p>
      <w:pPr>
        <w:pStyle w:val="ListParagraph"/>
        <w:numPr>
          <w:ilvl w:val="0"/>
          <w:numId w:val="2"/>
        </w:numPr>
      </w:pPr>
      <w:r>
        <w:rPr>
          <w:b/>
          <w:bCs/>
        </w:rPr>
        <w:t xml:space="preserve">Gender Differences:</w:t>
      </w:r>
      <w:r>
        <w:t xml:space="preserve"> Clear and substantial anthropometric differences exist between genders, with males averaging 13 cm taller and 14 kg heavier than females.</w:t>
      </w:r>
    </w:p>
    <w:p>
      <w:pPr>
        <w:pStyle w:val="ListParagraph"/>
        <w:numPr>
          <w:ilvl w:val="0"/>
          <w:numId w:val="2"/>
        </w:numPr>
      </w:pPr>
      <w:r>
        <w:rPr>
          <w:b/>
          <w:bCs/>
        </w:rPr>
        <w:t xml:space="preserve">Weight Predictability:</w:t>
      </w:r>
      <w:r>
        <w:t xml:space="preserve"> Body weight correlates very strongly with girth measurements across all body regions (r &gt; 0.77), making weight an effective proxy for overall body circumference.</w:t>
      </w:r>
    </w:p>
    <w:p>
      <w:pPr>
        <w:pStyle w:val="ListParagraph"/>
        <w:numPr>
          <w:ilvl w:val="0"/>
          <w:numId w:val="2"/>
        </w:numPr>
      </w:pPr>
      <w:r>
        <w:rPr>
          <w:b/>
          <w:bCs/>
        </w:rPr>
        <w:t xml:space="preserve">Proportional Variation:</w:t>
      </w:r>
      <w:r>
        <w:t xml:space="preserve"> Body proportions, specifically leg-to-height ratios, vary slightly but consistently with overall height, suggesting differential growth patterns across height categories.</w:t>
      </w:r>
    </w:p>
    <w:p>
      <w:pPr>
        <w:pStyle w:val="ListParagraph"/>
        <w:numPr>
          <w:ilvl w:val="0"/>
          <w:numId w:val="2"/>
        </w:numPr>
      </w:pPr>
      <w:r>
        <w:rPr>
          <w:b/>
          <w:bCs/>
        </w:rPr>
        <w:t xml:space="preserve">Data Quality:</w:t>
      </w:r>
      <w:r>
        <w:t xml:space="preserve"> The analysis incorporated 2,505 subjects across multiple data files with complete measurement coverage, indicating robust and reliable findings.</w:t>
      </w:r>
    </w:p>
    <w:p>
      <w:pPr>
        <w:pStyle w:val="Heading2"/>
      </w:pPr>
      <w:r>
        <w:t xml:space="preserve">Applications</w:t>
      </w:r>
    </w:p>
    <w:p>
      <w:r>
        <w:t xml:space="preserve">These findings have implications for:</w:t>
      </w:r>
    </w:p>
    <w:p>
      <w:pPr>
        <w:pStyle w:val="ListParagraph"/>
        <w:numPr>
          <w:ilvl w:val="0"/>
          <w:numId w:val="1"/>
        </w:numPr>
      </w:pPr>
      <w:r>
        <w:t xml:space="preserve">Anthropometric modeling and prediction algorithms</w:t>
      </w:r>
    </w:p>
    <w:p>
      <w:pPr>
        <w:pStyle w:val="ListParagraph"/>
        <w:numPr>
          <w:ilvl w:val="0"/>
          <w:numId w:val="1"/>
        </w:numPr>
      </w:pPr>
      <w:r>
        <w:t xml:space="preserve">Body composition assessment frameworks</w:t>
      </w:r>
    </w:p>
    <w:p>
      <w:pPr>
        <w:pStyle w:val="ListParagraph"/>
        <w:numPr>
          <w:ilvl w:val="0"/>
          <w:numId w:val="1"/>
        </w:numPr>
      </w:pPr>
      <w:r>
        <w:t xml:space="preserve">Tailoring of clothing and ergonomic design</w:t>
      </w:r>
    </w:p>
    <w:p>
      <w:pPr>
        <w:pStyle w:val="ListParagraph"/>
        <w:numPr>
          <w:ilvl w:val="0"/>
          <w:numId w:val="1"/>
        </w:numPr>
      </w:pPr>
      <w:r>
        <w:t xml:space="preserve">Health and fitness benchmarking standards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2026-06-29T04:36:00.179Z</dcterms:created>
  <dcterms:modified xsi:type="dcterms:W3CDTF">2026-06-29T04:36:00.179Z</dcterms:modified>
</cp:coreProperties>
</file>

<file path=docProps/custom.xml><?xml version="1.0" encoding="utf-8"?>
<Properties xmlns="http://schemas.openxmlformats.org/officeDocument/2006/custom-properties" xmlns:vt="http://schemas.openxmlformats.org/officeDocument/2006/docPropsVTypes"/>
</file>