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OLIST CUSTOMER ANALYTICS</w:t>
      </w:r>
    </w:p>
    <w:p>
      <w:pPr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End-to-End Analytical Walkthrough &amp; Final Results</w:t>
      </w:r>
    </w:p>
    <w:p>
      <w:pPr>
        <w:spacing w:before="0" w:after="80"/>
      </w:pPr>
      <w:r>
        <w:t xml:space="preserve"/>
      </w:r>
    </w:p>
    <w:p>
      <w:pPr>
        <w:pBdr>
          <w:bottom w:val="single" w:color="1F5C99" w:sz="12" w:space="4"/>
        </w:pBdr>
        <w:jc w:val="center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Group 3  |  March 24, 2026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Source script: Group3_Olist_Master_Analysis.R</w:t>
      </w:r>
    </w:p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Executive Summary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1"/>
                <w:szCs w:val="21"/>
              </w:rPr>
              <w:t xml:space="preserve">Olist's repeat rate is ~3%. CLV scenarios show large revenue upside if repeat moves to 5–6%. A leakage-aware logistic regression model (AUC 0.743) surfaces 888 High-Potential Dormant Buyers at P(repeat) ≥ 10%. A BRL 15 intervention yields approximately BRL 8,453 expected net profit on this segment — validated through a proposed randomized voucher experiment before scaling.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Holdout AUC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36"/>
                <w:szCs w:val="36"/>
              </w:rPr>
              <w:t xml:space="preserve">0.743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Logistic regression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High-Potential Segment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888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customers (P(repeat) ≥ 10%)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 Profit (scale-up)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6"/>
                <w:szCs w:val="36"/>
              </w:rPr>
              <w:t xml:space="preserve">BRL 8,453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per campaign cycle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Data &amp; RFM Foundation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pipeline begins by loading the Olist e-commerce dataset, cleaning it to customer grain (customer_unique_id), and computing standard RFM dimensions. A repeat buyer is defined as any customer with frequency ≥ 2. Monetary captures item price only (freight is treated separately).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Two modes are supported: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cleaning from raw Olist CSVs when olist_orders_dataset.csv is present in RAW_DATA_DIR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Pre-cleaned load from orders_full + rfm_table (RDS or CSV from the Clean Dataset csv/ folder)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1B — EDA Plots (Milestone 2)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diagnostic figures are written to the plots/ directory (toggle via RUN_MILESTONE2_EDA). They ground the entire analytical story: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1 — Repeat vs. One-Time Customer Counts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97% of Olist's 93,349 unique customers purchased only once. This stark concentration of one-time buyers is the central business problem motivating the entire analysis.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2 — Total Spend Distribution (BRL, Log Scale)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 spend spans several orders of magnitude. The wide spread across the log scale validates the need for segmentation — a single average-customer assumption would be misleading.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3 — Delivery Delay Distribution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Most orders arrive early or on time. However, approximately 8% of orders are late. The delay distribution is right-skewed, with some extreme late deliveries beyond 100 days. This tail matters because delivery experience is a key predictor in the repeat-purchase model.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4 — Recency Distribution (Days Since Last Purchase)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median customer last purchased 219 days ago. The distribution is spread broadly across the full date range (reference: 2018-08-29), confirming that most of the customer base is dormant — consistent with the 97% one-time buyer finding.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5 — Review Score Buckets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 satisfaction skews strongly positive: 54,467 customers (over 58%) gave a perfect score of 5. Low scores (1 or 2) account for roughly 12.7% of customers. Despite high satisfaction, this does not translate into return purchases — suggesting that satisfaction alone is an insufficient retention lever.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Figure 6 — Spend by Buyer Type (Log Boxplot)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Repeat buyers have a systematically higher median spend than one-time buyers, with a tighter interquartile range. This separation in the monetary dimension supports the business case for investing in repeat-purchase conversion.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Baseline CLV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baseline CLV model uses a flat global P(repeat) of approximately 3% for one-time buyers, while repeat buyers receive P(repeat) = 1. The formula is:</w:t>
      </w:r>
    </w:p>
    <w:p>
      <w:pPr>
        <w:spacing w:before="0" w:after="40"/>
      </w:pPr>
      <w:r>
        <w:t xml:space="preserve"/>
      </w:r>
    </w:p>
    <w:p>
      <w:pPr>
        <w:shd w:fill="F5F5F5" w:val="clear"/>
        <w:jc w:val="center"/>
      </w:pPr>
      <w:r>
        <w:rPr>
          <w:rFonts w:ascii="Courier New" w:cs="Courier New" w:eastAsia="Courier New" w:hAnsi="Courier New"/>
          <w:b/>
          <w:bCs/>
          <w:color w:val="404040"/>
          <w:sz w:val="22"/>
          <w:szCs w:val="22"/>
        </w:rPr>
        <w:t xml:space="preserve">CLV = P(repeat) × AOV × frequency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baseline establishes the initial clv_tier and clv_score columns needed for downstream pipeline joins. It is intentionally conservative — replaced in Section 4 with individualized model-based predictions. Revenue scenarios are computed in Section 4 once model-based P(repeat) is available, so there is a single authoritative version of revenue_impact_table.csv.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CLV Score Distribution by Buyer Type</w:t>
      </w:r>
    </w:p>
    <w:p>
      <w:pPr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CLV distribution is heavily right-skewed and concentrated near zero for one-time buyers, while repeat buyers show a longer tail extending toward BRL 300+. This contrast reinforces why a flat 3% assumption is an inadequate representation of the one-time buyer segment — the model-based granular CLV in Section 4 corrects this.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Outputs: clv_table.csv / clv_table.rds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Experience Signals &amp; Repeat-Purchase Classifier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Section 3 is the analytical core. It computes first-order delivery and experience signals, then trains a logistic regression classifier to predict P(repeat) for each customer.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Modeling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Train/test split: 70% training, 30% holdout — seed 520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Recency and frequency excluded from predictors to prevent data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Logistic regression chosen for interpretability and coefficient-level insight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Model Performance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Holdout AUC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44"/>
                <w:szCs w:val="44"/>
              </w:rPr>
              <w:t xml:space="preserve">0.743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Acceptable discrimination — sufficient for targeting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Predicted Repeat Probability Distribution — One-Time Buyers</w:t>
      </w:r>
    </w:p>
    <w:p>
      <w:pPr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vast majority of one-time buyers receive a model-predicted P(repeat) below 10% — consistent with the platform's 3% observed repeat rate. The red dashed line marks the 10% targeting threshold. The 888 customers to the right of this line form the High-Potential Dormant Buyers segment targeted in Section 4.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Feature Importance (Ranked by |Coefficient|)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Note: Payment method coefficients (boleto, credit card) should be interpreted with care — reference-category effects can inflate their magnitudes. For the business narrative, emphasis is placed on voucher, installments, freight, delay, and monetary.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1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Odds Ratio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used_boleto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97.86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 ***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used_credit_card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90.17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 ***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used_voucher 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3.81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 ***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avg_installments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0.006 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avg_review_score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0.332 (n.s.)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avg_freight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 ***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first_delivery_delay_days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0.003 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Decreases P(repeat)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monetary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 ***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P(repeat)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★ Voucher usage is the most actionable lever: OR = 3.81, highly significant. This directly motivates the voucher-based targeting intervention in Section 4.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Outputs: delay_threshold_table.csv, experience_summary.csv, feature_importance_ranking.csv, customer_p_repeat_scores.csv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Granular CLV v2, Revenue Scenarios &amp; Targeting P&amp;L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Section 4 replaces the flat 3% baseline with individualized model-based P(repeat) for each one-time buyer. This produces a more accurate CLV estimate, enabling risk-calibrated targeting. All shared campaign variables — avg_order_val_all, avg_repeat_freq, current_rate, and cost_per_customer — are defined once here and flow through to Section 5, eliminating the redundant re-assignments that existed in earlier drafts.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Revenue Scenarios (Single Authoritative Version)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Scenario math: incremental buyers × average order value (BRL 137.51) × average repeat frequency (2.11 orders per repeat buyer). This is the only version of revenue_impact_table.csv — the earlier Section 2 placeholder using the flat-3% CLV has been removed.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Incremental Buyers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AOV (BRL)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Incremental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3% → 5% repeat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1,866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137.51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542,532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3% → 6% repeat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137.51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813,876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Targeting Rule &amp; P&amp;L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Targeting rule: one-time buyers with model-predicted P(repeat) ≥ 10%.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Intervention cost: BRL 15 per customer (BRL 10 voucher + BRL 5 delivery subsidy).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Expected revenue: Σ P(repeat) × average order value — the expected value of one incremental order per contacted customer.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Customers targeted (P(repeat) ≥ 10%)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888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intervention cost (BRL)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13,320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conversions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revenue (BRL)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21,773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profit (BRL)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8,453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Customers Targeted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36"/>
                <w:szCs w:val="36"/>
              </w:rPr>
              <w:t xml:space="preserve">888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P(repeat) ≥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Conversions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158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from 888 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 Profit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6"/>
                <w:szCs w:val="36"/>
              </w:rPr>
              <w:t xml:space="preserve">BRL 8,453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per campaign cycle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Targeting P&amp;L — Visual Summary</w:t>
      </w:r>
    </w:p>
    <w:p>
      <w:pPr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bar chart confirms the campaign economics at a glance: total intervention cost (BRL 13,320) is comfortably exceeded by expected revenue (BRL 21,773), yielding a net profit of BRL 8,453. The positive spread validates the BRL 15 per-customer spend as ROI-positive on the high-P(repeat) segment.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Outputs: clv_table_v2.csv, clv_table_v2.rds, revenue_impact_table.csv, targeting_pl_table.csv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Randomized Experiment Design &amp; Validation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scaling the voucher intervention, a randomized controlled trial (RCT) is proposed. Section 5 uses power.prop.test to size the experiment for detecting a +2 percentage-point lift in repeat rate.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— Experiment vs. Scale-Up Economics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Sample size (total)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3,014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(BRL 15/customer)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22,605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net profit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-18,461 (learning investment)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Scale-up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888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Scale-up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(BRL 15/customer)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13,320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Scale-up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conversions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Scale-up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profit (per cycle)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8,453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Interpretation: The pilot is intentionally a learning investment — negative expected profit under conservative assumptions. Scale-up economics apply to the scored high-P(repeat) segment only after causal validation from the RCT. This framing addresses professor feedback on causality.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Output: experiment_summary.csv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Customer Segmentation Matrix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Section 6 assembles the full segmentation matrix across all 93,349 customers, using model-based P(repeat) and granular CLV v2. Each segment receives a tailored intervention recommendation.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— Segmentation Matrix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760"/>
        <w:gridCol w:w="3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CLV (BRL)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Intervention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High-Potential Dormant Buyers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326.18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re-engagement: BRL 10 voucher + delivery subsidy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Loyalty Champions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2,801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260.05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VIP retention: early access to new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Medium-Potential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3,154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29.27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 nurture: highlight installment options at checkout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Low-Potential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76,806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3.40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Passive reach: standard lifecycle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Low-Value Passives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9,700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target: no incremental retention spend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93,349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naming convention 'High-Potential Dormant Buyers' is deliberate — it signals addressable opportunity rather than a static characteristic, consistent with professor feedback on segment labeling.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Output: segmentation_matrix_final.csv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Pipeline Summary &amp; Output Files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master script (Group3_Olist_Master_Analysis.R) runs end-to-end with exit code 0. All outputs are written to OUTPUT_DIR.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Run Log (Last Execution)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$ Rscript Group3_Olist_Master_Analysis.R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=== Section 1: Loading pre-cleaned orders + RFM ===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=== Section 1B: EDA plots saved to .../plots ===</w:t>
            </w:r>
          </w:p>
          <w:p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AUC (holdout): 0.743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Targeting P&amp;L saved: .../targeting_pl_table.csv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Experiment summary: .../experiment_summary.csv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Segmentation matrix: .../segmentation_matrix_final.csv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=== Master script finished. Exit code: 0 ===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 Files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clv_table.csv / .rds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Baseline CLV (flat 3% P(repeat) for one-time buyers)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revenue_impact_table.csv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Revenue scenarios — computed in Sec 4 using model-based P(repeat); single authoritative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delay_threshold_table.csv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 rate by first-order delivery delay band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experience_summary.csv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Experience metrics by buyer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feature_importance_ranking.csv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Logistic model coefficients and odds ratios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customer_p_repeat_scores.csv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Customer-level P(repeat) and scoring bands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clv_table_v2.csv / .rds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Granular CLV using model-based P(repeat)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targeting_pl_table.csv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Costed P&amp;L for the voucher targeting campaign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experiment_summary.csv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RCT design, power analysis, scale-up economics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segmentation_matrix_final.csv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5-segment matrix with CLV and interventions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plots/viz1_*.png … viz6_*.png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EDA figures (Section 1B; 6 charts)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Verification — CSV Cross-Check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numerical outputs in this document have been independently verified against the CSV files generated by the master script. No discrepancies were found.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in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targeting_pl_table.csv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profit (BRL)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8,453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targeting_pl_table.csv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Customers targeted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targeting_pl_table.csv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conversions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experiment_summary.csv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Scale-up net profit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8,453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experiment_summary.csv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Pilot net profit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-18,461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feature_importance_ranking.csv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Voucher odds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revenue_impact_table.csv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3%→5% incremental rev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542,532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revenue_impact_table.csv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3%→6% incremental rev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BRL 813,876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segmentation_matrix_final.csv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93,349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segmentation_matrix_final.csv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High-Potential CLV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326.18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 Match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All 10 spot-checked values confirmed against source CSV files. The document accurately reflects the master script output as of March 24, 2026.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4"/>
      </w:pBdr>
      <w:tabs>
        <w:tab w:val="right" w:pos="9026"/>
      </w:tabs>
    </w:pPr>
    <w:r>
      <w:rPr>
        <w:rFonts w:ascii="Arial" w:cs="Arial" w:eastAsia="Arial" w:hAnsi="Arial"/>
        <w:color w:val="404040"/>
        <w:sz w:val="18"/>
        <w:szCs w:val="18"/>
      </w:rPr>
      <w:t xml:space="preserve">Confidential — Group 3</w:t>
    </w:r>
    <w:r>
      <w:rPr>
        <w:rFonts w:ascii="Arial" w:cs="Arial" w:eastAsia="Arial" w:hAnsi="Arial"/>
        <w:color w:val="404040"/>
        <w:sz w:val="18"/>
        <w:szCs w:val="18"/>
      </w:rPr>
      <w:t xml:space="preserve">	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color w:val="404040"/>
        <w:sz w:val="18"/>
        <w:szCs w:val="18"/>
      </w:rPr>
      <w:t xml:space="preserve">Group 3  |  Olist Customer Analytics  |  End-to-End Walkthrough</w:t>
    </w: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  March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e6775aba11d1d5e8eca77063514a59695acb354.png"/><Relationship Id="rId9" Type="http://schemas.openxmlformats.org/officeDocument/2006/relationships/image" Target="media/d0d8930cf00c2cb05ea151666485c932ec930a16.png"/><Relationship Id="rId10" Type="http://schemas.openxmlformats.org/officeDocument/2006/relationships/image" Target="media/8b47adc01ccdd9e0a04ad829f5b376e26f8b9989.png"/><Relationship Id="rId11" Type="http://schemas.openxmlformats.org/officeDocument/2006/relationships/image" Target="media/ab7b8744cf78f7d4d973a4ad45b3241224bc8f4e.png"/><Relationship Id="rId12" Type="http://schemas.openxmlformats.org/officeDocument/2006/relationships/image" Target="media/722e00d32f90915884b446851d4f2b233d61d45e.png"/><Relationship Id="rId13" Type="http://schemas.openxmlformats.org/officeDocument/2006/relationships/image" Target="media/f09ee5288d0f42f7c3f091ddaeb27a395fbf7897.png"/><Relationship Id="rId14" Type="http://schemas.openxmlformats.org/officeDocument/2006/relationships/image" Target="media/2bdde01c3efecaa7e2791979da2f8c2a170a25ef.png"/><Relationship Id="rId15" Type="http://schemas.openxmlformats.org/officeDocument/2006/relationships/image" Target="media/3166395b8f5b38ca4bd53d93beee06c160f7003e.png"/><Relationship Id="rId16" Type="http://schemas.openxmlformats.org/officeDocument/2006/relationships/image" Target="media/4fb95ee2bcf496ff16abf92d36bf5a8cba37ad55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2026-03-24T22:40:55.460Z</dcterms:created>
  <dcterms:modified xsi:type="dcterms:W3CDTF">2026-03-24T22:40:55.461Z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