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Goals/Business Requirements/Background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Recover forward logistics and other charges from seller in case of 3PL or Liquidation state of orders.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Likely recovery could have been Rs ~ 80 lacs in Oct’16 &amp; Rs ~ 85 lacs in Nov’16.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At an overall level, we’ll able to save 2-3 Rs/unit on monthly basis given the savings of 80-85 lakhs.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6381750" cy="27908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Requirements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EPIC Link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507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4815"/>
        <w:gridCol w:w="7065"/>
        <w:gridCol w:w="2250"/>
        <w:tblGridChange w:id="0">
          <w:tblGrid>
            <w:gridCol w:w="945"/>
            <w:gridCol w:w="4815"/>
            <w:gridCol w:w="7065"/>
            <w:gridCol w:w="22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Story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story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Notes (if any)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[OPS] Add two new event types each for 3PL and Liquidation in Rate card reverse view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https://tron.snapdeal.com/admin/ratecard/reverse/view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500688" cy="2571750"/>
                  <wp:effectExtent b="0" l="0" r="0" t="0"/>
                  <wp:docPr id="2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688" cy="2571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[OPS] Allow via API such that ERAS system can fetch values and also fetch the order’s logistics and other cost heads for reversal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[ERAS] on receiving the event - 3PL or Liquidation , initiate a debit to seller basis the table in admin ratecard view as approved by business and finance.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 files to be created for a particular suborder state coming to any of these - 3PL/LQD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[ERP] Change on ERP side for this requirement. To be highlighted by Ravikant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ERAS side changes files: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ERP side changes: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If any suborder is marked as 3PL/LQD, commission details (forward logistics and other charges) should be pushed to ERP in the below transaction types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 RPR Charges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NCOD RPR Charges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Field required for these transactions</w:t>
      </w:r>
    </w:p>
    <w:tbl>
      <w:tblPr>
        <w:tblStyle w:val="Table2"/>
        <w:bidiVisual w:val="0"/>
        <w:tblW w:w="3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tblGridChange w:id="0">
          <w:tblGrid>
            <w:gridCol w:w="37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Transaction 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Invoice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Invoice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GL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Invoice Quantity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Logistics Reversal fees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Packaging Reversal fees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Fulfilment fees Reversal fees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Reverse Logistics Reversal fees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PROCESSING_REV_FEE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PAYMENT_COLLECTION_REV_FEE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SPL_PACK_REV_FEE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 Tax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SB 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Krishi 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 Tax rate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SB Rate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Krishi Rate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 Order Code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Vendor SKU Code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Merchant Cut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 e-mail 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Vendor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Shipping City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AWB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Courier Name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Accounting Entry:</w:t>
      </w:r>
    </w:p>
    <w:tbl>
      <w:tblPr>
        <w:tblStyle w:val="Table3"/>
        <w:bidiVisual w:val="0"/>
        <w:tblW w:w="8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500"/>
        <w:gridCol w:w="3825"/>
        <w:gridCol w:w="720"/>
        <w:tblGridChange w:id="0">
          <w:tblGrid>
            <w:gridCol w:w="2535"/>
            <w:gridCol w:w="1500"/>
            <w:gridCol w:w="3825"/>
            <w:gridCol w:w="72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Transaction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Account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Dr/Cr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 RPR Charges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2221047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Sundry Creditors - Product Selles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4110144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 Logistics Reversal 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4110157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 Reverse Logistics Reversal 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4110150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Packaging Reversal 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4110145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 Fulfilment Reversal 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4110154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 Processing Reversal 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4110146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 Payment Collection Charges Reversal 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4110152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 Special Packaging Reversal 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NCOD RPR Charges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2221047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Sundry Creditors - Product Selles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4110148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NCOD Fulfilment Reversal 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4110155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NCOD Processing Reversal 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4110153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NCOD Special Packaging Reversal 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4110149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NCOD Payment Collection Charges Reversal 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4110147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NCOD Logistics Reversal 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4110156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NCOD Reverse Logistics Reversal 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4110151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NCOD Packaging Reversal 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Below is a list of questions to be addressed as a result of this requirements document:</w:t>
      </w:r>
    </w:p>
    <w:tbl>
      <w:tblPr>
        <w:tblStyle w:val="Table4"/>
        <w:bidiVisual w:val="0"/>
        <w:tblW w:w="13905.0" w:type="dxa"/>
        <w:jc w:val="left"/>
        <w:tblInd w:w="-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75"/>
        <w:gridCol w:w="7230"/>
        <w:tblGridChange w:id="0">
          <w:tblGrid>
            <w:gridCol w:w="6675"/>
            <w:gridCol w:w="723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Outcome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Q1- if an order is UNDEL and then goes to QC and then 3PL - should we debit the seller twice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Ans. - ideally no, we should only debit these charges once and should be handled at ERAS end when creating file.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pgSz w:h="11906" w:w="16838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708" w:line="240" w:lineRule="auto"/>
      <w:contextualSpacing w:val="0"/>
      <w:jc w:val="center"/>
    </w:pPr>
    <w:r w:rsidDel="00000000" w:rsidR="00000000" w:rsidRPr="00000000">
      <w:rPr>
        <w:rFonts w:ascii="Cambria" w:cs="Cambria" w:eastAsia="Cambria" w:hAnsi="Cambria"/>
        <w:b w:val="0"/>
        <w:sz w:val="32"/>
        <w:szCs w:val="32"/>
        <w:rtl w:val="0"/>
      </w:rPr>
      <w:t xml:space="preserve">Product Requirements Document – </w:t>
    </w:r>
    <w:r w:rsidDel="00000000" w:rsidR="00000000" w:rsidRPr="00000000">
      <w:rPr>
        <w:rFonts w:ascii="Cambria" w:cs="Cambria" w:eastAsia="Cambria" w:hAnsi="Cambria"/>
        <w:sz w:val="32"/>
        <w:szCs w:val="32"/>
        <w:rtl w:val="0"/>
      </w:rPr>
      <w:t xml:space="preserve">3PL/Liquidation Chargeback to sellers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Cambria" w:cs="Cambria" w:eastAsia="Cambria" w:hAnsi="Cambria"/>
      <w:b w:val="0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hyperlink" Target="https://tron.snapdeal.com/admin/ratecard/reverse/view" TargetMode="External"/><Relationship Id="rId7" Type="http://schemas.openxmlformats.org/officeDocument/2006/relationships/image" Target="media/image03.png"/><Relationship Id="rId8" Type="http://schemas.openxmlformats.org/officeDocument/2006/relationships/header" Target="header1.xml"/></Relationships>
</file>