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E84BC3">
      <w:pPr>
        <w:ind w:firstLine="2530" w:firstLineChars="700"/>
        <w:jc w:val="both"/>
        <w:rPr>
          <w:rFonts w:hint="default"/>
          <w:b/>
          <w:bCs/>
          <w:sz w:val="36"/>
          <w:szCs w:val="36"/>
          <w:u w:val="single"/>
          <w:lang w:val="en-US"/>
        </w:rPr>
      </w:pPr>
      <w:r>
        <w:rPr>
          <w:rFonts w:hint="default"/>
          <w:b/>
          <w:bCs/>
          <w:sz w:val="36"/>
          <w:szCs w:val="36"/>
          <w:u w:val="single"/>
          <w:lang w:val="en-US"/>
        </w:rPr>
        <w:t>Source Case 01</w:t>
      </w:r>
    </w:p>
    <w:p w14:paraId="2B77DB8A">
      <w:pPr>
        <w:ind w:firstLine="2530" w:firstLineChars="700"/>
        <w:jc w:val="both"/>
        <w:rPr>
          <w:rFonts w:hint="default"/>
          <w:b/>
          <w:bCs/>
          <w:sz w:val="36"/>
          <w:szCs w:val="36"/>
          <w:u w:val="single"/>
          <w:lang w:val="en-US"/>
        </w:rPr>
      </w:pPr>
    </w:p>
    <w:p w14:paraId="71FE958C">
      <w:pPr>
        <w:jc w:val="both"/>
        <w:rPr>
          <w:rFonts w:hint="default"/>
          <w:b w:val="0"/>
          <w:bCs w:val="0"/>
          <w:sz w:val="28"/>
          <w:szCs w:val="28"/>
          <w:u w:val="none"/>
          <w:lang w:val="en-US"/>
        </w:rPr>
      </w:pPr>
      <w:r>
        <w:rPr>
          <w:rFonts w:hint="default"/>
          <w:b/>
          <w:bCs/>
          <w:sz w:val="28"/>
          <w:szCs w:val="28"/>
          <w:u w:val="none"/>
          <w:lang w:val="en-US"/>
        </w:rPr>
        <w:t xml:space="preserve">Case ID: </w:t>
      </w:r>
      <w:r>
        <w:rPr>
          <w:rFonts w:hint="default"/>
          <w:b w:val="0"/>
          <w:bCs w:val="0"/>
          <w:sz w:val="28"/>
          <w:szCs w:val="28"/>
          <w:u w:val="none"/>
          <w:lang w:val="en-US"/>
        </w:rPr>
        <w:t>PV-001</w:t>
      </w:r>
    </w:p>
    <w:p w14:paraId="62F54E89">
      <w:pPr>
        <w:jc w:val="both"/>
        <w:rPr>
          <w:rFonts w:hint="default"/>
          <w:b w:val="0"/>
          <w:bCs w:val="0"/>
          <w:sz w:val="28"/>
          <w:szCs w:val="28"/>
          <w:u w:val="none"/>
          <w:lang w:val="en-US"/>
        </w:rPr>
      </w:pPr>
    </w:p>
    <w:p w14:paraId="61EBFF6C">
      <w:pPr>
        <w:jc w:val="both"/>
        <w:rPr>
          <w:rFonts w:hint="default"/>
          <w:b w:val="0"/>
          <w:bCs w:val="0"/>
          <w:sz w:val="28"/>
          <w:szCs w:val="28"/>
          <w:u w:val="none"/>
          <w:lang w:val="en-US"/>
        </w:rPr>
      </w:pPr>
      <w:r>
        <w:rPr>
          <w:rFonts w:hint="default"/>
          <w:b w:val="0"/>
          <w:bCs w:val="0"/>
          <w:sz w:val="28"/>
          <w:szCs w:val="28"/>
          <w:u w:val="none"/>
          <w:lang w:val="en-US"/>
        </w:rPr>
        <w:t>A 35-year-old female visited the hospital with fever. She was prescribed Paracetamol 500mg orally three times a day. After two days of treatment, she developed severe headache and nausea. The treating physician advised stopping Paracetamol. Within three days, both symptoms resolved completely without any additional treatment. The physician considered the reaction to be possibly related to Paracetamol.</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2DD79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2026-08-07T08:21:06Z</dcterms:created>
  <dc:creator>Digital</dc:creator>
  <cp:lastModifiedBy>Deepanshi Sharma</cp:lastModifiedBy>
  <dcterms:modified xsi:type="dcterms:W3CDTF">2026-08-07T08:32:47Z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eyJoZGlkIjoiNTA2OTVjNDllZWE3NjhhODhjYzI0NmYwNTZhMjRkYzQiLCJ1c2VySWQiOiI1Njc2MzU1NDI5MDIifQ==</vt:lpwstr>
  </property>
  <property fmtid="{D5CDD505-2E9C-101B-9397-08002B2CF9AE}" pid="4" name="ICV">
    <vt:lpwstr>99D5FC9068874B43AB0D4BCDCA85B119_12</vt:lpwstr>
  </property>
</Properties>
</file>