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Calibri" w:cs="Calibri" w:eastAsia="Calibri" w:hAnsi="Calibri"/>
          <w:b/>
          <w:bCs/>
          <w:color w:val="0070C0"/>
          <w:sz w:val="52"/>
          <w:szCs w:val="52"/>
        </w:rPr>
        <w:t xml:space="preserve">⚡ Smart Mobility &amp; EV Market Analytics</w:t>
      </w:r>
    </w:p>
    <w:p>
      <w:pPr>
        <w:spacing w:after="80" w:before="120"/>
        <w:jc w:val="center"/>
      </w:pPr>
      <w:r>
        <w:rPr>
          <w:rFonts w:ascii="Calibri" w:cs="Calibri" w:eastAsia="Calibri" w:hAnsi="Calibri"/>
          <w:color w:val="666666"/>
          <w:sz w:val="26"/>
          <w:szCs w:val="26"/>
        </w:rPr>
        <w:t xml:space="preserve">Power BI Portfolio Project — Full Build Guide</w:t>
      </w:r>
    </w:p>
    <w:p>
      <w:pPr>
        <w:spacing w:after="600" w:before="40"/>
        <w:jc w:val="center"/>
      </w:pPr>
      <w:r>
        <w:rPr>
          <w:rFonts w:ascii="Calibri" w:cs="Calibri" w:eastAsia="Calibri" w:hAnsi="Calibri"/>
          <w:color w:val="888888"/>
          <w:sz w:val="20"/>
          <w:szCs w:val="20"/>
        </w:rPr>
        <w:t xml:space="preserve">Star Schema · Power Query ETL · Advanced DAX · 5 Dashboard Pages</w:t>
      </w:r>
    </w:p>
    <w:p>
      <w:pPr>
        <w:pBdr>
          <w:bottom w:val="single" w:color="0070C0" w:sz="4" w:space="1"/>
        </w:pBdr>
        <w:spacing w:after="200" w:before="200"/>
      </w:pPr>
    </w:p>
    <w:p>
      <w:pPr>
        <w:pStyle w:val="Heading1"/>
        <w:spacing w:after="120" w:before="280"/>
      </w:pPr>
      <w:r>
        <w:rPr>
          <w:rFonts w:ascii="Calibri" w:cs="Calibri" w:eastAsia="Calibri" w:hAnsi="Calibri"/>
          <w:b/>
          <w:bCs/>
          <w:color w:val="0070C0"/>
          <w:sz w:val="36"/>
          <w:szCs w:val="36"/>
        </w:rPr>
        <w:t xml:space="preserve">Project Overview</w:t>
      </w:r>
    </w:p>
    <w:p>
      <w:pPr>
        <w:spacing w:after="80" w:before="60"/>
      </w:pPr>
      <w:r>
        <w:rPr>
          <w:rFonts w:ascii="Calibri" w:cs="Calibri" w:eastAsia="Calibri" w:hAnsi="Calibri"/>
          <w:sz w:val="20"/>
          <w:szCs w:val="20"/>
        </w:rPr>
        <w:t xml:space="preserve">This portfolio project demonstrates production-grade Power BI skills across data modelling, ETL, advanced DAX, and dashboard design. It is specifically structured to showcase capabilities that hiring managers and technical recruiters look for in senior BI/data analyst roles.</w:t>
      </w:r>
    </w:p>
    <w:p>
      <w:pPr>
        <w:spacing w:after="80" w:before="80"/>
      </w:pPr>
      <w:r>
        <w:rPr>
          <w:rFonts w:ascii="Calibri" w:cs="Calibri" w:eastAsia="Calibri" w:hAnsi="Calibri"/>
          <w:b/>
          <w:bCs/>
          <w:sz w:val="20"/>
          <w:szCs w:val="20"/>
        </w:rPr>
        <w:t xml:space="preserve">Key recruiting signals this project demonstrates: </w:t>
      </w:r>
      <w:r>
        <w:rPr>
          <w:rFonts w:ascii="Calibri" w:cs="Calibri" w:eastAsia="Calibri" w:hAnsi="Calibri"/>
          <w:sz w:val="20"/>
          <w:szCs w:val="20"/>
        </w:rPr>
        <w:t xml:space="preserve">Star Schema design, Power Query ETL with M-code, Time-Intelligence DAX, dynamic measures, and professional dashboard UX.</w:t>
      </w:r>
    </w:p>
    <w:p>
      <w:pPr>
        <w:pBdr>
          <w:bottom w:val="single" w:color="0070C0" w:sz="4" w:space="1"/>
        </w:pBdr>
        <w:spacing w:after="200" w:before="200"/>
      </w:pPr>
    </w:p>
    <w:p>
      <w:pPr>
        <w:pStyle w:val="Heading1"/>
        <w:spacing w:after="120" w:before="280"/>
      </w:pPr>
      <w:r>
        <w:rPr>
          <w:rFonts w:ascii="Calibri" w:cs="Calibri" w:eastAsia="Calibri" w:hAnsi="Calibri"/>
          <w:b/>
          <w:bCs/>
          <w:color w:val="0070C0"/>
          <w:sz w:val="36"/>
          <w:szCs w:val="36"/>
        </w:rPr>
        <w:t xml:space="preserve">Phase 1 — Data Model (Star Schema)</w:t>
      </w:r>
    </w:p>
    <w:p>
      <w:pPr>
        <w:spacing w:after="80" w:before="60"/>
      </w:pPr>
      <w:r>
        <w:rPr>
          <w:rFonts w:ascii="Calibri" w:cs="Calibri" w:eastAsia="Calibri" w:hAnsi="Calibri"/>
          <w:sz w:val="20"/>
          <w:szCs w:val="20"/>
        </w:rPr>
        <w:t xml:space="preserve">A Star Schema separates measurable facts from descriptive dimensions. All four CSV files are included in this package. Place them in C:\EV_Analytics\ before loading into Power BI.</w:t>
      </w:r>
    </w:p>
    <w:p>
      <w:pPr>
        <w:spacing w:after="80" w:before="120"/>
      </w:pPr>
      <w:r>
        <w:rPr>
          <w:rFonts w:ascii="Calibri" w:cs="Calibri" w:eastAsia="Calibri" w:hAnsi="Calibri"/>
          <w:b/>
          <w:bCs/>
          <w:color w:val="0070C0"/>
          <w:sz w:val="22"/>
          <w:szCs w:val="22"/>
        </w:rPr>
        <w:t xml:space="preserve">Schema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0070C0" w:sz="1"/>
              <w:left w:val="single" w:color="0070C0" w:sz="1"/>
              <w:bottom w:val="single" w:color="0070C0" w:sz="1"/>
              <w:right w:val="single" w:color="0070C0" w:sz="1"/>
            </w:tcBorders>
            <w:shd w:fill="D6E4F0" w:val="clear"/>
            <w:tcMar>
              <w:top w:type="dxa" w:w="80"/>
              <w:left w:type="dxa" w:w="120"/>
              <w:bottom w:type="dxa" w:w="80"/>
              <w:right w:type="dxa" w:w="120"/>
            </w:tcMar>
          </w:tcPr>
          <w:p>
            <w:r>
              <w:rPr>
                <w:rFonts w:ascii="Calibri" w:cs="Calibri" w:eastAsia="Calibri" w:hAnsi="Calibri"/>
                <w:b/>
                <w:bCs/>
                <w:color w:val="0070C0"/>
                <w:sz w:val="18"/>
                <w:szCs w:val="18"/>
              </w:rPr>
              <w:t xml:space="preserve">Table</w:t>
            </w:r>
          </w:p>
        </w:tc>
        <w:tc>
          <w:tcPr>
            <w:tcW w:type="dxa" w:w="2600"/>
            <w:tcBorders>
              <w:top w:val="single" w:color="0070C0" w:sz="1"/>
              <w:left w:val="single" w:color="0070C0" w:sz="1"/>
              <w:bottom w:val="single" w:color="0070C0" w:sz="1"/>
              <w:right w:val="single" w:color="0070C0" w:sz="1"/>
            </w:tcBorders>
            <w:shd w:fill="D6E4F0" w:val="clear"/>
            <w:tcMar>
              <w:top w:type="dxa" w:w="80"/>
              <w:left w:type="dxa" w:w="120"/>
              <w:bottom w:type="dxa" w:w="80"/>
              <w:right w:type="dxa" w:w="120"/>
            </w:tcMar>
          </w:tcPr>
          <w:p>
            <w:r>
              <w:rPr>
                <w:rFonts w:ascii="Calibri" w:cs="Calibri" w:eastAsia="Calibri" w:hAnsi="Calibri"/>
                <w:b/>
                <w:bCs/>
                <w:color w:val="0070C0"/>
                <w:sz w:val="18"/>
                <w:szCs w:val="18"/>
              </w:rPr>
              <w:t xml:space="preserve">Field</w:t>
            </w:r>
          </w:p>
        </w:tc>
        <w:tc>
          <w:tcPr>
            <w:tcW w:type="dxa" w:w="4160"/>
            <w:tcBorders>
              <w:top w:val="single" w:color="0070C0" w:sz="1"/>
              <w:left w:val="single" w:color="0070C0" w:sz="1"/>
              <w:bottom w:val="single" w:color="0070C0" w:sz="1"/>
              <w:right w:val="single" w:color="0070C0" w:sz="1"/>
            </w:tcBorders>
            <w:shd w:fill="D6E4F0" w:val="clear"/>
            <w:tcMar>
              <w:top w:type="dxa" w:w="80"/>
              <w:left w:type="dxa" w:w="120"/>
              <w:bottom w:type="dxa" w:w="80"/>
              <w:right w:type="dxa" w:w="120"/>
            </w:tcMar>
          </w:tcPr>
          <w:p>
            <w:r>
              <w:rPr>
                <w:rFonts w:ascii="Calibri" w:cs="Calibri" w:eastAsia="Calibri" w:hAnsi="Calibri"/>
                <w:b/>
                <w:bCs/>
                <w:color w:val="0070C0"/>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Fact_EVSales (Fact)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SalesID (PK)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Unique transaction identifier</w:t>
            </w:r>
          </w:p>
        </w:tc>
      </w:tr>
      <w:tr>
        <w:tc>
          <w:tcPr>
            <w:tcW w:type="dxa" w:w="26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tcPr>
          <w:p>
            <w:r>
              <w:rPr>
                <w:rFonts w:ascii="Calibri" w:cs="Calibri" w:eastAsia="Calibri" w:hAnsi="Calibri"/>
                <w:sz w:val="18"/>
                <w:szCs w:val="18"/>
              </w:rPr>
              <w:t xml:space="preserve"/>
            </w:r>
          </w:p>
        </w:tc>
        <w:tc>
          <w:tcPr>
            <w:tcW w:type="dxa" w:w="26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tcPr>
          <w:p>
            <w:r>
              <w:rPr>
                <w:rFonts w:ascii="Calibri" w:cs="Calibri" w:eastAsia="Calibri" w:hAnsi="Calibri"/>
                <w:sz w:val="18"/>
                <w:szCs w:val="18"/>
              </w:rPr>
              <w:t xml:space="preserve">DateID (FK)</w:t>
            </w:r>
          </w:p>
        </w:tc>
        <w:tc>
          <w:tcPr>
            <w:tcW w:type="dxa" w:w="416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tcPr>
          <w:p>
            <w:r>
              <w:rPr>
                <w:rFonts w:ascii="Calibri" w:cs="Calibri" w:eastAsia="Calibri" w:hAnsi="Calibri"/>
                <w:sz w:val="18"/>
                <w:szCs w:val="18"/>
              </w:rPr>
              <w:t xml:space="preserve">Links to Dim_Date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RegionID (FK)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Links to Dim_Region</w:t>
            </w:r>
          </w:p>
        </w:tc>
      </w:tr>
      <w:tr>
        <w:tc>
          <w:tcPr>
            <w:tcW w:type="dxa" w:w="26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tcPr>
          <w:p>
            <w:r>
              <w:rPr>
                <w:rFonts w:ascii="Calibri" w:cs="Calibri" w:eastAsia="Calibri" w:hAnsi="Calibri"/>
                <w:sz w:val="18"/>
                <w:szCs w:val="18"/>
              </w:rPr>
              <w:t xml:space="preserve"/>
            </w:r>
          </w:p>
        </w:tc>
        <w:tc>
          <w:tcPr>
            <w:tcW w:type="dxa" w:w="26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tcPr>
          <w:p>
            <w:r>
              <w:rPr>
                <w:rFonts w:ascii="Calibri" w:cs="Calibri" w:eastAsia="Calibri" w:hAnsi="Calibri"/>
                <w:sz w:val="18"/>
                <w:szCs w:val="18"/>
              </w:rPr>
              <w:t xml:space="preserve">ModelID (FK)</w:t>
            </w:r>
          </w:p>
        </w:tc>
        <w:tc>
          <w:tcPr>
            <w:tcW w:type="dxa" w:w="416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tcPr>
          <w:p>
            <w:r>
              <w:rPr>
                <w:rFonts w:ascii="Calibri" w:cs="Calibri" w:eastAsia="Calibri" w:hAnsi="Calibri"/>
                <w:sz w:val="18"/>
                <w:szCs w:val="18"/>
              </w:rPr>
              <w:t xml:space="preserve">Links to Dim_Vehicle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UnitsSold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Monthly vehicle units sold</w:t>
            </w:r>
          </w:p>
        </w:tc>
      </w:tr>
      <w:tr>
        <w:tc>
          <w:tcPr>
            <w:tcW w:type="dxa" w:w="26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tcPr>
          <w:p>
            <w:r>
              <w:rPr>
                <w:rFonts w:ascii="Calibri" w:cs="Calibri" w:eastAsia="Calibri" w:hAnsi="Calibri"/>
                <w:sz w:val="18"/>
                <w:szCs w:val="18"/>
              </w:rPr>
              <w:t xml:space="preserve"/>
            </w:r>
          </w:p>
        </w:tc>
        <w:tc>
          <w:tcPr>
            <w:tcW w:type="dxa" w:w="26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tcPr>
          <w:p>
            <w:r>
              <w:rPr>
                <w:rFonts w:ascii="Calibri" w:cs="Calibri" w:eastAsia="Calibri" w:hAnsi="Calibri"/>
                <w:sz w:val="18"/>
                <w:szCs w:val="18"/>
              </w:rPr>
              <w:t xml:space="preserve">Revenue_USD</w:t>
            </w:r>
          </w:p>
        </w:tc>
        <w:tc>
          <w:tcPr>
            <w:tcW w:type="dxa" w:w="416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tcPr>
          <w:p>
            <w:r>
              <w:rPr>
                <w:rFonts w:ascii="Calibri" w:cs="Calibri" w:eastAsia="Calibri" w:hAnsi="Calibri"/>
                <w:sz w:val="18"/>
                <w:szCs w:val="18"/>
              </w:rPr>
              <w:t xml:space="preserve">Gross revenue in USD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DiscountPct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Discount percentage applied</w:t>
            </w:r>
          </w:p>
        </w:tc>
      </w:tr>
      <w:tr>
        <w:tc>
          <w:tcPr>
            <w:tcW w:type="dxa" w:w="26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tcPr>
          <w:p>
            <w:r>
              <w:rPr>
                <w:rFonts w:ascii="Calibri" w:cs="Calibri" w:eastAsia="Calibri" w:hAnsi="Calibri"/>
                <w:sz w:val="18"/>
                <w:szCs w:val="18"/>
              </w:rPr>
              <w:t xml:space="preserve"/>
            </w:r>
          </w:p>
        </w:tc>
        <w:tc>
          <w:tcPr>
            <w:tcW w:type="dxa" w:w="26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tcPr>
          <w:p>
            <w:r>
              <w:rPr>
                <w:rFonts w:ascii="Calibri" w:cs="Calibri" w:eastAsia="Calibri" w:hAnsi="Calibri"/>
                <w:sz w:val="18"/>
                <w:szCs w:val="18"/>
              </w:rPr>
              <w:t xml:space="preserve">SalesChannel</w:t>
            </w:r>
          </w:p>
        </w:tc>
        <w:tc>
          <w:tcPr>
            <w:tcW w:type="dxa" w:w="416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tcPr>
          <w:p>
            <w:r>
              <w:rPr>
                <w:rFonts w:ascii="Calibri" w:cs="Calibri" w:eastAsia="Calibri" w:hAnsi="Calibri"/>
                <w:sz w:val="18"/>
                <w:szCs w:val="18"/>
              </w:rPr>
              <w:t xml:space="preserve">Direct / Dealer / Online / Fleet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Dim_Date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DateID (PK)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Date surrogate key (YYYYMMDD)</w:t>
            </w:r>
          </w:p>
        </w:tc>
      </w:tr>
      <w:tr>
        <w:tc>
          <w:tcPr>
            <w:tcW w:type="dxa" w:w="26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tcPr>
          <w:p>
            <w:r>
              <w:rPr>
                <w:rFonts w:ascii="Calibri" w:cs="Calibri" w:eastAsia="Calibri" w:hAnsi="Calibri"/>
                <w:sz w:val="18"/>
                <w:szCs w:val="18"/>
              </w:rPr>
              <w:t xml:space="preserve"/>
            </w:r>
          </w:p>
        </w:tc>
        <w:tc>
          <w:tcPr>
            <w:tcW w:type="dxa" w:w="26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tcPr>
          <w:p>
            <w:r>
              <w:rPr>
                <w:rFonts w:ascii="Calibri" w:cs="Calibri" w:eastAsia="Calibri" w:hAnsi="Calibri"/>
                <w:sz w:val="18"/>
                <w:szCs w:val="18"/>
              </w:rPr>
              <w:t xml:space="preserve">Year / Quarter / Month</w:t>
            </w:r>
          </w:p>
        </w:tc>
        <w:tc>
          <w:tcPr>
            <w:tcW w:type="dxa" w:w="416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tcPr>
          <w:p>
            <w:r>
              <w:rPr>
                <w:rFonts w:ascii="Calibri" w:cs="Calibri" w:eastAsia="Calibri" w:hAnsi="Calibri"/>
                <w:sz w:val="18"/>
                <w:szCs w:val="18"/>
              </w:rPr>
              <w:t xml:space="preserve">Calendar hierarchy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FiscalYear / FiscalQuarter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Fiscal hierarchy (Apr start)</w:t>
            </w:r>
          </w:p>
        </w:tc>
      </w:tr>
      <w:tr>
        <w:tc>
          <w:tcPr>
            <w:tcW w:type="dxa" w:w="26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tcPr>
          <w:p>
            <w:r>
              <w:rPr>
                <w:rFonts w:ascii="Calibri" w:cs="Calibri" w:eastAsia="Calibri" w:hAnsi="Calibri"/>
                <w:sz w:val="18"/>
                <w:szCs w:val="18"/>
              </w:rPr>
              <w:t xml:space="preserve"/>
            </w:r>
          </w:p>
        </w:tc>
        <w:tc>
          <w:tcPr>
            <w:tcW w:type="dxa" w:w="26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tcPr>
          <w:p>
            <w:r>
              <w:rPr>
                <w:rFonts w:ascii="Calibri" w:cs="Calibri" w:eastAsia="Calibri" w:hAnsi="Calibri"/>
                <w:sz w:val="18"/>
                <w:szCs w:val="18"/>
              </w:rPr>
              <w:t xml:space="preserve">IsWeekend / DayOfWeek</w:t>
            </w:r>
          </w:p>
        </w:tc>
        <w:tc>
          <w:tcPr>
            <w:tcW w:type="dxa" w:w="416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tcPr>
          <w:p>
            <w:r>
              <w:rPr>
                <w:rFonts w:ascii="Calibri" w:cs="Calibri" w:eastAsia="Calibri" w:hAnsi="Calibri"/>
                <w:sz w:val="18"/>
                <w:szCs w:val="18"/>
              </w:rPr>
              <w:t xml:space="preserve">Day-level attributes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Dim_Region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RegionID (PK)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Region surrogate key</w:t>
            </w:r>
          </w:p>
        </w:tc>
      </w:tr>
      <w:tr>
        <w:tc>
          <w:tcPr>
            <w:tcW w:type="dxa" w:w="26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tcPr>
          <w:p>
            <w:r>
              <w:rPr>
                <w:rFonts w:ascii="Calibri" w:cs="Calibri" w:eastAsia="Calibri" w:hAnsi="Calibri"/>
                <w:sz w:val="18"/>
                <w:szCs w:val="18"/>
              </w:rPr>
              <w:t xml:space="preserve"/>
            </w:r>
          </w:p>
        </w:tc>
        <w:tc>
          <w:tcPr>
            <w:tcW w:type="dxa" w:w="26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tcPr>
          <w:p>
            <w:r>
              <w:rPr>
                <w:rFonts w:ascii="Calibri" w:cs="Calibri" w:eastAsia="Calibri" w:hAnsi="Calibri"/>
                <w:sz w:val="18"/>
                <w:szCs w:val="18"/>
              </w:rPr>
              <w:t xml:space="preserve">Region / Country / Continent</w:t>
            </w:r>
          </w:p>
        </w:tc>
        <w:tc>
          <w:tcPr>
            <w:tcW w:type="dxa" w:w="416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tcPr>
          <w:p>
            <w:r>
              <w:rPr>
                <w:rFonts w:ascii="Calibri" w:cs="Calibri" w:eastAsia="Calibri" w:hAnsi="Calibri"/>
                <w:sz w:val="18"/>
                <w:szCs w:val="18"/>
              </w:rPr>
              <w:t xml:space="preserve">Geographic hierarchy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ChargingStations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Count of EV charging stations</w:t>
            </w:r>
          </w:p>
        </w:tc>
      </w:tr>
      <w:tr>
        <w:tc>
          <w:tcPr>
            <w:tcW w:type="dxa" w:w="26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tcPr>
          <w:p>
            <w:r>
              <w:rPr>
                <w:rFonts w:ascii="Calibri" w:cs="Calibri" w:eastAsia="Calibri" w:hAnsi="Calibri"/>
                <w:sz w:val="18"/>
                <w:szCs w:val="18"/>
              </w:rPr>
              <w:t xml:space="preserve"/>
            </w:r>
          </w:p>
        </w:tc>
        <w:tc>
          <w:tcPr>
            <w:tcW w:type="dxa" w:w="26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tcPr>
          <w:p>
            <w:r>
              <w:rPr>
                <w:rFonts w:ascii="Calibri" w:cs="Calibri" w:eastAsia="Calibri" w:hAnsi="Calibri"/>
                <w:sz w:val="18"/>
                <w:szCs w:val="18"/>
              </w:rPr>
              <w:t xml:space="preserve">Population</w:t>
            </w:r>
          </w:p>
        </w:tc>
        <w:tc>
          <w:tcPr>
            <w:tcW w:type="dxa" w:w="416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tcPr>
          <w:p>
            <w:r>
              <w:rPr>
                <w:rFonts w:ascii="Calibri" w:cs="Calibri" w:eastAsia="Calibri" w:hAnsi="Calibri"/>
                <w:sz w:val="18"/>
                <w:szCs w:val="18"/>
              </w:rPr>
              <w:t xml:space="preserve">Regional population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EVPenetrationRate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EV share of vehicle fleet</w:t>
            </w:r>
          </w:p>
        </w:tc>
      </w:tr>
      <w:tr>
        <w:tc>
          <w:tcPr>
            <w:tcW w:type="dxa" w:w="26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tcPr>
          <w:p>
            <w:r>
              <w:rPr>
                <w:rFonts w:ascii="Calibri" w:cs="Calibri" w:eastAsia="Calibri" w:hAnsi="Calibri"/>
                <w:sz w:val="18"/>
                <w:szCs w:val="18"/>
              </w:rPr>
              <w:t xml:space="preserve">Dim_Vehicle</w:t>
            </w:r>
          </w:p>
        </w:tc>
        <w:tc>
          <w:tcPr>
            <w:tcW w:type="dxa" w:w="26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tcPr>
          <w:p>
            <w:r>
              <w:rPr>
                <w:rFonts w:ascii="Calibri" w:cs="Calibri" w:eastAsia="Calibri" w:hAnsi="Calibri"/>
                <w:sz w:val="18"/>
                <w:szCs w:val="18"/>
              </w:rPr>
              <w:t xml:space="preserve">ModelID (PK)</w:t>
            </w:r>
          </w:p>
        </w:tc>
        <w:tc>
          <w:tcPr>
            <w:tcW w:type="dxa" w:w="416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tcPr>
          <w:p>
            <w:r>
              <w:rPr>
                <w:rFonts w:ascii="Calibri" w:cs="Calibri" w:eastAsia="Calibri" w:hAnsi="Calibri"/>
                <w:sz w:val="18"/>
                <w:szCs w:val="18"/>
              </w:rPr>
              <w:t xml:space="preserve">Vehicle surrogate key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Brand / Model / BodyType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Vehicle descriptors</w:t>
            </w:r>
          </w:p>
        </w:tc>
      </w:tr>
      <w:tr>
        <w:tc>
          <w:tcPr>
            <w:tcW w:type="dxa" w:w="26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tcPr>
          <w:p>
            <w:r>
              <w:rPr>
                <w:rFonts w:ascii="Calibri" w:cs="Calibri" w:eastAsia="Calibri" w:hAnsi="Calibri"/>
                <w:sz w:val="18"/>
                <w:szCs w:val="18"/>
              </w:rPr>
              <w:t xml:space="preserve"/>
            </w:r>
          </w:p>
        </w:tc>
        <w:tc>
          <w:tcPr>
            <w:tcW w:type="dxa" w:w="26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tcPr>
          <w:p>
            <w:r>
              <w:rPr>
                <w:rFonts w:ascii="Calibri" w:cs="Calibri" w:eastAsia="Calibri" w:hAnsi="Calibri"/>
                <w:sz w:val="18"/>
                <w:szCs w:val="18"/>
              </w:rPr>
              <w:t xml:space="preserve">BatteryRange_km</w:t>
            </w:r>
          </w:p>
        </w:tc>
        <w:tc>
          <w:tcPr>
            <w:tcW w:type="dxa" w:w="416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tcPr>
          <w:p>
            <w:r>
              <w:rPr>
                <w:rFonts w:ascii="Calibri" w:cs="Calibri" w:eastAsia="Calibri" w:hAnsi="Calibri"/>
                <w:sz w:val="18"/>
                <w:szCs w:val="18"/>
              </w:rPr>
              <w:t xml:space="preserve">EPA-rated range in km</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BasePrice_USD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MSRP in USD</w:t>
            </w:r>
          </w:p>
        </w:tc>
      </w:tr>
      <w:tr>
        <w:tc>
          <w:tcPr>
            <w:tcW w:type="dxa" w:w="26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tcPr>
          <w:p>
            <w:r>
              <w:rPr>
                <w:rFonts w:ascii="Calibri" w:cs="Calibri" w:eastAsia="Calibri" w:hAnsi="Calibri"/>
                <w:sz w:val="18"/>
                <w:szCs w:val="18"/>
              </w:rPr>
              <w:t xml:space="preserve"/>
            </w:r>
          </w:p>
        </w:tc>
        <w:tc>
          <w:tcPr>
            <w:tcW w:type="dxa" w:w="26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tcPr>
          <w:p>
            <w:r>
              <w:rPr>
                <w:rFonts w:ascii="Calibri" w:cs="Calibri" w:eastAsia="Calibri" w:hAnsi="Calibri"/>
                <w:sz w:val="18"/>
                <w:szCs w:val="18"/>
              </w:rPr>
              <w:t xml:space="preserve">DrivetrainType</w:t>
            </w:r>
          </w:p>
        </w:tc>
        <w:tc>
          <w:tcPr>
            <w:tcW w:type="dxa" w:w="416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tcPr>
          <w:p>
            <w:r>
              <w:rPr>
                <w:rFonts w:ascii="Calibri" w:cs="Calibri" w:eastAsia="Calibri" w:hAnsi="Calibri"/>
                <w:sz w:val="18"/>
                <w:szCs w:val="18"/>
              </w:rPr>
              <w:t xml:space="preserve">BEV / PHEV</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RangeCategory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Short / Mid / Long Range</w:t>
            </w:r>
          </w:p>
        </w:tc>
      </w:tr>
    </w:tbl>
    <w:p>
      <w:pPr>
        <w:spacing w:after="80" w:before="200"/>
      </w:pPr>
    </w:p>
    <w:p>
      <w:pPr>
        <w:pStyle w:val="Heading2"/>
        <w:spacing w:after="120" w:before="280"/>
      </w:pPr>
      <w:r>
        <w:rPr>
          <w:rFonts w:ascii="Calibri" w:cs="Calibri" w:eastAsia="Calibri" w:hAnsi="Calibri"/>
          <w:b/>
          <w:bCs/>
          <w:color w:val="0070C0"/>
          <w:sz w:val="28"/>
          <w:szCs w:val="28"/>
        </w:rPr>
        <w:t xml:space="preserve">Relationship Setup in Power BI</w:t>
      </w:r>
    </w:p>
    <w:p>
      <w:pPr>
        <w:pStyle w:val="ListParagraph"/>
        <w:numPr>
          <w:ilvl w:val="0"/>
          <w:numId w:val="2"/>
        </w:numPr>
        <w:spacing w:after="40" w:before="40"/>
      </w:pPr>
      <w:r>
        <w:rPr>
          <w:rFonts w:ascii="Calibri" w:cs="Calibri" w:eastAsia="Calibri" w:hAnsi="Calibri"/>
          <w:sz w:val="20"/>
          <w:szCs w:val="20"/>
        </w:rPr>
        <w:t xml:space="preserve">Open Model View (left sidebar icon)</w:t>
      </w:r>
    </w:p>
    <w:p>
      <w:pPr>
        <w:pStyle w:val="ListParagraph"/>
        <w:numPr>
          <w:ilvl w:val="0"/>
          <w:numId w:val="2"/>
        </w:numPr>
        <w:spacing w:after="40" w:before="40"/>
      </w:pPr>
      <w:r>
        <w:rPr>
          <w:rFonts w:ascii="Calibri" w:cs="Calibri" w:eastAsia="Calibri" w:hAnsi="Calibri"/>
          <w:sz w:val="20"/>
          <w:szCs w:val="20"/>
        </w:rPr>
        <w:t xml:space="preserve">Drag DateID from Fact_EVSales → Dim_Date.DateID (Many-to-One)</w:t>
      </w:r>
    </w:p>
    <w:p>
      <w:pPr>
        <w:pStyle w:val="ListParagraph"/>
        <w:numPr>
          <w:ilvl w:val="0"/>
          <w:numId w:val="2"/>
        </w:numPr>
        <w:spacing w:after="40" w:before="40"/>
      </w:pPr>
      <w:r>
        <w:rPr>
          <w:rFonts w:ascii="Calibri" w:cs="Calibri" w:eastAsia="Calibri" w:hAnsi="Calibri"/>
          <w:sz w:val="20"/>
          <w:szCs w:val="20"/>
        </w:rPr>
        <w:t xml:space="preserve">Drag RegionID from Fact_EVSales → Dim_Region.RegionID (Many-to-One)</w:t>
      </w:r>
    </w:p>
    <w:p>
      <w:pPr>
        <w:pStyle w:val="ListParagraph"/>
        <w:numPr>
          <w:ilvl w:val="0"/>
          <w:numId w:val="2"/>
        </w:numPr>
        <w:spacing w:after="40" w:before="40"/>
      </w:pPr>
      <w:r>
        <w:rPr>
          <w:rFonts w:ascii="Calibri" w:cs="Calibri" w:eastAsia="Calibri" w:hAnsi="Calibri"/>
          <w:sz w:val="20"/>
          <w:szCs w:val="20"/>
        </w:rPr>
        <w:t xml:space="preserve">Drag ModelID from Fact_EVSales → Dim_Vehicle.ModelID (Many-to-One)</w:t>
      </w:r>
    </w:p>
    <w:p>
      <w:pPr>
        <w:pStyle w:val="ListParagraph"/>
        <w:numPr>
          <w:ilvl w:val="0"/>
          <w:numId w:val="2"/>
        </w:numPr>
        <w:spacing w:after="40" w:before="40"/>
      </w:pPr>
      <w:r>
        <w:rPr>
          <w:rFonts w:ascii="Calibri" w:cs="Calibri" w:eastAsia="Calibri" w:hAnsi="Calibri"/>
          <w:sz w:val="20"/>
          <w:szCs w:val="20"/>
        </w:rPr>
        <w:t xml:space="preserve">Set all cross-filter directions to Single (Dim → Fact)</w:t>
      </w:r>
    </w:p>
    <w:p>
      <w:pPr>
        <w:pStyle w:val="ListParagraph"/>
        <w:numPr>
          <w:ilvl w:val="0"/>
          <w:numId w:val="2"/>
        </w:numPr>
        <w:spacing w:after="40" w:before="40"/>
      </w:pPr>
      <w:r>
        <w:rPr>
          <w:rFonts w:ascii="Calibri" w:cs="Calibri" w:eastAsia="Calibri" w:hAnsi="Calibri"/>
          <w:sz w:val="20"/>
          <w:szCs w:val="20"/>
        </w:rPr>
        <w:t xml:space="preserve">Mark Dim_Date as a Date Table: right-click → Mark as Date Table → Date column</w:t>
      </w:r>
    </w:p>
    <w:p>
      <w:pPr>
        <w:spacing w:after="40" w:before="40"/>
      </w:pPr>
    </w:p>
    <w:p>
      <w:pPr>
        <w:pBdr>
          <w:bottom w:val="single" w:color="0070C0" w:sz="4" w:space="1"/>
        </w:pBdr>
        <w:spacing w:after="200" w:before="200"/>
      </w:pPr>
    </w:p>
    <w:p>
      <w:pPr>
        <w:pStyle w:val="Heading1"/>
        <w:spacing w:after="120" w:before="280"/>
      </w:pPr>
      <w:r>
        <w:rPr>
          <w:rFonts w:ascii="Calibri" w:cs="Calibri" w:eastAsia="Calibri" w:hAnsi="Calibri"/>
          <w:b/>
          <w:bCs/>
          <w:color w:val="0070C0"/>
          <w:sz w:val="36"/>
          <w:szCs w:val="36"/>
        </w:rPr>
        <w:t xml:space="preserve">Phase 2 — Power Query ETL</w:t>
      </w:r>
    </w:p>
    <w:p>
      <w:pPr>
        <w:spacing w:after="80" w:before="60"/>
      </w:pPr>
      <w:r>
        <w:rPr>
          <w:rFonts w:ascii="Calibri" w:cs="Calibri" w:eastAsia="Calibri" w:hAnsi="Calibri"/>
          <w:sz w:val="20"/>
          <w:szCs w:val="20"/>
        </w:rPr>
        <w:t xml:space="preserve">Open Power BI Desktop → Home → Transform Data. For each table, open Advanced Editor and paste the corresponding M-code from PowerQuery_MCode.txt. The steps below describe what each transformation accomplishes and why recruiters value it.</w:t>
      </w:r>
    </w:p>
    <w:p>
      <w:pPr>
        <w:pStyle w:val="Heading2"/>
        <w:spacing w:after="120" w:before="280"/>
      </w:pPr>
      <w:r>
        <w:rPr>
          <w:rFonts w:ascii="Calibri" w:cs="Calibri" w:eastAsia="Calibri" w:hAnsi="Calibri"/>
          <w:b/>
          <w:bCs/>
          <w:color w:val="0070C0"/>
          <w:sz w:val="28"/>
          <w:szCs w:val="28"/>
        </w:rPr>
        <w:t xml:space="preserve">Fact_EVSales Transformations (10 steps)</w:t>
      </w:r>
    </w:p>
    <w:p>
      <w:pPr>
        <w:pStyle w:val="ListParagraph"/>
        <w:numPr>
          <w:ilvl w:val="0"/>
          <w:numId w:val="2"/>
        </w:numPr>
        <w:spacing w:after="40" w:before="40"/>
      </w:pPr>
      <w:r>
        <w:rPr>
          <w:rFonts w:ascii="Calibri" w:cs="Calibri" w:eastAsia="Calibri" w:hAnsi="Calibri"/>
          <w:sz w:val="20"/>
          <w:szCs w:val="20"/>
        </w:rPr>
        <w:t xml:space="preserve">Step 1 — Load CSV: Source connection with explicit encoding</w:t>
      </w:r>
    </w:p>
    <w:p>
      <w:pPr>
        <w:pStyle w:val="ListParagraph"/>
        <w:numPr>
          <w:ilvl w:val="0"/>
          <w:numId w:val="2"/>
        </w:numPr>
        <w:spacing w:after="40" w:before="40"/>
      </w:pPr>
      <w:r>
        <w:rPr>
          <w:rFonts w:ascii="Calibri" w:cs="Calibri" w:eastAsia="Calibri" w:hAnsi="Calibri"/>
          <w:sz w:val="20"/>
          <w:szCs w:val="20"/>
        </w:rPr>
        <w:t xml:space="preserve">Step 2 — Promote Headers: Converts first row to column names</w:t>
      </w:r>
    </w:p>
    <w:p>
      <w:pPr>
        <w:pStyle w:val="ListParagraph"/>
        <w:numPr>
          <w:ilvl w:val="0"/>
          <w:numId w:val="2"/>
        </w:numPr>
        <w:spacing w:after="40" w:before="40"/>
      </w:pPr>
      <w:r>
        <w:rPr>
          <w:rFonts w:ascii="Calibri" w:cs="Calibri" w:eastAsia="Calibri" w:hAnsi="Calibri"/>
          <w:sz w:val="20"/>
          <w:szCs w:val="20"/>
        </w:rPr>
        <w:t xml:space="preserve">Step 3 — Set Data Types: Int64 for IDs, Currency for revenue, Percentage for discount</w:t>
      </w:r>
    </w:p>
    <w:p>
      <w:pPr>
        <w:pStyle w:val="ListParagraph"/>
        <w:numPr>
          <w:ilvl w:val="0"/>
          <w:numId w:val="2"/>
        </w:numPr>
        <w:spacing w:after="40" w:before="40"/>
      </w:pPr>
      <w:r>
        <w:rPr>
          <w:rFonts w:ascii="Calibri" w:cs="Calibri" w:eastAsia="Calibri" w:hAnsi="Calibri"/>
          <w:sz w:val="20"/>
          <w:szCs w:val="20"/>
        </w:rPr>
        <w:t xml:space="preserve">Step 4 — Calculate Column Averages: Uses List.Average over non-null values for imputation</w:t>
      </w:r>
    </w:p>
    <w:p>
      <w:pPr>
        <w:pStyle w:val="ListParagraph"/>
        <w:numPr>
          <w:ilvl w:val="0"/>
          <w:numId w:val="2"/>
        </w:numPr>
        <w:spacing w:after="40" w:before="40"/>
      </w:pPr>
      <w:r>
        <w:rPr>
          <w:rFonts w:ascii="Calibri" w:cs="Calibri" w:eastAsia="Calibri" w:hAnsi="Calibri"/>
          <w:sz w:val="20"/>
          <w:szCs w:val="20"/>
        </w:rPr>
        <w:t xml:space="preserve">Step 5 — Replace Null UnitsSold: M-code replaces nulls with computed average (not 0)</w:t>
      </w:r>
    </w:p>
    <w:p>
      <w:pPr>
        <w:pStyle w:val="ListParagraph"/>
        <w:numPr>
          <w:ilvl w:val="0"/>
          <w:numId w:val="2"/>
        </w:numPr>
        <w:spacing w:after="40" w:before="40"/>
      </w:pPr>
      <w:r>
        <w:rPr>
          <w:rFonts w:ascii="Calibri" w:cs="Calibri" w:eastAsia="Calibri" w:hAnsi="Calibri"/>
          <w:sz w:val="20"/>
          <w:szCs w:val="20"/>
        </w:rPr>
        <w:t xml:space="preserve">Step 6 — Replace Null Revenue: Same pattern for revenue column</w:t>
      </w:r>
    </w:p>
    <w:p>
      <w:pPr>
        <w:pStyle w:val="ListParagraph"/>
        <w:numPr>
          <w:ilvl w:val="0"/>
          <w:numId w:val="2"/>
        </w:numPr>
        <w:spacing w:after="40" w:before="40"/>
      </w:pPr>
      <w:r>
        <w:rPr>
          <w:rFonts w:ascii="Calibri" w:cs="Calibri" w:eastAsia="Calibri" w:hAnsi="Calibri"/>
          <w:sz w:val="20"/>
          <w:szCs w:val="20"/>
        </w:rPr>
        <w:t xml:space="preserve">Step 7 — Remove Duplicates: Deduplication on SalesID as PK</w:t>
      </w:r>
    </w:p>
    <w:p>
      <w:pPr>
        <w:pStyle w:val="ListParagraph"/>
        <w:numPr>
          <w:ilvl w:val="0"/>
          <w:numId w:val="2"/>
        </w:numPr>
        <w:spacing w:after="40" w:before="40"/>
      </w:pPr>
      <w:r>
        <w:rPr>
          <w:rFonts w:ascii="Calibri" w:cs="Calibri" w:eastAsia="Calibri" w:hAnsi="Calibri"/>
          <w:sz w:val="20"/>
          <w:szCs w:val="20"/>
        </w:rPr>
        <w:t xml:space="preserve">Step 8 — Filter Invalid Rows: Removes rows with zero or negative units</w:t>
      </w:r>
    </w:p>
    <w:p>
      <w:pPr>
        <w:pStyle w:val="ListParagraph"/>
        <w:numPr>
          <w:ilvl w:val="0"/>
          <w:numId w:val="2"/>
        </w:numPr>
        <w:spacing w:after="40" w:before="40"/>
      </w:pPr>
      <w:r>
        <w:rPr>
          <w:rFonts w:ascii="Calibri" w:cs="Calibri" w:eastAsia="Calibri" w:hAnsi="Calibri"/>
          <w:sz w:val="20"/>
          <w:szCs w:val="20"/>
        </w:rPr>
        <w:t xml:space="preserve">Step 9 — Add RevenuePerUnit: Calculated column Revenue ÷ Units</w:t>
      </w:r>
    </w:p>
    <w:p>
      <w:pPr>
        <w:pStyle w:val="ListParagraph"/>
        <w:numPr>
          <w:ilvl w:val="0"/>
          <w:numId w:val="2"/>
        </w:numPr>
        <w:spacing w:after="40" w:before="40"/>
      </w:pPr>
      <w:r>
        <w:rPr>
          <w:rFonts w:ascii="Calibri" w:cs="Calibri" w:eastAsia="Calibri" w:hAnsi="Calibri"/>
          <w:sz w:val="20"/>
          <w:szCs w:val="20"/>
        </w:rPr>
        <w:t xml:space="preserve">Step 10 — Add Quarter Label: Derives Q1/Q2/Q3/Q4 from DateID integer</w:t>
      </w:r>
    </w:p>
    <w:p>
      <w:pPr>
        <w:pStyle w:val="Heading2"/>
        <w:spacing w:after="120" w:before="280"/>
      </w:pPr>
      <w:r>
        <w:rPr>
          <w:rFonts w:ascii="Calibri" w:cs="Calibri" w:eastAsia="Calibri" w:hAnsi="Calibri"/>
          <w:b/>
          <w:bCs/>
          <w:color w:val="0070C0"/>
          <w:sz w:val="28"/>
          <w:szCs w:val="28"/>
        </w:rPr>
        <w:t xml:space="preserve">Dim_Vehicle Transformations</w:t>
      </w:r>
    </w:p>
    <w:p>
      <w:pPr>
        <w:pStyle w:val="ListParagraph"/>
        <w:numPr>
          <w:ilvl w:val="0"/>
          <w:numId w:val="2"/>
        </w:numPr>
        <w:spacing w:after="40" w:before="40"/>
      </w:pPr>
      <w:r>
        <w:rPr>
          <w:rFonts w:ascii="Calibri" w:cs="Calibri" w:eastAsia="Calibri" w:hAnsi="Calibri"/>
          <w:sz w:val="20"/>
          <w:szCs w:val="20"/>
        </w:rPr>
        <w:t xml:space="preserve">Conditional Column — PriceSegment: Budget / Mass Market / Mid-Premium / Premium tiers</w:t>
      </w:r>
    </w:p>
    <w:p>
      <w:pPr>
        <w:pStyle w:val="ListParagraph"/>
        <w:numPr>
          <w:ilvl w:val="0"/>
          <w:numId w:val="2"/>
        </w:numPr>
        <w:spacing w:after="40" w:before="40"/>
      </w:pPr>
      <w:r>
        <w:rPr>
          <w:rFonts w:ascii="Calibri" w:cs="Calibri" w:eastAsia="Calibri" w:hAnsi="Calibri"/>
          <w:sz w:val="20"/>
          <w:szCs w:val="20"/>
        </w:rPr>
        <w:t xml:space="preserve">Conditional Column — RangeTier: City / Short / Mid / Long range labels from km value</w:t>
      </w:r>
    </w:p>
    <w:p>
      <w:pPr>
        <w:pStyle w:val="ListParagraph"/>
        <w:numPr>
          <w:ilvl w:val="0"/>
          <w:numId w:val="2"/>
        </w:numPr>
        <w:spacing w:after="40" w:before="40"/>
      </w:pPr>
      <w:r>
        <w:rPr>
          <w:rFonts w:ascii="Calibri" w:cs="Calibri" w:eastAsia="Calibri" w:hAnsi="Calibri"/>
          <w:sz w:val="20"/>
          <w:szCs w:val="20"/>
        </w:rPr>
        <w:t xml:space="preserve">Text.Trim on all string columns to remove whitespace artifacts</w:t>
      </w:r>
    </w:p>
    <w:p>
      <w:pPr>
        <w:pStyle w:val="Heading2"/>
        <w:spacing w:after="120" w:before="280"/>
      </w:pPr>
      <w:r>
        <w:rPr>
          <w:rFonts w:ascii="Calibri" w:cs="Calibri" w:eastAsia="Calibri" w:hAnsi="Calibri"/>
          <w:b/>
          <w:bCs/>
          <w:color w:val="0070C0"/>
          <w:sz w:val="28"/>
          <w:szCs w:val="28"/>
        </w:rPr>
        <w:t xml:space="preserve">Dim_Region Transformations</w:t>
      </w:r>
    </w:p>
    <w:p>
      <w:pPr>
        <w:pStyle w:val="ListParagraph"/>
        <w:numPr>
          <w:ilvl w:val="0"/>
          <w:numId w:val="2"/>
        </w:numPr>
        <w:spacing w:after="40" w:before="40"/>
      </w:pPr>
      <w:r>
        <w:rPr>
          <w:rFonts w:ascii="Calibri" w:cs="Calibri" w:eastAsia="Calibri" w:hAnsi="Calibri"/>
          <w:sz w:val="20"/>
          <w:szCs w:val="20"/>
        </w:rPr>
        <w:t xml:space="preserve">Conditional Column — AdoptionTier: Early Stage → Pioneer based on EV penetration rate</w:t>
      </w:r>
    </w:p>
    <w:p>
      <w:pPr>
        <w:pStyle w:val="ListParagraph"/>
        <w:numPr>
          <w:ilvl w:val="0"/>
          <w:numId w:val="2"/>
        </w:numPr>
        <w:spacing w:after="40" w:before="40"/>
      </w:pPr>
      <w:r>
        <w:rPr>
          <w:rFonts w:ascii="Calibri" w:cs="Calibri" w:eastAsia="Calibri" w:hAnsi="Calibri"/>
          <w:sz w:val="20"/>
          <w:szCs w:val="20"/>
        </w:rPr>
        <w:t xml:space="preserve">Calculated Column — ChargingPer100k: Normalised station density for fair comparison</w:t>
      </w:r>
    </w:p>
    <w:p>
      <w:pPr>
        <w:pStyle w:val="Heading2"/>
        <w:spacing w:after="120" w:before="280"/>
      </w:pPr>
      <w:r>
        <w:rPr>
          <w:rFonts w:ascii="Calibri" w:cs="Calibri" w:eastAsia="Calibri" w:hAnsi="Calibri"/>
          <w:b/>
          <w:bCs/>
          <w:color w:val="0070C0"/>
          <w:sz w:val="28"/>
          <w:szCs w:val="28"/>
        </w:rPr>
        <w:t xml:space="preserve">Null Imputation M-Code Pattern (copy-paste ready)</w:t>
      </w:r>
    </w:p>
    <w:p>
      <w:pPr>
        <w:spacing w:after="80" w:before="60"/>
      </w:pPr>
      <w:r>
        <w:rPr>
          <w:rFonts w:ascii="Calibri" w:cs="Calibri" w:eastAsia="Calibri" w:hAnsi="Calibri"/>
          <w:sz w:val="20"/>
          <w:szCs w:val="20"/>
        </w:rPr>
        <w:t xml:space="preserve">The following pattern is the key ETL showcase. It calculates the column average before imputation — much more defensible than replacing with 0 or hardcoded values:</w:t>
      </w:r>
    </w:p>
    <w:p>
      <w:pPr>
        <w:shd w:fill="1E1E2E" w:val="clear"/>
        <w:spacing w:after="0" w:before="0"/>
        <w:ind w:left="360"/>
      </w:pPr>
      <w:r>
        <w:rPr>
          <w:rFonts w:ascii="Courier New" w:cs="Courier New" w:eastAsia="Courier New" w:hAnsi="Courier New"/>
          <w:color w:val="C9D1D9"/>
          <w:sz w:val="18"/>
          <w:szCs w:val="18"/>
        </w:rPr>
        <w:t xml:space="preserve">AvgUnits = List.Average(</w:t>
      </w:r>
    </w:p>
    <w:p>
      <w:pPr>
        <w:shd w:fill="1E1E2E" w:val="clear"/>
        <w:spacing w:after="0" w:before="0"/>
        <w:ind w:left="360"/>
      </w:pPr>
      <w:r>
        <w:rPr>
          <w:rFonts w:ascii="Courier New" w:cs="Courier New" w:eastAsia="Courier New" w:hAnsi="Courier New"/>
          <w:color w:val="C9D1D9"/>
          <w:sz w:val="18"/>
          <w:szCs w:val="18"/>
        </w:rPr>
        <w:t xml:space="preserve">    List.Select(</w:t>
      </w:r>
    </w:p>
    <w:p>
      <w:pPr>
        <w:shd w:fill="1E1E2E" w:val="clear"/>
        <w:spacing w:after="0" w:before="0"/>
        <w:ind w:left="360"/>
      </w:pPr>
      <w:r>
        <w:rPr>
          <w:rFonts w:ascii="Courier New" w:cs="Courier New" w:eastAsia="Courier New" w:hAnsi="Courier New"/>
          <w:color w:val="C9D1D9"/>
          <w:sz w:val="18"/>
          <w:szCs w:val="18"/>
        </w:rPr>
        <w:t xml:space="preserve">        Table.Column(TypedTable, "UnitsSold"),</w:t>
      </w:r>
    </w:p>
    <w:p>
      <w:pPr>
        <w:shd w:fill="1E1E2E" w:val="clear"/>
        <w:spacing w:after="0" w:before="0"/>
        <w:ind w:left="360"/>
      </w:pPr>
      <w:r>
        <w:rPr>
          <w:rFonts w:ascii="Courier New" w:cs="Courier New" w:eastAsia="Courier New" w:hAnsi="Courier New"/>
          <w:color w:val="C9D1D9"/>
          <w:sz w:val="18"/>
          <w:szCs w:val="18"/>
        </w:rPr>
        <w:t xml:space="preserve">        each _ &lt;&gt; null</w:t>
      </w:r>
    </w:p>
    <w:p>
      <w:pPr>
        <w:shd w:fill="1E1E2E" w:val="clear"/>
        <w:spacing w:after="0" w:before="0"/>
        <w:ind w:left="360"/>
      </w:pPr>
      <w:r>
        <w:rPr>
          <w:rFonts w:ascii="Courier New" w:cs="Courier New" w:eastAsia="Courier New" w:hAnsi="Courier New"/>
          <w:color w:val="C9D1D9"/>
          <w:sz w:val="18"/>
          <w:szCs w:val="18"/>
        </w:rPr>
        <w:t xml:space="preserve">    )</w:t>
      </w:r>
    </w:p>
    <w:p>
      <w:pPr>
        <w:shd w:fill="1E1E2E" w:val="clear"/>
        <w:spacing w:after="0" w:before="0"/>
        <w:ind w:left="360"/>
      </w:pPr>
      <w:r>
        <w:rPr>
          <w:rFonts w:ascii="Courier New" w:cs="Courier New" w:eastAsia="Courier New" w:hAnsi="Courier New"/>
          <w:color w:val="C9D1D9"/>
          <w:sz w:val="18"/>
          <w:szCs w:val="18"/>
        </w:rPr>
        <w:t xml:space="preserve">),</w:t>
      </w:r>
    </w:p>
    <w:p>
      <w:pPr>
        <w:shd w:fill="1E1E2E" w:val="clear"/>
        <w:spacing w:after="0" w:before="0"/>
        <w:ind w:left="360"/>
      </w:pPr>
      <w:r>
        <w:rPr>
          <w:rFonts w:ascii="Courier New" w:cs="Courier New" w:eastAsia="Courier New" w:hAnsi="Courier New"/>
          <w:color w:val="C9D1D9"/>
          <w:sz w:val="18"/>
          <w:szCs w:val="18"/>
        </w:rPr>
        <w:t xml:space="preserve">FilledUnits = Table.TransformColumns(TypedTable, {</w:t>
      </w:r>
    </w:p>
    <w:p>
      <w:pPr>
        <w:shd w:fill="1E1E2E" w:val="clear"/>
        <w:spacing w:after="0" w:before="0"/>
        <w:ind w:left="360"/>
      </w:pPr>
      <w:r>
        <w:rPr>
          <w:rFonts w:ascii="Courier New" w:cs="Courier New" w:eastAsia="Courier New" w:hAnsi="Courier New"/>
          <w:color w:val="C9D1D9"/>
          <w:sz w:val="18"/>
          <w:szCs w:val="18"/>
        </w:rPr>
        <w:t xml:space="preserve">    {"UnitsSold", each if _ = null</w:t>
      </w:r>
    </w:p>
    <w:p>
      <w:pPr>
        <w:shd w:fill="1E1E2E" w:val="clear"/>
        <w:spacing w:after="0" w:before="0"/>
        <w:ind w:left="360"/>
      </w:pPr>
      <w:r>
        <w:rPr>
          <w:rFonts w:ascii="Courier New" w:cs="Courier New" w:eastAsia="Courier New" w:hAnsi="Courier New"/>
          <w:color w:val="C9D1D9"/>
          <w:sz w:val="18"/>
          <w:szCs w:val="18"/>
        </w:rPr>
        <w:t xml:space="preserve">                       then Number.Round(AvgUnits, 0)</w:t>
      </w:r>
    </w:p>
    <w:p>
      <w:pPr>
        <w:shd w:fill="1E1E2E" w:val="clear"/>
        <w:spacing w:after="0" w:before="0"/>
        <w:ind w:left="360"/>
      </w:pPr>
      <w:r>
        <w:rPr>
          <w:rFonts w:ascii="Courier New" w:cs="Courier New" w:eastAsia="Courier New" w:hAnsi="Courier New"/>
          <w:color w:val="C9D1D9"/>
          <w:sz w:val="18"/>
          <w:szCs w:val="18"/>
        </w:rPr>
        <w:t xml:space="preserve">                       else _}</w:t>
      </w:r>
    </w:p>
    <w:p>
      <w:pPr>
        <w:shd w:fill="1E1E2E" w:val="clear"/>
        <w:spacing w:after="0" w:before="0"/>
        <w:ind w:left="360"/>
      </w:pPr>
      <w:r>
        <w:rPr>
          <w:rFonts w:ascii="Courier New" w:cs="Courier New" w:eastAsia="Courier New" w:hAnsi="Courier New"/>
          <w:color w:val="C9D1D9"/>
          <w:sz w:val="18"/>
          <w:szCs w:val="18"/>
        </w:rPr>
        <w:t xml:space="preserve">})</w:t>
      </w:r>
    </w:p>
    <w:p>
      <w:pPr>
        <w:spacing w:after="40" w:before="40"/>
      </w:pPr>
    </w:p>
    <w:p>
      <w:pPr>
        <w:pBdr>
          <w:bottom w:val="single" w:color="0070C0" w:sz="4" w:space="1"/>
        </w:pBdr>
        <w:spacing w:after="200" w:before="200"/>
      </w:pPr>
    </w:p>
    <w:p>
      <w:pPr>
        <w:pStyle w:val="Heading1"/>
        <w:spacing w:after="120" w:before="280"/>
      </w:pPr>
      <w:r>
        <w:rPr>
          <w:rFonts w:ascii="Calibri" w:cs="Calibri" w:eastAsia="Calibri" w:hAnsi="Calibri"/>
          <w:b/>
          <w:bCs/>
          <w:color w:val="0070C0"/>
          <w:sz w:val="36"/>
          <w:szCs w:val="36"/>
        </w:rPr>
        <w:t xml:space="preserve">Phase 3 — Advanced DAX Measures</w:t>
      </w:r>
    </w:p>
    <w:p>
      <w:pPr>
        <w:spacing w:after="80" w:before="60"/>
      </w:pPr>
      <w:r>
        <w:rPr>
          <w:rFonts w:ascii="Calibri" w:cs="Calibri" w:eastAsia="Calibri" w:hAnsi="Calibri"/>
          <w:sz w:val="20"/>
          <w:szCs w:val="20"/>
        </w:rPr>
        <w:t xml:space="preserve">All 20 measures are in DAX_Measures.txt. Create a dedicated measure table: Home → Enter Data → name it [Sales Measures] → Close &amp; Apply. Then add each measure via Modeling → New Measure.</w:t>
      </w:r>
    </w:p>
    <w:p>
      <w:pPr>
        <w:pStyle w:val="Heading2"/>
        <w:spacing w:after="120" w:before="280"/>
      </w:pPr>
      <w:r>
        <w:rPr>
          <w:rFonts w:ascii="Calibri" w:cs="Calibri" w:eastAsia="Calibri" w:hAnsi="Calibri"/>
          <w:b/>
          <w:bCs/>
          <w:color w:val="0070C0"/>
          <w:sz w:val="28"/>
          <w:szCs w:val="28"/>
        </w:rPr>
        <w:t xml:space="preserve">Time Intelligence Measures</w:t>
      </w:r>
    </w:p>
    <w:p>
      <w:pPr>
        <w:spacing w:after="80" w:before="60"/>
      </w:pPr>
      <w:r>
        <w:rPr>
          <w:rFonts w:ascii="Calibri" w:cs="Calibri" w:eastAsia="Calibri" w:hAnsi="Calibri"/>
          <w:sz w:val="20"/>
          <w:szCs w:val="20"/>
        </w:rPr>
        <w:t xml:space="preserve">These are the #1 thing recruiters test. They require Dim_Date to be marked as a Date Table.</w:t>
      </w:r>
    </w:p>
    <w:p>
      <w:pPr>
        <w:shd w:fill="1E1E2E" w:val="clear"/>
        <w:spacing w:after="0" w:before="0"/>
        <w:ind w:left="360"/>
      </w:pPr>
      <w:r>
        <w:rPr>
          <w:rFonts w:ascii="Courier New" w:cs="Courier New" w:eastAsia="Courier New" w:hAnsi="Courier New"/>
          <w:color w:val="C9D1D9"/>
          <w:sz w:val="18"/>
          <w:szCs w:val="18"/>
        </w:rPr>
        <w:t xml:space="preserve">// Year-over-Year Growth %</w:t>
      </w:r>
    </w:p>
    <w:p>
      <w:pPr>
        <w:shd w:fill="1E1E2E" w:val="clear"/>
        <w:spacing w:after="0" w:before="0"/>
        <w:ind w:left="360"/>
      </w:pPr>
      <w:r>
        <w:rPr>
          <w:rFonts w:ascii="Courier New" w:cs="Courier New" w:eastAsia="Courier New" w:hAnsi="Courier New"/>
          <w:color w:val="C9D1D9"/>
          <w:sz w:val="18"/>
          <w:szCs w:val="18"/>
        </w:rPr>
        <w:t xml:space="preserve">YoY Growth % = </w:t>
      </w:r>
    </w:p>
    <w:p>
      <w:pPr>
        <w:shd w:fill="1E1E2E" w:val="clear"/>
        <w:spacing w:after="0" w:before="0"/>
        <w:ind w:left="360"/>
      </w:pPr>
      <w:r>
        <w:rPr>
          <w:rFonts w:ascii="Courier New" w:cs="Courier New" w:eastAsia="Courier New" w:hAnsi="Courier New"/>
          <w:color w:val="C9D1D9"/>
          <w:sz w:val="18"/>
          <w:szCs w:val="18"/>
        </w:rPr>
        <w:t xml:space="preserve">VAR CurrentPeriod = [Total Units Sold]</w:t>
      </w:r>
    </w:p>
    <w:p>
      <w:pPr>
        <w:shd w:fill="1E1E2E" w:val="clear"/>
        <w:spacing w:after="0" w:before="0"/>
        <w:ind w:left="360"/>
      </w:pPr>
      <w:r>
        <w:rPr>
          <w:rFonts w:ascii="Courier New" w:cs="Courier New" w:eastAsia="Courier New" w:hAnsi="Courier New"/>
          <w:color w:val="C9D1D9"/>
          <w:sz w:val="18"/>
          <w:szCs w:val="18"/>
        </w:rPr>
        <w:t xml:space="preserve">VAR PriorPeriod   = CALCULATE(</w:t>
      </w:r>
    </w:p>
    <w:p>
      <w:pPr>
        <w:shd w:fill="1E1E2E" w:val="clear"/>
        <w:spacing w:after="0" w:before="0"/>
        <w:ind w:left="360"/>
      </w:pPr>
      <w:r>
        <w:rPr>
          <w:rFonts w:ascii="Courier New" w:cs="Courier New" w:eastAsia="Courier New" w:hAnsi="Courier New"/>
          <w:color w:val="C9D1D9"/>
          <w:sz w:val="18"/>
          <w:szCs w:val="18"/>
        </w:rPr>
        <w:t xml:space="preserve">    [Total Units Sold],</w:t>
      </w:r>
    </w:p>
    <w:p>
      <w:pPr>
        <w:shd w:fill="1E1E2E" w:val="clear"/>
        <w:spacing w:after="0" w:before="0"/>
        <w:ind w:left="360"/>
      </w:pPr>
      <w:r>
        <w:rPr>
          <w:rFonts w:ascii="Courier New" w:cs="Courier New" w:eastAsia="Courier New" w:hAnsi="Courier New"/>
          <w:color w:val="C9D1D9"/>
          <w:sz w:val="18"/>
          <w:szCs w:val="18"/>
        </w:rPr>
        <w:t xml:space="preserve">    SAMEPERIODLASTYEAR( Dim_Date[Date] )</w:t>
      </w:r>
    </w:p>
    <w:p>
      <w:pPr>
        <w:shd w:fill="1E1E2E" w:val="clear"/>
        <w:spacing w:after="0" w:before="0"/>
        <w:ind w:left="360"/>
      </w:pPr>
      <w:r>
        <w:rPr>
          <w:rFonts w:ascii="Courier New" w:cs="Courier New" w:eastAsia="Courier New" w:hAnsi="Courier New"/>
          <w:color w:val="C9D1D9"/>
          <w:sz w:val="18"/>
          <w:szCs w:val="18"/>
        </w:rPr>
        <w:t xml:space="preserve">)</w:t>
      </w:r>
    </w:p>
    <w:p>
      <w:pPr>
        <w:shd w:fill="1E1E2E" w:val="clear"/>
        <w:spacing w:after="0" w:before="0"/>
        <w:ind w:left="360"/>
      </w:pPr>
      <w:r>
        <w:rPr>
          <w:rFonts w:ascii="Courier New" w:cs="Courier New" w:eastAsia="Courier New" w:hAnsi="Courier New"/>
          <w:color w:val="C9D1D9"/>
          <w:sz w:val="18"/>
          <w:szCs w:val="18"/>
        </w:rPr>
        <w:t xml:space="preserve">RETURN DIVIDE( CurrentPeriod - PriorPeriod, PriorPeriod, BLANK() )</w:t>
      </w:r>
    </w:p>
    <w:p>
      <w:pPr>
        <w:spacing w:after="80" w:before="80"/>
      </w:pPr>
    </w:p>
    <w:p>
      <w:pPr>
        <w:shd w:fill="1E1E2E" w:val="clear"/>
        <w:spacing w:after="0" w:before="0"/>
        <w:ind w:left="360"/>
      </w:pPr>
      <w:r>
        <w:rPr>
          <w:rFonts w:ascii="Courier New" w:cs="Courier New" w:eastAsia="Courier New" w:hAnsi="Courier New"/>
          <w:color w:val="C9D1D9"/>
          <w:sz w:val="18"/>
          <w:szCs w:val="18"/>
        </w:rPr>
        <w:t xml:space="preserve">// 3-Month Rolling Average (smooths seasonality spikes)</w:t>
      </w:r>
    </w:p>
    <w:p>
      <w:pPr>
        <w:shd w:fill="1E1E2E" w:val="clear"/>
        <w:spacing w:after="0" w:before="0"/>
        <w:ind w:left="360"/>
      </w:pPr>
      <w:r>
        <w:rPr>
          <w:rFonts w:ascii="Courier New" w:cs="Courier New" w:eastAsia="Courier New" w:hAnsi="Courier New"/>
          <w:color w:val="C9D1D9"/>
          <w:sz w:val="18"/>
          <w:szCs w:val="18"/>
        </w:rPr>
        <w:t xml:space="preserve">3M Rolling Avg Units = </w:t>
      </w:r>
    </w:p>
    <w:p>
      <w:pPr>
        <w:shd w:fill="1E1E2E" w:val="clear"/>
        <w:spacing w:after="0" w:before="0"/>
        <w:ind w:left="360"/>
      </w:pPr>
      <w:r>
        <w:rPr>
          <w:rFonts w:ascii="Courier New" w:cs="Courier New" w:eastAsia="Courier New" w:hAnsi="Courier New"/>
          <w:color w:val="C9D1D9"/>
          <w:sz w:val="18"/>
          <w:szCs w:val="18"/>
        </w:rPr>
        <w:t xml:space="preserve">CALCULATE(</w:t>
      </w:r>
    </w:p>
    <w:p>
      <w:pPr>
        <w:shd w:fill="1E1E2E" w:val="clear"/>
        <w:spacing w:after="0" w:before="0"/>
        <w:ind w:left="360"/>
      </w:pPr>
      <w:r>
        <w:rPr>
          <w:rFonts w:ascii="Courier New" w:cs="Courier New" w:eastAsia="Courier New" w:hAnsi="Courier New"/>
          <w:color w:val="C9D1D9"/>
          <w:sz w:val="18"/>
          <w:szCs w:val="18"/>
        </w:rPr>
        <w:t xml:space="preserve">    [Total Units Sold],</w:t>
      </w:r>
    </w:p>
    <w:p>
      <w:pPr>
        <w:shd w:fill="1E1E2E" w:val="clear"/>
        <w:spacing w:after="0" w:before="0"/>
        <w:ind w:left="360"/>
      </w:pPr>
      <w:r>
        <w:rPr>
          <w:rFonts w:ascii="Courier New" w:cs="Courier New" w:eastAsia="Courier New" w:hAnsi="Courier New"/>
          <w:color w:val="C9D1D9"/>
          <w:sz w:val="18"/>
          <w:szCs w:val="18"/>
        </w:rPr>
        <w:t xml:space="preserve">    DATESINPERIOD(</w:t>
      </w:r>
    </w:p>
    <w:p>
      <w:pPr>
        <w:shd w:fill="1E1E2E" w:val="clear"/>
        <w:spacing w:after="0" w:before="0"/>
        <w:ind w:left="360"/>
      </w:pPr>
      <w:r>
        <w:rPr>
          <w:rFonts w:ascii="Courier New" w:cs="Courier New" w:eastAsia="Courier New" w:hAnsi="Courier New"/>
          <w:color w:val="C9D1D9"/>
          <w:sz w:val="18"/>
          <w:szCs w:val="18"/>
        </w:rPr>
        <w:t xml:space="preserve">        Dim_Date[Date],</w:t>
      </w:r>
    </w:p>
    <w:p>
      <w:pPr>
        <w:shd w:fill="1E1E2E" w:val="clear"/>
        <w:spacing w:after="0" w:before="0"/>
        <w:ind w:left="360"/>
      </w:pPr>
      <w:r>
        <w:rPr>
          <w:rFonts w:ascii="Courier New" w:cs="Courier New" w:eastAsia="Courier New" w:hAnsi="Courier New"/>
          <w:color w:val="C9D1D9"/>
          <w:sz w:val="18"/>
          <w:szCs w:val="18"/>
        </w:rPr>
        <w:t xml:space="preserve">        LASTDATE( Dim_Date[Date] ),</w:t>
      </w:r>
    </w:p>
    <w:p>
      <w:pPr>
        <w:shd w:fill="1E1E2E" w:val="clear"/>
        <w:spacing w:after="0" w:before="0"/>
        <w:ind w:left="360"/>
      </w:pPr>
      <w:r>
        <w:rPr>
          <w:rFonts w:ascii="Courier New" w:cs="Courier New" w:eastAsia="Courier New" w:hAnsi="Courier New"/>
          <w:color w:val="C9D1D9"/>
          <w:sz w:val="18"/>
          <w:szCs w:val="18"/>
        </w:rPr>
        <w:t xml:space="preserve">        -3,</w:t>
      </w:r>
    </w:p>
    <w:p>
      <w:pPr>
        <w:shd w:fill="1E1E2E" w:val="clear"/>
        <w:spacing w:after="0" w:before="0"/>
        <w:ind w:left="360"/>
      </w:pPr>
      <w:r>
        <w:rPr>
          <w:rFonts w:ascii="Courier New" w:cs="Courier New" w:eastAsia="Courier New" w:hAnsi="Courier New"/>
          <w:color w:val="C9D1D9"/>
          <w:sz w:val="18"/>
          <w:szCs w:val="18"/>
        </w:rPr>
        <w:t xml:space="preserve">        MONTH</w:t>
      </w:r>
    </w:p>
    <w:p>
      <w:pPr>
        <w:shd w:fill="1E1E2E" w:val="clear"/>
        <w:spacing w:after="0" w:before="0"/>
        <w:ind w:left="360"/>
      </w:pPr>
      <w:r>
        <w:rPr>
          <w:rFonts w:ascii="Courier New" w:cs="Courier New" w:eastAsia="Courier New" w:hAnsi="Courier New"/>
          <w:color w:val="C9D1D9"/>
          <w:sz w:val="18"/>
          <w:szCs w:val="18"/>
        </w:rPr>
        <w:t xml:space="preserve">    )</w:t>
      </w:r>
    </w:p>
    <w:p>
      <w:pPr>
        <w:shd w:fill="1E1E2E" w:val="clear"/>
        <w:spacing w:after="0" w:before="0"/>
        <w:ind w:left="360"/>
      </w:pPr>
      <w:r>
        <w:rPr>
          <w:rFonts w:ascii="Courier New" w:cs="Courier New" w:eastAsia="Courier New" w:hAnsi="Courier New"/>
          <w:color w:val="C9D1D9"/>
          <w:sz w:val="18"/>
          <w:szCs w:val="18"/>
        </w:rPr>
        <w:t xml:space="preserve">) / 3</w:t>
      </w:r>
    </w:p>
    <w:p>
      <w:pPr>
        <w:spacing w:after="80" w:before="80"/>
      </w:pPr>
    </w:p>
    <w:p>
      <w:pPr>
        <w:pStyle w:val="Heading2"/>
        <w:spacing w:after="120" w:before="280"/>
      </w:pPr>
      <w:r>
        <w:rPr>
          <w:rFonts w:ascii="Calibri" w:cs="Calibri" w:eastAsia="Calibri" w:hAnsi="Calibri"/>
          <w:b/>
          <w:bCs/>
          <w:color w:val="0070C0"/>
          <w:sz w:val="28"/>
          <w:szCs w:val="28"/>
        </w:rPr>
        <w:t xml:space="preserve">Dynamic Ranking Measures</w:t>
      </w:r>
    </w:p>
    <w:p>
      <w:pPr>
        <w:shd w:fill="1E1E2E" w:val="clear"/>
        <w:spacing w:after="0" w:before="0"/>
        <w:ind w:left="360"/>
      </w:pPr>
      <w:r>
        <w:rPr>
          <w:rFonts w:ascii="Courier New" w:cs="Courier New" w:eastAsia="Courier New" w:hAnsi="Courier New"/>
          <w:color w:val="C9D1D9"/>
          <w:sz w:val="18"/>
          <w:szCs w:val="18"/>
        </w:rPr>
        <w:t xml:space="preserve">// Brand Rank — responds to ALL slicers dynamically</w:t>
      </w:r>
    </w:p>
    <w:p>
      <w:pPr>
        <w:shd w:fill="1E1E2E" w:val="clear"/>
        <w:spacing w:after="0" w:before="0"/>
        <w:ind w:left="360"/>
      </w:pPr>
      <w:r>
        <w:rPr>
          <w:rFonts w:ascii="Courier New" w:cs="Courier New" w:eastAsia="Courier New" w:hAnsi="Courier New"/>
          <w:color w:val="C9D1D9"/>
          <w:sz w:val="18"/>
          <w:szCs w:val="18"/>
        </w:rPr>
        <w:t xml:space="preserve">Brand Rank = </w:t>
      </w:r>
    </w:p>
    <w:p>
      <w:pPr>
        <w:shd w:fill="1E1E2E" w:val="clear"/>
        <w:spacing w:after="0" w:before="0"/>
        <w:ind w:left="360"/>
      </w:pPr>
      <w:r>
        <w:rPr>
          <w:rFonts w:ascii="Courier New" w:cs="Courier New" w:eastAsia="Courier New" w:hAnsi="Courier New"/>
          <w:color w:val="C9D1D9"/>
          <w:sz w:val="18"/>
          <w:szCs w:val="18"/>
        </w:rPr>
        <w:t xml:space="preserve">RANKX(</w:t>
      </w:r>
    </w:p>
    <w:p>
      <w:pPr>
        <w:shd w:fill="1E1E2E" w:val="clear"/>
        <w:spacing w:after="0" w:before="0"/>
        <w:ind w:left="360"/>
      </w:pPr>
      <w:r>
        <w:rPr>
          <w:rFonts w:ascii="Courier New" w:cs="Courier New" w:eastAsia="Courier New" w:hAnsi="Courier New"/>
          <w:color w:val="C9D1D9"/>
          <w:sz w:val="18"/>
          <w:szCs w:val="18"/>
        </w:rPr>
        <w:t xml:space="preserve">    ALL( Dim_Vehicle[Brand] ),</w:t>
      </w:r>
    </w:p>
    <w:p>
      <w:pPr>
        <w:shd w:fill="1E1E2E" w:val="clear"/>
        <w:spacing w:after="0" w:before="0"/>
        <w:ind w:left="360"/>
      </w:pPr>
      <w:r>
        <w:rPr>
          <w:rFonts w:ascii="Courier New" w:cs="Courier New" w:eastAsia="Courier New" w:hAnsi="Courier New"/>
          <w:color w:val="C9D1D9"/>
          <w:sz w:val="18"/>
          <w:szCs w:val="18"/>
        </w:rPr>
        <w:t xml:space="preserve">    [Total Units Sold],</w:t>
      </w:r>
    </w:p>
    <w:p>
      <w:pPr>
        <w:shd w:fill="1E1E2E" w:val="clear"/>
        <w:spacing w:after="0" w:before="0"/>
        <w:ind w:left="360"/>
      </w:pPr>
      <w:r>
        <w:rPr>
          <w:rFonts w:ascii="Courier New" w:cs="Courier New" w:eastAsia="Courier New" w:hAnsi="Courier New"/>
          <w:color w:val="C9D1D9"/>
          <w:sz w:val="18"/>
          <w:szCs w:val="18"/>
        </w:rPr>
        <w:t xml:space="preserve">    ,</w:t>
      </w:r>
    </w:p>
    <w:p>
      <w:pPr>
        <w:shd w:fill="1E1E2E" w:val="clear"/>
        <w:spacing w:after="0" w:before="0"/>
        <w:ind w:left="360"/>
      </w:pPr>
      <w:r>
        <w:rPr>
          <w:rFonts w:ascii="Courier New" w:cs="Courier New" w:eastAsia="Courier New" w:hAnsi="Courier New"/>
          <w:color w:val="C9D1D9"/>
          <w:sz w:val="18"/>
          <w:szCs w:val="18"/>
        </w:rPr>
        <w:t xml:space="preserve">    DESC,</w:t>
      </w:r>
    </w:p>
    <w:p>
      <w:pPr>
        <w:shd w:fill="1E1E2E" w:val="clear"/>
        <w:spacing w:after="0" w:before="0"/>
        <w:ind w:left="360"/>
      </w:pPr>
      <w:r>
        <w:rPr>
          <w:rFonts w:ascii="Courier New" w:cs="Courier New" w:eastAsia="Courier New" w:hAnsi="Courier New"/>
          <w:color w:val="C9D1D9"/>
          <w:sz w:val="18"/>
          <w:szCs w:val="18"/>
        </w:rPr>
        <w:t xml:space="preserve">    DENSE</w:t>
      </w:r>
    </w:p>
    <w:p>
      <w:pPr>
        <w:shd w:fill="1E1E2E" w:val="clear"/>
        <w:spacing w:after="0" w:before="0"/>
        <w:ind w:left="360"/>
      </w:pPr>
      <w:r>
        <w:rPr>
          <w:rFonts w:ascii="Courier New" w:cs="Courier New" w:eastAsia="Courier New" w:hAnsi="Courier New"/>
          <w:color w:val="C9D1D9"/>
          <w:sz w:val="18"/>
          <w:szCs w:val="18"/>
        </w:rPr>
        <w:t xml:space="preserve">)</w:t>
      </w:r>
    </w:p>
    <w:p>
      <w:pPr>
        <w:spacing w:after="80" w:before="80"/>
      </w:pPr>
    </w:p>
    <w:p>
      <w:pPr>
        <w:pStyle w:val="Heading2"/>
        <w:spacing w:after="120" w:before="280"/>
      </w:pPr>
      <w:r>
        <w:rPr>
          <w:rFonts w:ascii="Calibri" w:cs="Calibri" w:eastAsia="Calibri" w:hAnsi="Calibri"/>
          <w:b/>
          <w:bCs/>
          <w:color w:val="0070C0"/>
          <w:sz w:val="28"/>
          <w:szCs w:val="28"/>
        </w:rPr>
        <w:t xml:space="preserve">Market Share Measure</w:t>
      </w:r>
    </w:p>
    <w:p>
      <w:pPr>
        <w:shd w:fill="1E1E2E" w:val="clear"/>
        <w:spacing w:after="0" w:before="0"/>
        <w:ind w:left="360"/>
      </w:pPr>
      <w:r>
        <w:rPr>
          <w:rFonts w:ascii="Courier New" w:cs="Courier New" w:eastAsia="Courier New" w:hAnsi="Courier New"/>
          <w:color w:val="C9D1D9"/>
          <w:sz w:val="18"/>
          <w:szCs w:val="18"/>
        </w:rPr>
        <w:t xml:space="preserve">// Calculates share within whatever filter context is active</w:t>
      </w:r>
    </w:p>
    <w:p>
      <w:pPr>
        <w:shd w:fill="1E1E2E" w:val="clear"/>
        <w:spacing w:after="0" w:before="0"/>
        <w:ind w:left="360"/>
      </w:pPr>
      <w:r>
        <w:rPr>
          <w:rFonts w:ascii="Courier New" w:cs="Courier New" w:eastAsia="Courier New" w:hAnsi="Courier New"/>
          <w:color w:val="C9D1D9"/>
          <w:sz w:val="18"/>
          <w:szCs w:val="18"/>
        </w:rPr>
        <w:t xml:space="preserve">Market Share % = </w:t>
      </w:r>
    </w:p>
    <w:p>
      <w:pPr>
        <w:shd w:fill="1E1E2E" w:val="clear"/>
        <w:spacing w:after="0" w:before="0"/>
        <w:ind w:left="360"/>
      </w:pPr>
      <w:r>
        <w:rPr>
          <w:rFonts w:ascii="Courier New" w:cs="Courier New" w:eastAsia="Courier New" w:hAnsi="Courier New"/>
          <w:color w:val="C9D1D9"/>
          <w:sz w:val="18"/>
          <w:szCs w:val="18"/>
        </w:rPr>
        <w:t xml:space="preserve">DIVIDE(</w:t>
      </w:r>
    </w:p>
    <w:p>
      <w:pPr>
        <w:shd w:fill="1E1E2E" w:val="clear"/>
        <w:spacing w:after="0" w:before="0"/>
        <w:ind w:left="360"/>
      </w:pPr>
      <w:r>
        <w:rPr>
          <w:rFonts w:ascii="Courier New" w:cs="Courier New" w:eastAsia="Courier New" w:hAnsi="Courier New"/>
          <w:color w:val="C9D1D9"/>
          <w:sz w:val="18"/>
          <w:szCs w:val="18"/>
        </w:rPr>
        <w:t xml:space="preserve">    [Total Units Sold],</w:t>
      </w:r>
    </w:p>
    <w:p>
      <w:pPr>
        <w:shd w:fill="1E1E2E" w:val="clear"/>
        <w:spacing w:after="0" w:before="0"/>
        <w:ind w:left="360"/>
      </w:pPr>
      <w:r>
        <w:rPr>
          <w:rFonts w:ascii="Courier New" w:cs="Courier New" w:eastAsia="Courier New" w:hAnsi="Courier New"/>
          <w:color w:val="C9D1D9"/>
          <w:sz w:val="18"/>
          <w:szCs w:val="18"/>
        </w:rPr>
        <w:t xml:space="preserve">    CALCULATE( [Total Units Sold], ALL( Dim_Vehicle ) ),</w:t>
      </w:r>
    </w:p>
    <w:p>
      <w:pPr>
        <w:shd w:fill="1E1E2E" w:val="clear"/>
        <w:spacing w:after="0" w:before="0"/>
        <w:ind w:left="360"/>
      </w:pPr>
      <w:r>
        <w:rPr>
          <w:rFonts w:ascii="Courier New" w:cs="Courier New" w:eastAsia="Courier New" w:hAnsi="Courier New"/>
          <w:color w:val="C9D1D9"/>
          <w:sz w:val="18"/>
          <w:szCs w:val="18"/>
        </w:rPr>
        <w:t xml:space="preserve">    0</w:t>
      </w:r>
    </w:p>
    <w:p>
      <w:pPr>
        <w:shd w:fill="1E1E2E" w:val="clear"/>
        <w:spacing w:after="0" w:before="0"/>
        <w:ind w:left="360"/>
      </w:pPr>
      <w:r>
        <w:rPr>
          <w:rFonts w:ascii="Courier New" w:cs="Courier New" w:eastAsia="Courier New" w:hAnsi="Courier New"/>
          <w:color w:val="C9D1D9"/>
          <w:sz w:val="18"/>
          <w:szCs w:val="18"/>
        </w:rPr>
        <w:t xml:space="preserve">)</w:t>
      </w:r>
    </w:p>
    <w:p>
      <w:pPr>
        <w:spacing w:after="80" w:before="80"/>
      </w:pPr>
    </w:p>
    <w:p>
      <w:pPr>
        <w:pBdr>
          <w:bottom w:val="single" w:color="0070C0" w:sz="4" w:space="1"/>
        </w:pBdr>
        <w:spacing w:after="200" w:before="200"/>
      </w:pPr>
    </w:p>
    <w:p>
      <w:pPr>
        <w:pStyle w:val="Heading1"/>
        <w:spacing w:after="120" w:before="280"/>
      </w:pPr>
      <w:r>
        <w:rPr>
          <w:rFonts w:ascii="Calibri" w:cs="Calibri" w:eastAsia="Calibri" w:hAnsi="Calibri"/>
          <w:b/>
          <w:bCs/>
          <w:color w:val="0070C0"/>
          <w:sz w:val="36"/>
          <w:szCs w:val="36"/>
        </w:rPr>
        <w:t xml:space="preserve">Phase 4 — Dashboard Design (5 Pages)</w:t>
      </w:r>
    </w:p>
    <w:p>
      <w:pPr>
        <w:spacing w:after="80" w:before="60"/>
      </w:pPr>
      <w:r>
        <w:rPr>
          <w:rFonts w:ascii="Calibri" w:cs="Calibri" w:eastAsia="Calibri" w:hAnsi="Calibri"/>
          <w:sz w:val="20"/>
          <w:szCs w:val="20"/>
        </w:rPr>
        <w:t xml:space="preserve">Below is the recommended page layout. Use View → Themes → import a custom JSON theme (set primary to #0070C0 for a professional look matching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0070C0" w:sz="1"/>
              <w:left w:val="single" w:color="0070C0" w:sz="1"/>
              <w:bottom w:val="single" w:color="0070C0" w:sz="1"/>
              <w:right w:val="single" w:color="0070C0" w:sz="1"/>
            </w:tcBorders>
            <w:shd w:fill="D6E4F0" w:val="clear"/>
            <w:tcMar>
              <w:top w:type="dxa" w:w="80"/>
              <w:left w:type="dxa" w:w="120"/>
              <w:bottom w:type="dxa" w:w="80"/>
              <w:right w:type="dxa" w:w="120"/>
            </w:tcMar>
          </w:tcPr>
          <w:p>
            <w:r>
              <w:rPr>
                <w:rFonts w:ascii="Calibri" w:cs="Calibri" w:eastAsia="Calibri" w:hAnsi="Calibri"/>
                <w:b/>
                <w:bCs/>
                <w:color w:val="0070C0"/>
                <w:sz w:val="18"/>
                <w:szCs w:val="18"/>
              </w:rPr>
              <w:t xml:space="preserve">Page</w:t>
            </w:r>
          </w:p>
        </w:tc>
        <w:tc>
          <w:tcPr>
            <w:tcW w:type="dxa" w:w="3000"/>
            <w:tcBorders>
              <w:top w:val="single" w:color="0070C0" w:sz="1"/>
              <w:left w:val="single" w:color="0070C0" w:sz="1"/>
              <w:bottom w:val="single" w:color="0070C0" w:sz="1"/>
              <w:right w:val="single" w:color="0070C0" w:sz="1"/>
            </w:tcBorders>
            <w:shd w:fill="D6E4F0" w:val="clear"/>
            <w:tcMar>
              <w:top w:type="dxa" w:w="80"/>
              <w:left w:type="dxa" w:w="120"/>
              <w:bottom w:type="dxa" w:w="80"/>
              <w:right w:type="dxa" w:w="120"/>
            </w:tcMar>
          </w:tcPr>
          <w:p>
            <w:r>
              <w:rPr>
                <w:rFonts w:ascii="Calibri" w:cs="Calibri" w:eastAsia="Calibri" w:hAnsi="Calibri"/>
                <w:b/>
                <w:bCs/>
                <w:color w:val="0070C0"/>
                <w:sz w:val="18"/>
                <w:szCs w:val="18"/>
              </w:rPr>
              <w:t xml:space="preserve">Title</w:t>
            </w:r>
          </w:p>
        </w:tc>
        <w:tc>
          <w:tcPr>
            <w:tcW w:type="dxa" w:w="4160"/>
            <w:tcBorders>
              <w:top w:val="single" w:color="0070C0" w:sz="1"/>
              <w:left w:val="single" w:color="0070C0" w:sz="1"/>
              <w:bottom w:val="single" w:color="0070C0" w:sz="1"/>
              <w:right w:val="single" w:color="0070C0" w:sz="1"/>
            </w:tcBorders>
            <w:shd w:fill="D6E4F0" w:val="clear"/>
            <w:tcMar>
              <w:top w:type="dxa" w:w="80"/>
              <w:left w:type="dxa" w:w="120"/>
              <w:bottom w:type="dxa" w:w="80"/>
              <w:right w:type="dxa" w:w="120"/>
            </w:tcMar>
          </w:tcPr>
          <w:p>
            <w:r>
              <w:rPr>
                <w:rFonts w:ascii="Calibri" w:cs="Calibri" w:eastAsia="Calibri" w:hAnsi="Calibri"/>
                <w:b/>
                <w:bCs/>
                <w:color w:val="0070C0"/>
                <w:sz w:val="18"/>
                <w:szCs w:val="18"/>
              </w:rPr>
              <w:t xml:space="preserve">Key Visuals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Page 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Executive Summary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KPI cards (Units Sold, Revenue, YoY%), donut by drivetrain, regional map</w:t>
            </w:r>
          </w:p>
        </w:tc>
      </w:tr>
      <w:tr>
        <w:tc>
          <w:tcPr>
            <w:tcW w:type="dxa" w:w="22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tcPr>
          <w:p>
            <w:r>
              <w:rPr>
                <w:rFonts w:ascii="Calibri" w:cs="Calibri" w:eastAsia="Calibri" w:hAnsi="Calibri"/>
                <w:sz w:val="18"/>
                <w:szCs w:val="18"/>
              </w:rPr>
              <w:t xml:space="preserve">Page 2</w:t>
            </w:r>
          </w:p>
        </w:tc>
        <w:tc>
          <w:tcPr>
            <w:tcW w:type="dxa" w:w="30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tcPr>
          <w:p>
            <w:r>
              <w:rPr>
                <w:rFonts w:ascii="Calibri" w:cs="Calibri" w:eastAsia="Calibri" w:hAnsi="Calibri"/>
                <w:sz w:val="18"/>
                <w:szCs w:val="18"/>
              </w:rPr>
              <w:t xml:space="preserve">Sales Trends</w:t>
            </w:r>
          </w:p>
        </w:tc>
        <w:tc>
          <w:tcPr>
            <w:tcW w:type="dxa" w:w="416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tcPr>
          <w:p>
            <w:r>
              <w:rPr>
                <w:rFonts w:ascii="Calibri" w:cs="Calibri" w:eastAsia="Calibri" w:hAnsi="Calibri"/>
                <w:sz w:val="18"/>
                <w:szCs w:val="18"/>
              </w:rPr>
              <w:t xml:space="preserve">Line chart (Monthly Units + 3M Rolling Avg), bar (YoY by Brand), area (Cumulative)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Page 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Regional Deep-Dive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Filled map by penetration tier, scatter (Charging Density vs Units), table Top 5 Regions</w:t>
            </w:r>
          </w:p>
        </w:tc>
      </w:tr>
      <w:tr>
        <w:tc>
          <w:tcPr>
            <w:tcW w:type="dxa" w:w="22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tcPr>
          <w:p>
            <w:r>
              <w:rPr>
                <w:rFonts w:ascii="Calibri" w:cs="Calibri" w:eastAsia="Calibri" w:hAnsi="Calibri"/>
                <w:sz w:val="18"/>
                <w:szCs w:val="18"/>
              </w:rPr>
              <w:t xml:space="preserve">Page 4</w:t>
            </w:r>
          </w:p>
        </w:tc>
        <w:tc>
          <w:tcPr>
            <w:tcW w:type="dxa" w:w="30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tcPr>
          <w:p>
            <w:r>
              <w:rPr>
                <w:rFonts w:ascii="Calibri" w:cs="Calibri" w:eastAsia="Calibri" w:hAnsi="Calibri"/>
                <w:sz w:val="18"/>
                <w:szCs w:val="18"/>
              </w:rPr>
              <w:t xml:space="preserve">Vehicle Intelligence</w:t>
            </w:r>
          </w:p>
        </w:tc>
        <w:tc>
          <w:tcPr>
            <w:tcW w:type="dxa" w:w="416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tcPr>
          <w:p>
            <w:r>
              <w:rPr>
                <w:rFonts w:ascii="Calibri" w:cs="Calibri" w:eastAsia="Calibri" w:hAnsi="Calibri"/>
                <w:sz w:val="18"/>
                <w:szCs w:val="18"/>
              </w:rPr>
              <w:t xml:space="preserve">Matrix (Brand × Quarter), waterfall (Revenue vs PY), slicer (Range Tier, Price Segment)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Page 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Market Forecast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18"/>
                <w:szCs w:val="18"/>
              </w:rPr>
              <w:t xml:space="preserve">Card (Forecasted Units), line (Actual vs Trend), decomposition tree (Revenue drivers)</w:t>
            </w:r>
          </w:p>
        </w:tc>
      </w:tr>
    </w:tbl>
    <w:p>
      <w:pPr>
        <w:spacing w:after="80" w:before="200"/>
      </w:pPr>
    </w:p>
    <w:p>
      <w:pPr>
        <w:pStyle w:val="Heading2"/>
        <w:spacing w:after="120" w:before="280"/>
      </w:pPr>
      <w:r>
        <w:rPr>
          <w:rFonts w:ascii="Calibri" w:cs="Calibri" w:eastAsia="Calibri" w:hAnsi="Calibri"/>
          <w:b/>
          <w:bCs/>
          <w:color w:val="0070C0"/>
          <w:sz w:val="28"/>
          <w:szCs w:val="28"/>
        </w:rPr>
        <w:t xml:space="preserve">Page 1 — Executive Summary</w:t>
      </w:r>
    </w:p>
    <w:p>
      <w:pPr>
        <w:pStyle w:val="ListParagraph"/>
        <w:numPr>
          <w:ilvl w:val="0"/>
          <w:numId w:val="2"/>
        </w:numPr>
        <w:spacing w:after="40" w:before="40"/>
      </w:pPr>
      <w:r>
        <w:rPr>
          <w:rFonts w:ascii="Calibri" w:cs="Calibri" w:eastAsia="Calibri" w:hAnsi="Calibri"/>
          <w:sz w:val="20"/>
          <w:szCs w:val="20"/>
        </w:rPr>
        <w:t xml:space="preserve">Row of 4 KPI Cards: Total Units Sold | Total Revenue | YoY Growth % | Top Selling Model</w:t>
      </w:r>
    </w:p>
    <w:p>
      <w:pPr>
        <w:pStyle w:val="ListParagraph"/>
        <w:numPr>
          <w:ilvl w:val="0"/>
          <w:numId w:val="2"/>
        </w:numPr>
        <w:spacing w:after="40" w:before="40"/>
      </w:pPr>
      <w:r>
        <w:rPr>
          <w:rFonts w:ascii="Calibri" w:cs="Calibri" w:eastAsia="Calibri" w:hAnsi="Calibri"/>
          <w:sz w:val="20"/>
          <w:szCs w:val="20"/>
        </w:rPr>
        <w:t xml:space="preserve">Donut Chart: Units by DrivetrainType (BEV vs PHEV)</w:t>
      </w:r>
    </w:p>
    <w:p>
      <w:pPr>
        <w:pStyle w:val="ListParagraph"/>
        <w:numPr>
          <w:ilvl w:val="0"/>
          <w:numId w:val="2"/>
        </w:numPr>
        <w:spacing w:after="40" w:before="40"/>
      </w:pPr>
      <w:r>
        <w:rPr>
          <w:rFonts w:ascii="Calibri" w:cs="Calibri" w:eastAsia="Calibri" w:hAnsi="Calibri"/>
          <w:sz w:val="20"/>
          <w:szCs w:val="20"/>
        </w:rPr>
        <w:t xml:space="preserve">Filled Map: ChargingPer100k by Region — colour-coded by AdoptionTier</w:t>
      </w:r>
    </w:p>
    <w:p>
      <w:pPr>
        <w:pStyle w:val="ListParagraph"/>
        <w:numPr>
          <w:ilvl w:val="0"/>
          <w:numId w:val="2"/>
        </w:numPr>
        <w:spacing w:after="40" w:before="40"/>
      </w:pPr>
      <w:r>
        <w:rPr>
          <w:rFonts w:ascii="Calibri" w:cs="Calibri" w:eastAsia="Calibri" w:hAnsi="Calibri"/>
          <w:sz w:val="20"/>
          <w:szCs w:val="20"/>
        </w:rPr>
        <w:t xml:space="preserve">Line Chart: Monthly Units with 3M Rolling Average overlay</w:t>
      </w:r>
    </w:p>
    <w:p>
      <w:pPr>
        <w:pStyle w:val="ListParagraph"/>
        <w:numPr>
          <w:ilvl w:val="0"/>
          <w:numId w:val="2"/>
        </w:numPr>
        <w:spacing w:after="40" w:before="40"/>
      </w:pPr>
      <w:r>
        <w:rPr>
          <w:rFonts w:ascii="Calibri" w:cs="Calibri" w:eastAsia="Calibri" w:hAnsi="Calibri"/>
          <w:sz w:val="20"/>
          <w:szCs w:val="20"/>
        </w:rPr>
        <w:t xml:space="preserve">Slicers: Year, Country, Brand (sync across all pages)</w:t>
      </w:r>
    </w:p>
    <w:p>
      <w:pPr>
        <w:pStyle w:val="Heading2"/>
        <w:spacing w:after="120" w:before="280"/>
      </w:pPr>
      <w:r>
        <w:rPr>
          <w:rFonts w:ascii="Calibri" w:cs="Calibri" w:eastAsia="Calibri" w:hAnsi="Calibri"/>
          <w:b/>
          <w:bCs/>
          <w:color w:val="0070C0"/>
          <w:sz w:val="28"/>
          <w:szCs w:val="28"/>
        </w:rPr>
        <w:t xml:space="preserve">Page 2 — Sales Trends</w:t>
      </w:r>
    </w:p>
    <w:p>
      <w:pPr>
        <w:pStyle w:val="ListParagraph"/>
        <w:numPr>
          <w:ilvl w:val="0"/>
          <w:numId w:val="2"/>
        </w:numPr>
        <w:spacing w:after="40" w:before="40"/>
      </w:pPr>
      <w:r>
        <w:rPr>
          <w:rFonts w:ascii="Calibri" w:cs="Calibri" w:eastAsia="Calibri" w:hAnsi="Calibri"/>
          <w:sz w:val="20"/>
          <w:szCs w:val="20"/>
        </w:rPr>
        <w:t xml:space="preserve">Clustered Bar: YoY Units by Brand (use Brand Rank measure to sort)</w:t>
      </w:r>
    </w:p>
    <w:p>
      <w:pPr>
        <w:pStyle w:val="ListParagraph"/>
        <w:numPr>
          <w:ilvl w:val="0"/>
          <w:numId w:val="2"/>
        </w:numPr>
        <w:spacing w:after="40" w:before="40"/>
      </w:pPr>
      <w:r>
        <w:rPr>
          <w:rFonts w:ascii="Calibri" w:cs="Calibri" w:eastAsia="Calibri" w:hAnsi="Calibri"/>
          <w:sz w:val="20"/>
          <w:szCs w:val="20"/>
        </w:rPr>
        <w:t xml:space="preserve">Area Chart: Cumulative Units (use Cumulative Units measure)</w:t>
      </w:r>
    </w:p>
    <w:p>
      <w:pPr>
        <w:pStyle w:val="ListParagraph"/>
        <w:numPr>
          <w:ilvl w:val="0"/>
          <w:numId w:val="2"/>
        </w:numPr>
        <w:spacing w:after="40" w:before="40"/>
      </w:pPr>
      <w:r>
        <w:rPr>
          <w:rFonts w:ascii="Calibri" w:cs="Calibri" w:eastAsia="Calibri" w:hAnsi="Calibri"/>
          <w:sz w:val="20"/>
          <w:szCs w:val="20"/>
        </w:rPr>
        <w:t xml:space="preserve">Matrix: Brand (rows) × Quarter (columns) → Units Sold, conditional formatting</w:t>
      </w:r>
    </w:p>
    <w:p>
      <w:pPr>
        <w:pStyle w:val="ListParagraph"/>
        <w:numPr>
          <w:ilvl w:val="0"/>
          <w:numId w:val="2"/>
        </w:numPr>
        <w:spacing w:after="40" w:before="40"/>
      </w:pPr>
      <w:r>
        <w:rPr>
          <w:rFonts w:ascii="Calibri" w:cs="Calibri" w:eastAsia="Calibri" w:hAnsi="Calibri"/>
          <w:sz w:val="20"/>
          <w:szCs w:val="20"/>
        </w:rPr>
        <w:t xml:space="preserve">Line + Clustered Column: Revenue vs Discount Impact per month</w:t>
      </w:r>
    </w:p>
    <w:p>
      <w:pPr>
        <w:pStyle w:val="Heading2"/>
        <w:spacing w:after="120" w:before="280"/>
      </w:pPr>
      <w:r>
        <w:rPr>
          <w:rFonts w:ascii="Calibri" w:cs="Calibri" w:eastAsia="Calibri" w:hAnsi="Calibri"/>
          <w:b/>
          <w:bCs/>
          <w:color w:val="0070C0"/>
          <w:sz w:val="28"/>
          <w:szCs w:val="28"/>
        </w:rPr>
        <w:t xml:space="preserve">Page 3 — Regional Deep-Dive</w:t>
      </w:r>
    </w:p>
    <w:p>
      <w:pPr>
        <w:pStyle w:val="ListParagraph"/>
        <w:numPr>
          <w:ilvl w:val="0"/>
          <w:numId w:val="2"/>
        </w:numPr>
        <w:spacing w:after="40" w:before="40"/>
      </w:pPr>
      <w:r>
        <w:rPr>
          <w:rFonts w:ascii="Calibri" w:cs="Calibri" w:eastAsia="Calibri" w:hAnsi="Calibri"/>
          <w:sz w:val="20"/>
          <w:szCs w:val="20"/>
        </w:rPr>
        <w:t xml:space="preserve">Filled Map: Colour = EVPenetrationRate, Tooltip = ChargingStations, Revenue</w:t>
      </w:r>
    </w:p>
    <w:p>
      <w:pPr>
        <w:pStyle w:val="ListParagraph"/>
        <w:numPr>
          <w:ilvl w:val="0"/>
          <w:numId w:val="2"/>
        </w:numPr>
        <w:spacing w:after="40" w:before="40"/>
      </w:pPr>
      <w:r>
        <w:rPr>
          <w:rFonts w:ascii="Calibri" w:cs="Calibri" w:eastAsia="Calibri" w:hAnsi="Calibri"/>
          <w:sz w:val="20"/>
          <w:szCs w:val="20"/>
        </w:rPr>
        <w:t xml:space="preserve">Scatter Chart: X = ChargingPer100k, Y = Total Units, Size = Revenue</w:t>
      </w:r>
    </w:p>
    <w:p>
      <w:pPr>
        <w:pStyle w:val="ListParagraph"/>
        <w:numPr>
          <w:ilvl w:val="0"/>
          <w:numId w:val="2"/>
        </w:numPr>
        <w:spacing w:after="40" w:before="40"/>
      </w:pPr>
      <w:r>
        <w:rPr>
          <w:rFonts w:ascii="Calibri" w:cs="Calibri" w:eastAsia="Calibri" w:hAnsi="Calibri"/>
          <w:sz w:val="20"/>
          <w:szCs w:val="20"/>
        </w:rPr>
        <w:t xml:space="preserve">Table: Top 5 Regions (use TOPN in a measure or visual filter)</w:t>
      </w:r>
    </w:p>
    <w:p>
      <w:pPr>
        <w:pStyle w:val="ListParagraph"/>
        <w:numPr>
          <w:ilvl w:val="0"/>
          <w:numId w:val="2"/>
        </w:numPr>
        <w:spacing w:after="40" w:before="40"/>
      </w:pPr>
      <w:r>
        <w:rPr>
          <w:rFonts w:ascii="Calibri" w:cs="Calibri" w:eastAsia="Calibri" w:hAnsi="Calibri"/>
          <w:sz w:val="20"/>
          <w:szCs w:val="20"/>
        </w:rPr>
        <w:t xml:space="preserve">Card: Penetration Flag measure (shows 🟢/🟡/🟠/🔴 emoji label)</w:t>
      </w:r>
    </w:p>
    <w:p>
      <w:pPr>
        <w:pStyle w:val="Heading2"/>
        <w:spacing w:after="120" w:before="280"/>
      </w:pPr>
      <w:r>
        <w:rPr>
          <w:rFonts w:ascii="Calibri" w:cs="Calibri" w:eastAsia="Calibri" w:hAnsi="Calibri"/>
          <w:b/>
          <w:bCs/>
          <w:color w:val="0070C0"/>
          <w:sz w:val="28"/>
          <w:szCs w:val="28"/>
        </w:rPr>
        <w:t xml:space="preserve">Page 4 — Vehicle Intelligence</w:t>
      </w:r>
    </w:p>
    <w:p>
      <w:pPr>
        <w:pStyle w:val="ListParagraph"/>
        <w:numPr>
          <w:ilvl w:val="0"/>
          <w:numId w:val="2"/>
        </w:numPr>
        <w:spacing w:after="40" w:before="40"/>
      </w:pPr>
      <w:r>
        <w:rPr>
          <w:rFonts w:ascii="Calibri" w:cs="Calibri" w:eastAsia="Calibri" w:hAnsi="Calibri"/>
          <w:sz w:val="20"/>
          <w:szCs w:val="20"/>
        </w:rPr>
        <w:t xml:space="preserve">Waterfall Chart: Revenue vs Revenue PY — bridges gain/loss by Brand</w:t>
      </w:r>
    </w:p>
    <w:p>
      <w:pPr>
        <w:pStyle w:val="ListParagraph"/>
        <w:numPr>
          <w:ilvl w:val="0"/>
          <w:numId w:val="2"/>
        </w:numPr>
        <w:spacing w:after="40" w:before="40"/>
      </w:pPr>
      <w:r>
        <w:rPr>
          <w:rFonts w:ascii="Calibri" w:cs="Calibri" w:eastAsia="Calibri" w:hAnsi="Calibri"/>
          <w:sz w:val="20"/>
          <w:szCs w:val="20"/>
        </w:rPr>
        <w:t xml:space="preserve">Scatter: X = BasePrice_USD, Y = Total Units, Colour = RangeTier</w:t>
      </w:r>
    </w:p>
    <w:p>
      <w:pPr>
        <w:pStyle w:val="ListParagraph"/>
        <w:numPr>
          <w:ilvl w:val="0"/>
          <w:numId w:val="2"/>
        </w:numPr>
        <w:spacing w:after="40" w:before="40"/>
      </w:pPr>
      <w:r>
        <w:rPr>
          <w:rFonts w:ascii="Calibri" w:cs="Calibri" w:eastAsia="Calibri" w:hAnsi="Calibri"/>
          <w:sz w:val="20"/>
          <w:szCs w:val="20"/>
        </w:rPr>
        <w:t xml:space="preserve">Bar Chart: Average BatteryRange_km by Brand</w:t>
      </w:r>
    </w:p>
    <w:p>
      <w:pPr>
        <w:pStyle w:val="ListParagraph"/>
        <w:numPr>
          <w:ilvl w:val="0"/>
          <w:numId w:val="2"/>
        </w:numPr>
        <w:spacing w:after="40" w:before="40"/>
      </w:pPr>
      <w:r>
        <w:rPr>
          <w:rFonts w:ascii="Calibri" w:cs="Calibri" w:eastAsia="Calibri" w:hAnsi="Calibri"/>
          <w:sz w:val="20"/>
          <w:szCs w:val="20"/>
        </w:rPr>
        <w:t xml:space="preserve">Slicers: RangeTier, PriceSegment, BodyType, DrivetrainType</w:t>
      </w:r>
    </w:p>
    <w:p>
      <w:pPr>
        <w:pStyle w:val="Heading2"/>
        <w:spacing w:after="120" w:before="280"/>
      </w:pPr>
      <w:r>
        <w:rPr>
          <w:rFonts w:ascii="Calibri" w:cs="Calibri" w:eastAsia="Calibri" w:hAnsi="Calibri"/>
          <w:b/>
          <w:bCs/>
          <w:color w:val="0070C0"/>
          <w:sz w:val="28"/>
          <w:szCs w:val="28"/>
        </w:rPr>
        <w:t xml:space="preserve">Page 5 — Market Forecast</w:t>
      </w:r>
    </w:p>
    <w:p>
      <w:pPr>
        <w:pStyle w:val="ListParagraph"/>
        <w:numPr>
          <w:ilvl w:val="0"/>
          <w:numId w:val="2"/>
        </w:numPr>
        <w:spacing w:after="40" w:before="40"/>
      </w:pPr>
      <w:r>
        <w:rPr>
          <w:rFonts w:ascii="Calibri" w:cs="Calibri" w:eastAsia="Calibri" w:hAnsi="Calibri"/>
          <w:sz w:val="20"/>
          <w:szCs w:val="20"/>
        </w:rPr>
        <w:t xml:space="preserve">KPI Card: Forecasted Units (from Forecasted Units measure)</w:t>
      </w:r>
    </w:p>
    <w:p>
      <w:pPr>
        <w:pStyle w:val="ListParagraph"/>
        <w:numPr>
          <w:ilvl w:val="0"/>
          <w:numId w:val="2"/>
        </w:numPr>
        <w:spacing w:after="40" w:before="40"/>
      </w:pPr>
      <w:r>
        <w:rPr>
          <w:rFonts w:ascii="Calibri" w:cs="Calibri" w:eastAsia="Calibri" w:hAnsi="Calibri"/>
          <w:sz w:val="20"/>
          <w:szCs w:val="20"/>
        </w:rPr>
        <w:t xml:space="preserve">Line Chart: Actual Units vs simple trend line (use Analytics pane → Trend Line)</w:t>
      </w:r>
    </w:p>
    <w:p>
      <w:pPr>
        <w:pStyle w:val="ListParagraph"/>
        <w:numPr>
          <w:ilvl w:val="0"/>
          <w:numId w:val="2"/>
        </w:numPr>
        <w:spacing w:after="40" w:before="40"/>
      </w:pPr>
      <w:r>
        <w:rPr>
          <w:rFonts w:ascii="Calibri" w:cs="Calibri" w:eastAsia="Calibri" w:hAnsi="Calibri"/>
          <w:sz w:val="20"/>
          <w:szCs w:val="20"/>
        </w:rPr>
        <w:t xml:space="preserve">Decomposition Tree: Analyse Total Revenue → Country → Brand → Model</w:t>
      </w:r>
    </w:p>
    <w:p>
      <w:pPr>
        <w:pStyle w:val="ListParagraph"/>
        <w:numPr>
          <w:ilvl w:val="0"/>
          <w:numId w:val="2"/>
        </w:numPr>
        <w:spacing w:after="40" w:before="40"/>
      </w:pPr>
      <w:r>
        <w:rPr>
          <w:rFonts w:ascii="Calibri" w:cs="Calibri" w:eastAsia="Calibri" w:hAnsi="Calibri"/>
          <w:sz w:val="20"/>
          <w:szCs w:val="20"/>
        </w:rPr>
        <w:t xml:space="preserve">Q&amp;A Visual: Let recruiters type natural-language queries during demo</w:t>
      </w:r>
    </w:p>
    <w:p>
      <w:pPr>
        <w:pBdr>
          <w:bottom w:val="single" w:color="0070C0" w:sz="4" w:space="1"/>
        </w:pBdr>
        <w:spacing w:after="200" w:before="200"/>
      </w:pPr>
    </w:p>
    <w:p>
      <w:pPr>
        <w:pStyle w:val="Heading1"/>
        <w:spacing w:after="120" w:before="280"/>
      </w:pPr>
      <w:r>
        <w:rPr>
          <w:rFonts w:ascii="Calibri" w:cs="Calibri" w:eastAsia="Calibri" w:hAnsi="Calibri"/>
          <w:b/>
          <w:bCs/>
          <w:color w:val="0070C0"/>
          <w:sz w:val="36"/>
          <w:szCs w:val="36"/>
        </w:rPr>
        <w:t xml:space="preserve">Phase 5 — Formatting &amp; Publishing Tips</w:t>
      </w:r>
    </w:p>
    <w:p>
      <w:pPr>
        <w:pStyle w:val="Heading2"/>
        <w:spacing w:after="120" w:before="280"/>
      </w:pPr>
      <w:r>
        <w:rPr>
          <w:rFonts w:ascii="Calibri" w:cs="Calibri" w:eastAsia="Calibri" w:hAnsi="Calibri"/>
          <w:b/>
          <w:bCs/>
          <w:color w:val="0070C0"/>
          <w:sz w:val="28"/>
          <w:szCs w:val="28"/>
        </w:rPr>
        <w:t xml:space="preserve">Visual Formatting Checklist</w:t>
      </w:r>
    </w:p>
    <w:p>
      <w:pPr>
        <w:pStyle w:val="ListParagraph"/>
        <w:numPr>
          <w:ilvl w:val="0"/>
          <w:numId w:val="2"/>
        </w:numPr>
        <w:spacing w:after="40" w:before="40"/>
      </w:pPr>
      <w:r>
        <w:rPr>
          <w:rFonts w:ascii="Calibri" w:cs="Calibri" w:eastAsia="Calibri" w:hAnsi="Calibri"/>
          <w:sz w:val="20"/>
          <w:szCs w:val="20"/>
        </w:rPr>
        <w:t xml:space="preserve">Set canvas background to #F8FAFE (very light blue-grey) for all pages</w:t>
      </w:r>
    </w:p>
    <w:p>
      <w:pPr>
        <w:pStyle w:val="ListParagraph"/>
        <w:numPr>
          <w:ilvl w:val="0"/>
          <w:numId w:val="2"/>
        </w:numPr>
        <w:spacing w:after="40" w:before="40"/>
      </w:pPr>
      <w:r>
        <w:rPr>
          <w:rFonts w:ascii="Calibri" w:cs="Calibri" w:eastAsia="Calibri" w:hAnsi="Calibri"/>
          <w:sz w:val="20"/>
          <w:szCs w:val="20"/>
        </w:rPr>
        <w:t xml:space="preserve">Use a title text box on every page: white card, blue left border, bold title</w:t>
      </w:r>
    </w:p>
    <w:p>
      <w:pPr>
        <w:pStyle w:val="ListParagraph"/>
        <w:numPr>
          <w:ilvl w:val="0"/>
          <w:numId w:val="2"/>
        </w:numPr>
        <w:spacing w:after="40" w:before="40"/>
      </w:pPr>
      <w:r>
        <w:rPr>
          <w:rFonts w:ascii="Calibri" w:cs="Calibri" w:eastAsia="Calibri" w:hAnsi="Calibri"/>
          <w:sz w:val="20"/>
          <w:szCs w:val="20"/>
        </w:rPr>
        <w:t xml:space="preserve">Consistent font: Segoe UI 10pt for labels, 12pt for titles</w:t>
      </w:r>
    </w:p>
    <w:p>
      <w:pPr>
        <w:pStyle w:val="ListParagraph"/>
        <w:numPr>
          <w:ilvl w:val="0"/>
          <w:numId w:val="2"/>
        </w:numPr>
        <w:spacing w:after="40" w:before="40"/>
      </w:pPr>
      <w:r>
        <w:rPr>
          <w:rFonts w:ascii="Calibri" w:cs="Calibri" w:eastAsia="Calibri" w:hAnsi="Calibri"/>
          <w:sz w:val="20"/>
          <w:szCs w:val="20"/>
        </w:rPr>
        <w:t xml:space="preserve">Disable gridlines on all charts (Format → Y-Axis → Gridlines → Off)</w:t>
      </w:r>
    </w:p>
    <w:p>
      <w:pPr>
        <w:pStyle w:val="ListParagraph"/>
        <w:numPr>
          <w:ilvl w:val="0"/>
          <w:numId w:val="2"/>
        </w:numPr>
        <w:spacing w:after="40" w:before="40"/>
      </w:pPr>
      <w:r>
        <w:rPr>
          <w:rFonts w:ascii="Calibri" w:cs="Calibri" w:eastAsia="Calibri" w:hAnsi="Calibri"/>
          <w:sz w:val="20"/>
          <w:szCs w:val="20"/>
        </w:rPr>
        <w:t xml:space="preserve">Add report-level slicers to a separate Slicer panel page and sync with all visuals</w:t>
      </w:r>
    </w:p>
    <w:p>
      <w:pPr>
        <w:pStyle w:val="ListParagraph"/>
        <w:numPr>
          <w:ilvl w:val="0"/>
          <w:numId w:val="2"/>
        </w:numPr>
        <w:spacing w:after="40" w:before="40"/>
      </w:pPr>
      <w:r>
        <w:rPr>
          <w:rFonts w:ascii="Calibri" w:cs="Calibri" w:eastAsia="Calibri" w:hAnsi="Calibri"/>
          <w:sz w:val="20"/>
          <w:szCs w:val="20"/>
        </w:rPr>
        <w:t xml:space="preserve">Use Bookmarks for a 'Reset All Slicers' button</w:t>
      </w:r>
    </w:p>
    <w:p>
      <w:pPr>
        <w:pStyle w:val="Heading2"/>
        <w:spacing w:after="120" w:before="280"/>
      </w:pPr>
      <w:r>
        <w:rPr>
          <w:rFonts w:ascii="Calibri" w:cs="Calibri" w:eastAsia="Calibri" w:hAnsi="Calibri"/>
          <w:b/>
          <w:bCs/>
          <w:color w:val="0070C0"/>
          <w:sz w:val="28"/>
          <w:szCs w:val="28"/>
        </w:rPr>
        <w:t xml:space="preserve">Publishing to Power BI Service</w:t>
      </w:r>
    </w:p>
    <w:p>
      <w:pPr>
        <w:pStyle w:val="ListParagraph"/>
        <w:numPr>
          <w:ilvl w:val="0"/>
          <w:numId w:val="2"/>
        </w:numPr>
        <w:spacing w:after="40" w:before="40"/>
      </w:pPr>
      <w:r>
        <w:rPr>
          <w:rFonts w:ascii="Calibri" w:cs="Calibri" w:eastAsia="Calibri" w:hAnsi="Calibri"/>
          <w:sz w:val="20"/>
          <w:szCs w:val="20"/>
        </w:rPr>
        <w:t xml:space="preserve">File → Publish → Select your workspace</w:t>
      </w:r>
    </w:p>
    <w:p>
      <w:pPr>
        <w:pStyle w:val="ListParagraph"/>
        <w:numPr>
          <w:ilvl w:val="0"/>
          <w:numId w:val="2"/>
        </w:numPr>
        <w:spacing w:after="40" w:before="40"/>
      </w:pPr>
      <w:r>
        <w:rPr>
          <w:rFonts w:ascii="Calibri" w:cs="Calibri" w:eastAsia="Calibri" w:hAnsi="Calibri"/>
          <w:sz w:val="20"/>
          <w:szCs w:val="20"/>
        </w:rPr>
        <w:t xml:space="preserve">In the Service: Schedule refresh (Dataset Settings → Scheduled Refresh)</w:t>
      </w:r>
    </w:p>
    <w:p>
      <w:pPr>
        <w:pStyle w:val="ListParagraph"/>
        <w:numPr>
          <w:ilvl w:val="0"/>
          <w:numId w:val="2"/>
        </w:numPr>
        <w:spacing w:after="40" w:before="40"/>
      </w:pPr>
      <w:r>
        <w:rPr>
          <w:rFonts w:ascii="Calibri" w:cs="Calibri" w:eastAsia="Calibri" w:hAnsi="Calibri"/>
          <w:sz w:val="20"/>
          <w:szCs w:val="20"/>
        </w:rPr>
        <w:t xml:space="preserve">Create a Dashboard by pinning key visuals from each report page</w:t>
      </w:r>
    </w:p>
    <w:p>
      <w:pPr>
        <w:pStyle w:val="ListParagraph"/>
        <w:numPr>
          <w:ilvl w:val="0"/>
          <w:numId w:val="2"/>
        </w:numPr>
        <w:spacing w:after="40" w:before="40"/>
      </w:pPr>
      <w:r>
        <w:rPr>
          <w:rFonts w:ascii="Calibri" w:cs="Calibri" w:eastAsia="Calibri" w:hAnsi="Calibri"/>
          <w:sz w:val="20"/>
          <w:szCs w:val="20"/>
        </w:rPr>
        <w:t xml:space="preserve">Share via workspace link or embed in a Teams tab for recruiter walkthroughs</w:t>
      </w:r>
    </w:p>
    <w:p>
      <w:pPr>
        <w:pStyle w:val="ListParagraph"/>
        <w:numPr>
          <w:ilvl w:val="0"/>
          <w:numId w:val="2"/>
        </w:numPr>
        <w:spacing w:after="40" w:before="40"/>
      </w:pPr>
      <w:r>
        <w:rPr>
          <w:rFonts w:ascii="Calibri" w:cs="Calibri" w:eastAsia="Calibri" w:hAnsi="Calibri"/>
          <w:sz w:val="20"/>
          <w:szCs w:val="20"/>
        </w:rPr>
        <w:t xml:space="preserve">Add row-level security (RLS): Modeling → Manage Roles → filter Dim_Region by Country</w:t>
      </w:r>
    </w:p>
    <w:p>
      <w:pPr>
        <w:pStyle w:val="Heading2"/>
        <w:spacing w:after="120" w:before="280"/>
      </w:pPr>
      <w:r>
        <w:rPr>
          <w:rFonts w:ascii="Calibri" w:cs="Calibri" w:eastAsia="Calibri" w:hAnsi="Calibri"/>
          <w:b/>
          <w:bCs/>
          <w:color w:val="0070C0"/>
          <w:sz w:val="28"/>
          <w:szCs w:val="28"/>
        </w:rPr>
        <w:t xml:space="preserve">Interview Talking Points</w:t>
      </w:r>
    </w:p>
    <w:p>
      <w:pPr>
        <w:pStyle w:val="ListParagraph"/>
        <w:numPr>
          <w:ilvl w:val="0"/>
          <w:numId w:val="2"/>
        </w:numPr>
        <w:spacing w:after="40" w:before="40"/>
      </w:pPr>
      <w:r>
        <w:rPr>
          <w:rFonts w:ascii="Calibri" w:cs="Calibri" w:eastAsia="Calibri" w:hAnsi="Calibri"/>
          <w:sz w:val="20"/>
          <w:szCs w:val="20"/>
        </w:rPr>
        <w:t xml:space="preserve">'I used a Star Schema to ensure query performance and scalability — the fact table has 21,600 rows with a 4-year history across 15 regions and 30 vehicle models.'</w:t>
      </w:r>
    </w:p>
    <w:p>
      <w:pPr>
        <w:pStyle w:val="ListParagraph"/>
        <w:numPr>
          <w:ilvl w:val="0"/>
          <w:numId w:val="2"/>
        </w:numPr>
        <w:spacing w:after="40" w:before="40"/>
      </w:pPr>
      <w:r>
        <w:rPr>
          <w:rFonts w:ascii="Calibri" w:cs="Calibri" w:eastAsia="Calibri" w:hAnsi="Calibri"/>
          <w:sz w:val="20"/>
          <w:szCs w:val="20"/>
        </w:rPr>
        <w:t xml:space="preserve">'Null imputation uses the running column average in M-code, not a hardcoded zero — this preserves statistical validity in rolling calculations.'</w:t>
      </w:r>
    </w:p>
    <w:p>
      <w:pPr>
        <w:pStyle w:val="ListParagraph"/>
        <w:numPr>
          <w:ilvl w:val="0"/>
          <w:numId w:val="2"/>
        </w:numPr>
        <w:spacing w:after="40" w:before="40"/>
      </w:pPr>
      <w:r>
        <w:rPr>
          <w:rFonts w:ascii="Calibri" w:cs="Calibri" w:eastAsia="Calibri" w:hAnsi="Calibri"/>
          <w:sz w:val="20"/>
          <w:szCs w:val="20"/>
        </w:rPr>
        <w:t xml:space="preserve">'YoY Growth uses SAMEPERIODLASTYEAR wrapped in a VAR block for readability and avoids double-evaluation.'</w:t>
      </w:r>
    </w:p>
    <w:p>
      <w:pPr>
        <w:pStyle w:val="ListParagraph"/>
        <w:numPr>
          <w:ilvl w:val="0"/>
          <w:numId w:val="2"/>
        </w:numPr>
        <w:spacing w:after="40" w:before="40"/>
      </w:pPr>
      <w:r>
        <w:rPr>
          <w:rFonts w:ascii="Calibri" w:cs="Calibri" w:eastAsia="Calibri" w:hAnsi="Calibri"/>
          <w:sz w:val="20"/>
          <w:szCs w:val="20"/>
        </w:rPr>
        <w:t xml:space="preserve">'The Market Share measure uses ALL() to remove dimension filters while keeping date/region context — this is a pattern I apply consistently for relative metrics.'</w:t>
      </w:r>
    </w:p>
    <w:p>
      <w:pPr>
        <w:pStyle w:val="ListParagraph"/>
        <w:numPr>
          <w:ilvl w:val="0"/>
          <w:numId w:val="2"/>
        </w:numPr>
        <w:spacing w:after="40" w:before="40"/>
      </w:pPr>
      <w:r>
        <w:rPr>
          <w:rFonts w:ascii="Calibri" w:cs="Calibri" w:eastAsia="Calibri" w:hAnsi="Calibri"/>
          <w:sz w:val="20"/>
          <w:szCs w:val="20"/>
        </w:rPr>
        <w:t xml:space="preserve">'Pages are designed mobile-first with the Phone Layout view so stakeholders can check KPIs on the go.'</w:t>
      </w:r>
    </w:p>
    <w:p>
      <w:pPr>
        <w:pBdr>
          <w:bottom w:val="single" w:color="0070C0" w:sz="4" w:space="1"/>
        </w:pBdr>
        <w:spacing w:after="200" w:before="200"/>
      </w:pPr>
    </w:p>
    <w:p>
      <w:pPr>
        <w:pStyle w:val="Heading1"/>
        <w:spacing w:after="120" w:before="280"/>
      </w:pPr>
      <w:r>
        <w:rPr>
          <w:rFonts w:ascii="Calibri" w:cs="Calibri" w:eastAsia="Calibri" w:hAnsi="Calibri"/>
          <w:b/>
          <w:bCs/>
          <w:color w:val="0070C0"/>
          <w:sz w:val="36"/>
          <w:szCs w:val="36"/>
        </w:rPr>
        <w:t xml:space="preserve">Project File Checklist</w:t>
      </w:r>
    </w:p>
    <w:p>
      <w:pPr>
        <w:pStyle w:val="ListParagraph"/>
        <w:numPr>
          <w:ilvl w:val="0"/>
          <w:numId w:val="2"/>
        </w:numPr>
        <w:spacing w:after="40" w:before="40"/>
      </w:pPr>
      <w:r>
        <w:rPr>
          <w:rFonts w:ascii="Calibri" w:cs="Calibri" w:eastAsia="Calibri" w:hAnsi="Calibri"/>
          <w:sz w:val="20"/>
          <w:szCs w:val="20"/>
        </w:rPr>
        <w:t xml:space="preserve">✅ Fact_EVSales.csv — 21,600 rows, 4 years, 15 regions, 30 models</w:t>
      </w:r>
    </w:p>
    <w:p>
      <w:pPr>
        <w:pStyle w:val="ListParagraph"/>
        <w:numPr>
          <w:ilvl w:val="0"/>
          <w:numId w:val="2"/>
        </w:numPr>
        <w:spacing w:after="40" w:before="40"/>
      </w:pPr>
      <w:r>
        <w:rPr>
          <w:rFonts w:ascii="Calibri" w:cs="Calibri" w:eastAsia="Calibri" w:hAnsi="Calibri"/>
          <w:sz w:val="20"/>
          <w:szCs w:val="20"/>
        </w:rPr>
        <w:t xml:space="preserve">✅ Dim_Date.csv — 1,461 rows with fiscal calendar attributes</w:t>
      </w:r>
    </w:p>
    <w:p>
      <w:pPr>
        <w:pStyle w:val="ListParagraph"/>
        <w:numPr>
          <w:ilvl w:val="0"/>
          <w:numId w:val="2"/>
        </w:numPr>
        <w:spacing w:after="40" w:before="40"/>
      </w:pPr>
      <w:r>
        <w:rPr>
          <w:rFonts w:ascii="Calibri" w:cs="Calibri" w:eastAsia="Calibri" w:hAnsi="Calibri"/>
          <w:sz w:val="20"/>
          <w:szCs w:val="20"/>
        </w:rPr>
        <w:t xml:space="preserve">✅ Dim_Region.csv — 15 regions across 8 countries with EV metrics</w:t>
      </w:r>
    </w:p>
    <w:p>
      <w:pPr>
        <w:pStyle w:val="ListParagraph"/>
        <w:numPr>
          <w:ilvl w:val="0"/>
          <w:numId w:val="2"/>
        </w:numPr>
        <w:spacing w:after="40" w:before="40"/>
      </w:pPr>
      <w:r>
        <w:rPr>
          <w:rFonts w:ascii="Calibri" w:cs="Calibri" w:eastAsia="Calibri" w:hAnsi="Calibri"/>
          <w:sz w:val="20"/>
          <w:szCs w:val="20"/>
        </w:rPr>
        <w:t xml:space="preserve">✅ Dim_Vehicle.csv — 30 models across 16 brands with range/price tiers</w:t>
      </w:r>
    </w:p>
    <w:p>
      <w:pPr>
        <w:pStyle w:val="ListParagraph"/>
        <w:numPr>
          <w:ilvl w:val="0"/>
          <w:numId w:val="2"/>
        </w:numPr>
        <w:spacing w:after="40" w:before="40"/>
      </w:pPr>
      <w:r>
        <w:rPr>
          <w:rFonts w:ascii="Calibri" w:cs="Calibri" w:eastAsia="Calibri" w:hAnsi="Calibri"/>
          <w:sz w:val="20"/>
          <w:szCs w:val="20"/>
        </w:rPr>
        <w:t xml:space="preserve">✅ DAX_Measures.txt — 20 production-ready DAX measures</w:t>
      </w:r>
    </w:p>
    <w:p>
      <w:pPr>
        <w:pStyle w:val="ListParagraph"/>
        <w:numPr>
          <w:ilvl w:val="0"/>
          <w:numId w:val="2"/>
        </w:numPr>
        <w:spacing w:after="40" w:before="40"/>
      </w:pPr>
      <w:r>
        <w:rPr>
          <w:rFonts w:ascii="Calibri" w:cs="Calibri" w:eastAsia="Calibri" w:hAnsi="Calibri"/>
          <w:sz w:val="20"/>
          <w:szCs w:val="20"/>
        </w:rPr>
        <w:t xml:space="preserve">✅ PowerQuery_MCode.txt — Full M-code for all 4 tables</w:t>
      </w:r>
    </w:p>
    <w:p>
      <w:pPr>
        <w:pStyle w:val="ListParagraph"/>
        <w:numPr>
          <w:ilvl w:val="0"/>
          <w:numId w:val="2"/>
        </w:numPr>
        <w:spacing w:after="40" w:before="40"/>
      </w:pPr>
      <w:r>
        <w:rPr>
          <w:rFonts w:ascii="Calibri" w:cs="Calibri" w:eastAsia="Calibri" w:hAnsi="Calibri"/>
          <w:sz w:val="20"/>
          <w:szCs w:val="20"/>
        </w:rPr>
        <w:t xml:space="preserve">✅ EV_Analytics_Guide.docx — This document</w:t>
      </w:r>
    </w:p>
    <w:p>
      <w:pPr>
        <w:spacing w:after="40" w:before="120"/>
      </w:pPr>
    </w:p>
    <w:p>
      <w:pPr>
        <w:spacing w:after="80" w:before="60"/>
      </w:pPr>
      <w:r>
        <w:rPr>
          <w:rFonts w:ascii="Calibri" w:cs="Calibri" w:eastAsia="Calibri" w:hAnsi="Calibri"/>
          <w:color w:val="555555"/>
          <w:sz w:val="20"/>
          <w:szCs w:val="20"/>
        </w:rPr>
        <w:t xml:space="preserve">Next step: Open Power BI Desktop → Get Data → Text/CSV → load each CSV → Transform Data → paste M-code → Close &amp; Apply → build your model → paste DAX measures → design your pages.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070C0"/>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0070C0"/>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2026-04-12T17:00:35.806Z</dcterms:created>
  <dcterms:modified xsi:type="dcterms:W3CDTF">2026-04-12T17:00:35.806Z</dcterms:modified>
</cp:coreProperties>
</file>

<file path=docProps/custom.xml><?xml version="1.0" encoding="utf-8"?>
<Properties xmlns="http://schemas.openxmlformats.org/officeDocument/2006/custom-properties" xmlns:vt="http://schemas.openxmlformats.org/officeDocument/2006/docPropsVTypes"/>
</file>