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BA2B2CC" w:rsidR="00DD77DC" w:rsidRDefault="00DD77DC" w:rsidP="00DD77DC">
      <w:pPr>
        <w:pStyle w:val="NewNormal"/>
        <w:ind w:firstLine="0"/>
      </w:pPr>
      <w:r>
        <w:rPr>
          <w:rFonts w:cs="Times New Roman"/>
        </w:rPr>
        <w:t>Energy plays an important role in our lives, almost every industry depend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(Dufková, Bjelica, Moon, Kencl, &amp; Le Boudec, n.d.)</w:t>
      </w:r>
      <w:r>
        <w:rPr>
          <w:rFonts w:cs="Times New Roman"/>
        </w:rPr>
        <w:fldChar w:fldCharType="end"/>
      </w:r>
      <w:r>
        <w:rPr>
          <w:rFonts w:cs="Times New Roman"/>
        </w:rPr>
        <w:t xml:space="preserve">. With increased need for broadband speed the demand for energy and densification of networks is likely to increase. </w:t>
      </w:r>
      <w:r>
        <w:t>High energy efficiency is becoming a mainstream concern for the design of future wireless communications.</w:t>
      </w:r>
    </w:p>
    <w:p w14:paraId="1BB1F43C" w14:textId="77777777" w:rsidR="009666EE" w:rsidRDefault="009666EE" w:rsidP="00DD77DC">
      <w:pPr>
        <w:pStyle w:val="NewNormal"/>
        <w:ind w:firstLine="0"/>
        <w:rPr>
          <w:rFonts w:cs="Times New Roman"/>
        </w:rPr>
      </w:pP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D72E762" w14:textId="5BD231B3" w:rsidR="00B525ED" w:rsidRDefault="00B525ED" w:rsidP="00B525ED">
      <w:pPr>
        <w:pStyle w:val="NewNormal"/>
        <w:ind w:firstLine="0"/>
        <w:rPr>
          <w:rFonts w:cs="Times New Roman"/>
        </w:rPr>
      </w:pPr>
      <w:r>
        <w:rPr>
          <w:rFonts w:cs="Times New Roman"/>
        </w:rPr>
        <w:t>The global mobile data traffic grew by 63 percent in 2016.</w:t>
      </w:r>
      <w:r>
        <w:rPr>
          <w:rFonts w:cs="Times New Roman"/>
        </w:rPr>
        <w:fldChar w:fldCharType="begin" w:fldLock="1"/>
      </w:r>
      <w:r w:rsidR="009666EE">
        <w:rPr>
          <w:rFonts w:cs="Times New Roman"/>
        </w:rPr>
        <w:instrText>ADDIN CSL_CITATION { "citationItems" : [ { "id" : "ITEM-1", "itemData" : { "abstract" : "This forecast is part of the Cisco\u00ae Visual Networking Index\u2122 (Cisco VNI\u2122), an ongoing initiative to track and forecast the impact of visual networking applications. This document presents the details of the Cisco VNI global IP traffic forecast and the methodology behind it. For a more analytical look at the implications of the data presented in this paper, refer to the companion document The Zettabyte Era\u2014Trends and Analysis or the VNI Forecast Highlights tool. Annual global IP traffic will surpass the zettabyte (ZB; 1000 exabytes [EB]) threshold in 2016, and will reach 2.3 ZB by 2020. Global IP traffic will reach 1.1 ZB per year or 88.7 EB (one billion gigabytes [GB]) per month in 2016. By 2020, global IP traffic will reach 2.3 ZB per year, or 194 EB per month. Global IP traffic will increase nearly threefold over the next 5 years, and will have increased nearly a hundredfold from 2005 to 2020. Overall, IP traffic will grow at a compound annual growth rate (CAGR) of 22 percent from 2015 to 2020.", "container-title" : "Forecast and Methodology", "id" : "ITEM-1", "issued" : { "date-parts" : [ [ "2015" ] ] }, "page" : "2015-2020", "title" : "Cisco Visual Networking Index: Forecast and Methodology Cisco Visual Networking Index: Cisco Visual Networking Index: Forecast and Methodology", "type" : "article-journal" }, "uris" : [ "http://www.mendeley.com/documents/?uuid=40b19416-4945-35b4-a783-36694b6fa29f" ] } ], "mendeley" : { "formattedCitation" : "(\u201cCisco Visual Networking Index: Forecast and Methodology Cisco Visual Networking Index: Cisco Visual Networking Index: Forecast and Methodology,\u201d 2015)", "plainTextFormattedCitation" : "(\u201cCisco Visual Networking Index: Forecast and Methodology Cisco Visual Networking Index: Cisco Visual Networking Index: Forecast and Methodology,\u201d 2015)", "previouslyFormattedCitation" : "(\u201cCisco Visual Networking Index: Forecast and Methodology Cisco Visual Networking Index: Cisco Visual Networking Index: Forecast and Methodology,\u201d 2015)" }, "properties" : { "noteIndex" : 0 }, "schema" : "https://github.com/citation-style-language/schema/raw/master/csl-citation.json" }</w:instrText>
      </w:r>
      <w:r>
        <w:rPr>
          <w:rFonts w:cs="Times New Roman"/>
        </w:rPr>
        <w:fldChar w:fldCharType="separate"/>
      </w:r>
      <w:r w:rsidRPr="00B525ED">
        <w:rPr>
          <w:rFonts w:cs="Times New Roman"/>
          <w:noProof/>
        </w:rPr>
        <w:t>(“Cisco Visual Networking Index: Forecast and Methodology Cisco Visual Networking Index: Cisco Visual Networking Index: Forecast and Methodology,” 2015)</w:t>
      </w:r>
      <w:r>
        <w:rPr>
          <w:rFonts w:cs="Times New Roman"/>
        </w:rPr>
        <w:fldChar w:fldCharType="end"/>
      </w:r>
      <w:r>
        <w:rPr>
          <w:rFonts w:cs="Times New Roman"/>
        </w:rPr>
        <w:t xml:space="preserve"> it stood at 7.2 billion giga bytes per month during the ending of 2016.  And by 2021 it will be 49 billion giga bytes.</w:t>
      </w:r>
    </w:p>
    <w:p w14:paraId="7DB71441" w14:textId="0DA3EEBF" w:rsidR="00B525ED" w:rsidRDefault="00B525ED" w:rsidP="00B525ED">
      <w:pPr>
        <w:pStyle w:val="NewNormal"/>
        <w:ind w:firstLine="0"/>
        <w:rPr>
          <w:rFonts w:cs="Times New Roman"/>
        </w:rPr>
      </w:pPr>
      <w:r>
        <w:rPr>
          <w:rFonts w:cs="Times New Roman"/>
        </w:rPr>
        <w:t>Almost half a billion new mobile devices were added in 2016 and according to the Ericsson’s forecast there will be 50 billion connected devices by 2020.</w:t>
      </w:r>
    </w:p>
    <w:p w14:paraId="335A5924" w14:textId="405AFD60" w:rsidR="00DD77DC" w:rsidRDefault="00DD77DC" w:rsidP="00DD77DC">
      <w:pPr>
        <w:pStyle w:val="NewNormal"/>
        <w:ind w:firstLine="717"/>
        <w:rPr>
          <w:rFonts w:cs="Times New Roman"/>
        </w:rPr>
      </w:pPr>
      <w:r w:rsidRPr="00DD77DC">
        <w:rPr>
          <w:rFonts w:cs="Times New Roman"/>
        </w:rP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(Fehske,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node[17].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6C81CBC1"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1874E4">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base stations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0B3F7AB8" w14:textId="77777777" w:rsidR="00D06215" w:rsidRPr="004431B3" w:rsidRDefault="00D06215" w:rsidP="00D06215">
      <w:pPr>
        <w:pStyle w:val="NewNormal"/>
        <w:rPr>
          <w:rFonts w:cs="Times New Roman"/>
        </w:rPr>
      </w:pPr>
    </w:p>
    <w:p w14:paraId="2109DEED" w14:textId="27EE95B6" w:rsidR="00957FDF" w:rsidRDefault="00957FDF" w:rsidP="00957FDF">
      <w:pPr>
        <w:pStyle w:val="NewNormal"/>
        <w:numPr>
          <w:ilvl w:val="1"/>
          <w:numId w:val="26"/>
        </w:numPr>
        <w:rPr>
          <w:rFonts w:cs="Times New Roman"/>
        </w:rPr>
      </w:pPr>
      <w:r>
        <w:rPr>
          <w:rFonts w:cs="Times New Roman"/>
        </w:rPr>
        <w:t>Previous Work</w:t>
      </w:r>
      <w:r w:rsidR="00336D0A">
        <w:rPr>
          <w:rFonts w:cs="Times New Roman"/>
        </w:rPr>
        <w:t xml:space="preserve"> </w:t>
      </w:r>
    </w:p>
    <w:p w14:paraId="0EFCBD49" w14:textId="00A2D556" w:rsidR="00336D0A" w:rsidRDefault="00336D0A" w:rsidP="00336D0A">
      <w:pPr>
        <w:pStyle w:val="NewNormal"/>
        <w:ind w:firstLine="0"/>
        <w:rPr>
          <w:rFonts w:ascii="LMRoman10-Regular" w:hAnsi="LMRoman10-Regular" w:cs="LMRoman10-Regular"/>
          <w:sz w:val="20"/>
          <w:szCs w:val="20"/>
        </w:rPr>
      </w:pPr>
      <w:r>
        <w:rPr>
          <w:rFonts w:cs="Times New Roman"/>
        </w:rPr>
        <w:t xml:space="preserve">There has been studies related to improvement of the base stations energy consumption, and in 2010-2012 a study was conducted under </w:t>
      </w:r>
      <w:r w:rsidRPr="001C66C5">
        <w:rPr>
          <w:rFonts w:ascii="LMRoman10-Regular" w:hAnsi="LMRoman10-Regular" w:cs="LMRoman10-Regular"/>
          <w:sz w:val="20"/>
          <w:szCs w:val="20"/>
        </w:rPr>
        <w:t>Energy Aware Radio and netWork tecHnologies (EARTH) project</w:t>
      </w:r>
      <w:r>
        <w:rPr>
          <w:rFonts w:ascii="LMRoman10-Regular" w:hAnsi="LMRoman10-Regular" w:cs="LMRoman10-Regular"/>
          <w:sz w:val="20"/>
          <w:szCs w:val="20"/>
        </w:rPr>
        <w:t xml:space="preserve"> in which researchers from around the world tri</w:t>
      </w:r>
      <w:r w:rsidR="0002260F">
        <w:rPr>
          <w:rFonts w:ascii="LMRoman10-Regular" w:hAnsi="LMRoman10-Regular" w:cs="LMRoman10-Regular"/>
          <w:sz w:val="20"/>
          <w:szCs w:val="20"/>
        </w:rPr>
        <w:t>ed to achieve some deliverables</w:t>
      </w:r>
      <w:r w:rsidR="0002260F">
        <w:rPr>
          <w:rFonts w:ascii="LMRoman10-Regular" w:hAnsi="LMRoman10-Regular" w:cs="LMRoman10-Regular"/>
          <w:sz w:val="20"/>
          <w:szCs w:val="20"/>
        </w:rPr>
        <w:fldChar w:fldCharType="begin" w:fldLock="1"/>
      </w:r>
      <w:r w:rsidR="0004692E">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sidR="0002260F">
        <w:rPr>
          <w:rFonts w:ascii="LMRoman10-Regular" w:hAnsi="LMRoman10-Regular" w:cs="LMRoman10-Regular"/>
          <w:sz w:val="20"/>
          <w:szCs w:val="20"/>
        </w:rPr>
        <w:fldChar w:fldCharType="separate"/>
      </w:r>
      <w:r w:rsidR="0002260F" w:rsidRPr="0002260F">
        <w:rPr>
          <w:rFonts w:ascii="LMRoman10-Regular" w:hAnsi="LMRoman10-Regular" w:cs="LMRoman10-Regular"/>
          <w:noProof/>
          <w:sz w:val="20"/>
          <w:szCs w:val="20"/>
        </w:rPr>
        <w:t>(Domenico &amp; Petersson, 2012)</w:t>
      </w:r>
      <w:r w:rsidR="0002260F">
        <w:rPr>
          <w:rFonts w:ascii="LMRoman10-Regular" w:hAnsi="LMRoman10-Regular" w:cs="LMRoman10-Regular"/>
          <w:sz w:val="20"/>
          <w:szCs w:val="20"/>
        </w:rPr>
        <w:fldChar w:fldCharType="end"/>
      </w:r>
      <w:r w:rsidR="0002260F">
        <w:rPr>
          <w:rFonts w:ascii="LMRoman10-Regular" w:hAnsi="LMRoman10-Regular" w:cs="LMRoman10-Regular"/>
          <w:sz w:val="20"/>
          <w:szCs w:val="20"/>
        </w:rPr>
        <w:t xml:space="preserve"> which proved to be a standardized </w:t>
      </w:r>
      <w:r w:rsidR="0004692E">
        <w:rPr>
          <w:rFonts w:ascii="LMRoman10-Regular" w:hAnsi="LMRoman10-Regular" w:cs="LMRoman10-Regular"/>
          <w:sz w:val="20"/>
          <w:szCs w:val="20"/>
        </w:rPr>
        <w:t>principles for working on energy efficiency concept for base stations.</w:t>
      </w:r>
    </w:p>
    <w:p w14:paraId="73E63186" w14:textId="51B4EC16" w:rsidR="0004692E" w:rsidRDefault="0004692E" w:rsidP="00336D0A">
      <w:pPr>
        <w:pStyle w:val="NewNormal"/>
        <w:ind w:firstLine="0"/>
        <w:rPr>
          <w:rFonts w:cs="Times New Roman"/>
        </w:rPr>
      </w:pPr>
      <w:r>
        <w:rPr>
          <w:rFonts w:ascii="LMRoman10-Regular" w:hAnsi="LMRoman10-Regular" w:cs="LMRoman10-Regular"/>
          <w:sz w:val="20"/>
          <w:szCs w:val="20"/>
        </w:rPr>
        <w:t>In the the executive summary of their final deliverable they state that:</w:t>
      </w:r>
      <w:r w:rsidRPr="0004692E">
        <w:t xml:space="preserve"> </w:t>
      </w:r>
      <w:r>
        <w:t>“</w:t>
      </w:r>
      <w:r w:rsidRPr="0004692E">
        <w:rPr>
          <w:rFonts w:ascii="LMRoman10-Regular" w:hAnsi="LMRoman10-Regular" w:cs="LMRoman10-Regular"/>
          <w:sz w:val="20"/>
          <w:szCs w:val="20"/>
        </w:rPr>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r>
        <w:rPr>
          <w:rFonts w:ascii="LMRoman10-Regular" w:hAnsi="LMRoman10-Regular" w:cs="LMRoman10-Regular"/>
          <w:sz w:val="20"/>
          <w:szCs w:val="20"/>
        </w:rPr>
        <w:t>”</w:t>
      </w:r>
      <w:r>
        <w:rPr>
          <w:rFonts w:ascii="LMRoman10-Regular" w:hAnsi="LMRoman10-Regular" w:cs="LMRoman10-Regular"/>
          <w:sz w:val="20"/>
          <w:szCs w:val="20"/>
        </w:rPr>
        <w:fldChar w:fldCharType="begin" w:fldLock="1"/>
      </w:r>
      <w:r w:rsidR="00A30A86">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Pr>
          <w:rFonts w:ascii="LMRoman10-Regular" w:hAnsi="LMRoman10-Regular" w:cs="LMRoman10-Regular"/>
          <w:sz w:val="20"/>
          <w:szCs w:val="20"/>
        </w:rPr>
        <w:fldChar w:fldCharType="separate"/>
      </w:r>
      <w:r w:rsidRPr="0004692E">
        <w:rPr>
          <w:rFonts w:ascii="LMRoman10-Regular" w:hAnsi="LMRoman10-Regular" w:cs="LMRoman10-Regular"/>
          <w:noProof/>
          <w:sz w:val="20"/>
          <w:szCs w:val="20"/>
        </w:rPr>
        <w:t>(Domenico &amp; Petersson, 2012)</w:t>
      </w:r>
      <w:r>
        <w:rPr>
          <w:rFonts w:ascii="LMRoman10-Regular" w:hAnsi="LMRoman10-Regular" w:cs="LMRoman10-Regular"/>
          <w:sz w:val="20"/>
          <w:szCs w:val="20"/>
        </w:rPr>
        <w:fldChar w:fldCharType="end"/>
      </w:r>
    </w:p>
    <w:p w14:paraId="0F0704AE" w14:textId="27874368" w:rsidR="0004692E" w:rsidRDefault="0004692E"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EARTH project gave the mathematical power model for calculating the energy comsumption in the base stations for various different scenarios of rural, sub-urban and urban, the linear power model is used in generic simulations.  It also gives the internal breakdown of energy consumed </w:t>
      </w:r>
      <w:r w:rsidR="00A30A86">
        <w:rPr>
          <w:rFonts w:ascii="LMRoman10-Regular" w:hAnsi="LMRoman10-Regular" w:cs="LMRoman10-Regular"/>
          <w:sz w:val="20"/>
          <w:szCs w:val="20"/>
        </w:rPr>
        <w:t>with</w:t>
      </w:r>
      <w:r>
        <w:rPr>
          <w:rFonts w:ascii="LMRoman10-Regular" w:hAnsi="LMRoman10-Regular" w:cs="LMRoman10-Regular"/>
          <w:sz w:val="20"/>
          <w:szCs w:val="20"/>
        </w:rPr>
        <w:t>in d</w:t>
      </w:r>
      <w:r w:rsidR="00A30A86">
        <w:rPr>
          <w:rFonts w:ascii="LMRoman10-Regular" w:hAnsi="LMRoman10-Regular" w:cs="LMRoman10-Regular"/>
          <w:sz w:val="20"/>
          <w:szCs w:val="20"/>
        </w:rPr>
        <w:t>ifferent sizes of nodes such as macro</w:t>
      </w:r>
      <w:r>
        <w:rPr>
          <w:rFonts w:ascii="LMRoman10-Regular" w:hAnsi="LMRoman10-Regular" w:cs="LMRoman10-Regular"/>
          <w:sz w:val="20"/>
          <w:szCs w:val="20"/>
        </w:rPr>
        <w:t>,</w:t>
      </w:r>
      <w:r w:rsidR="00A30A86">
        <w:rPr>
          <w:rFonts w:ascii="LMRoman10-Regular" w:hAnsi="LMRoman10-Regular" w:cs="LMRoman10-Regular"/>
          <w:sz w:val="20"/>
          <w:szCs w:val="20"/>
        </w:rPr>
        <w:t xml:space="preserve"> mico, pico and femto.</w:t>
      </w:r>
    </w:p>
    <w:p w14:paraId="7728AFD4" w14:textId="4ABBF958"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2C768DFB" w14:textId="2C4D7F76" w:rsidR="00A30A86" w:rsidRDefault="00A30A86" w:rsidP="001C66C5">
      <w:pPr>
        <w:autoSpaceDE w:val="0"/>
        <w:autoSpaceDN w:val="0"/>
        <w:adjustRightInd w:val="0"/>
        <w:spacing w:after="0" w:line="240" w:lineRule="auto"/>
        <w:rPr>
          <w:rFonts w:ascii="LMRoman10-Regular" w:hAnsi="LMRoman10-Regular" w:cs="LMRoman10-Regular"/>
          <w:sz w:val="20"/>
          <w:szCs w:val="20"/>
        </w:rPr>
      </w:pPr>
      <w:r w:rsidRPr="00A30A86">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Valkama, &amp; Niemel\u00e4, 2015)", "plainTextFormattedCitation" : "(Yunas, Valkama, &amp; Niemel\u00e4, 2015)", "previouslyFormattedCitation" : "(Yunas, Valkama, &amp; Niemel\u00e4, 2015)" }, "properties" : { "noteIndex" : 0 }, "schema" : "https://github.com/citation-style-language/schema/raw/master/csl-citation.json" }</w:instrText>
      </w:r>
      <w:r>
        <w:rPr>
          <w:rFonts w:ascii="LMRoman10-Regular" w:hAnsi="LMRoman10-Regular" w:cs="LMRoman10-Regular"/>
          <w:sz w:val="20"/>
          <w:szCs w:val="20"/>
        </w:rPr>
        <w:fldChar w:fldCharType="separate"/>
      </w:r>
      <w:r w:rsidRPr="00A30A86">
        <w:rPr>
          <w:rFonts w:ascii="LMRoman10-Regular" w:hAnsi="LMRoman10-Regular" w:cs="LMRoman10-Regular"/>
          <w:noProof/>
          <w:sz w:val="20"/>
          <w:szCs w:val="20"/>
        </w:rPr>
        <w:t>(Yunas, Valkama, &amp; Niemelä, 2015)</w:t>
      </w:r>
      <w:r>
        <w:rPr>
          <w:rFonts w:ascii="LMRoman10-Regular" w:hAnsi="LMRoman10-Regular" w:cs="LMRoman10-Regular"/>
          <w:sz w:val="20"/>
          <w:szCs w:val="20"/>
        </w:rPr>
        <w:fldChar w:fldCharType="end"/>
      </w:r>
      <w:r w:rsidRPr="00A30A86">
        <w:rPr>
          <w:rFonts w:ascii="LMRoman10-Regular" w:hAnsi="LMRoman10-Regular" w:cs="LMRoman10-Regular"/>
          <w:sz w:val="20"/>
          <w:szCs w:val="20"/>
        </w:rPr>
        <w:t xml:space="preserve"> a “Manhattan-type city grid” is analysed for energy performance </w:t>
      </w:r>
      <w:r>
        <w:rPr>
          <w:rFonts w:ascii="LMRoman10-Regular" w:hAnsi="LMRoman10-Regular" w:cs="LMRoman10-Regular"/>
          <w:sz w:val="20"/>
          <w:szCs w:val="20"/>
        </w:rPr>
        <w:t>in which off-loading the macro cells with indoor cells prove to be more energy efficient.</w:t>
      </w:r>
    </w:p>
    <w:p w14:paraId="380B960C" w14:textId="78D2DDD9" w:rsidR="00A30A86" w:rsidRDefault="00A30A86" w:rsidP="001C66C5">
      <w:pPr>
        <w:autoSpaceDE w:val="0"/>
        <w:autoSpaceDN w:val="0"/>
        <w:adjustRightInd w:val="0"/>
        <w:spacing w:after="0" w:line="240" w:lineRule="auto"/>
        <w:rPr>
          <w:rFonts w:ascii="LMRoman10-Regular" w:hAnsi="LMRoman10-Regular" w:cs="LMRoman10-Regular"/>
          <w:sz w:val="20"/>
          <w:szCs w:val="20"/>
        </w:rPr>
      </w:pPr>
    </w:p>
    <w:p w14:paraId="4C95CF75" w14:textId="782574B0" w:rsidR="00A30A86" w:rsidRDefault="00A30A86"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sidR="00A27E95">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A27E95">
        <w:rPr>
          <w:rFonts w:ascii="LMRoman10-Regular" w:hAnsi="LMRoman10-Regular" w:cs="LMRoman10-Regular"/>
          <w:sz w:val="20"/>
          <w:szCs w:val="20"/>
        </w:rPr>
        <w:fldChar w:fldCharType="separate"/>
      </w:r>
      <w:r w:rsidR="00A27E95" w:rsidRPr="00A27E95">
        <w:rPr>
          <w:rFonts w:ascii="LMRoman10-Regular" w:hAnsi="LMRoman10-Regular" w:cs="LMRoman10-Regular"/>
          <w:noProof/>
          <w:sz w:val="20"/>
          <w:szCs w:val="20"/>
        </w:rPr>
        <w:t>(Forssell &amp; Auer, 2015)</w:t>
      </w:r>
      <w:r w:rsidR="00A27E95">
        <w:rPr>
          <w:rFonts w:ascii="LMRoman10-Regular" w:hAnsi="LMRoman10-Regular" w:cs="LMRoman10-Regular"/>
          <w:sz w:val="20"/>
          <w:szCs w:val="20"/>
        </w:rPr>
        <w:fldChar w:fldCharType="end"/>
      </w:r>
      <w:r w:rsidR="00A27E95">
        <w:rPr>
          <w:rFonts w:ascii="LMRoman10-Regular" w:hAnsi="LMRoman10-Regular" w:cs="LMRoman10-Regular"/>
          <w:sz w:val="20"/>
          <w:szCs w:val="20"/>
        </w:rPr>
        <w:t xml:space="preserve"> The study was conducted to find if in a dense urban scenario the indoor nodes would prove to be energy efficient or not but, to the contrary they proved to be worse than keeping only the macro BS grid in the scenario. </w:t>
      </w:r>
    </w:p>
    <w:p w14:paraId="4FFA8B08"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17B593FD" w14:textId="23C2D514" w:rsidR="00A27E95" w:rsidRDefault="00C85902"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"10.1109/GLOCOMW.2012.6477544", "ISBN" : "978-1-4673-4941-3", "ISSN" : "978-1-4673-4941-3", "abstract" : "Mobile communication networks alone consume 0.5 percent of the global energy today. Rapidly growing demand for capacity will further increase the energy consumption. Thus, improving energy efficiency has recently gained great interest within the research community not only for environmental awareness but also to lower the operational cost of network operators. Base station deployment strategy is one of the key challenges to be addressed for fulfilling the future capacity demand in an energy efficient manner. In this paper, we investigate the relationship between energy efficiency and densification with regard to network capacity requirement. To this end, we refine the base station power consumption model such that the parameters are determined by the maximum transmit power and develop a simple analytical framework to derive the optimum transmit power that maximizes energy efficiency for a certain capacity target. Our framework takes into account interference, noise and backhaul power consumption. Numerical results show that deployment of smaller cells significantly reduces the base station transmit power, and thus shifts the key elements of energy consumption to idling and backhauling power. Network densification can only be justified when capacity expansion is anticipated.", "author" : [ { "dropping-particle" : "", "family" : "Tombaz", "given" : "Sibel", "non-dropping-particle" : "", "parse-names" : false, "suffix" : "" }, { "dropping-particle" : "", "family" : "Sung", "given" : "Ki Won", "non-dropping-particle" : "", "parse-names" : false, "suffix" : "" }, { "dropping-particle" : "", "family" : "Zander", "given" : "Jens", "non-dropping-particle" : "", "parse-names" : false, "suffix" : "" } ], "container-title" : "2012 IEEE Globecom Workshops", "id" : "ITEM-1", "issued" : { "date-parts" : [ [ "2012" ] ] }, "page" : "57-62", "title" : "Impact of densification on energy efficiency in wireless access networks", "type" : "article-journal" }, "uris" : [ "http://www.mendeley.com/documents/?uuid=d0ad8795-9a3d-42ff-83a2-c4de48e4b0d8" ] } ], "mendeley" : { "formattedCitation" : "(Tombaz, Sung, &amp; Zander, 2012)", "plainTextFormattedCitation" : "(Tombaz, Sung, &amp; Zander, 2012)", "previouslyFormattedCitation" : "(Tombaz, Sung, &amp; Zander,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(Tombaz, Sung, &amp; Zander,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study was conducted on densification of network in which it was found out that the deployment of smaller cells reduces the transmit power of large BSs and the idle time and backhaul becomes energy wasters</w:t>
      </w:r>
    </w:p>
    <w:p w14:paraId="240980D5"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6A5F949C" w14:textId="09AD643C" w:rsidR="00CA2173" w:rsidRDefault="00A27E95"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(Falconetti, Frenger, Kallin, &amp; Rimhagen,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a heterogeneous network scenario was considered in which </w:t>
      </w:r>
      <w:r w:rsidR="00CA2173">
        <w:rPr>
          <w:rFonts w:ascii="LMRoman10-Regular" w:hAnsi="LMRoman10-Regular" w:cs="LMRoman10-Regular"/>
          <w:sz w:val="20"/>
          <w:szCs w:val="20"/>
        </w:rPr>
        <w:t>network desification strategies were introduced and to save the power micro DTX and pico node sleep mode</w:t>
      </w:r>
      <w:r w:rsidR="000D49A3">
        <w:rPr>
          <w:rFonts w:ascii="LMRoman10-Regular" w:hAnsi="LMRoman10-Regular" w:cs="LMRoman10-Regular"/>
          <w:sz w:val="20"/>
          <w:szCs w:val="20"/>
        </w:rPr>
        <w:t>s</w:t>
      </w:r>
      <w:r w:rsidR="00CA2173">
        <w:rPr>
          <w:rFonts w:ascii="LMRoman10-Regular" w:hAnsi="LMRoman10-Regular" w:cs="LMRoman10-Regular"/>
          <w:sz w:val="20"/>
          <w:szCs w:val="20"/>
        </w:rPr>
        <w:t xml:space="preserve"> were utilized to prove tha</w:t>
      </w:r>
      <w:r w:rsidR="000D49A3">
        <w:rPr>
          <w:rFonts w:ascii="LMRoman10-Regular" w:hAnsi="LMRoman10-Regular" w:cs="LMRoman10-Regular"/>
          <w:sz w:val="20"/>
          <w:szCs w:val="20"/>
        </w:rPr>
        <w:t xml:space="preserve">t the </w:t>
      </w:r>
      <w:r w:rsidR="00CA2173">
        <w:rPr>
          <w:rFonts w:ascii="LMRoman10-Regular" w:hAnsi="LMRoman10-Regular" w:cs="LMRoman10-Regular"/>
          <w:sz w:val="20"/>
          <w:szCs w:val="20"/>
        </w:rPr>
        <w:t xml:space="preserve">network desification could take place successful without </w:t>
      </w:r>
    </w:p>
    <w:p w14:paraId="2450CFBF" w14:textId="339E7414" w:rsidR="00B44946" w:rsidRDefault="000D49A3"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w:t>
      </w:r>
      <w:r w:rsidR="00CA2173">
        <w:rPr>
          <w:rFonts w:ascii="LMRoman10-Regular" w:hAnsi="LMRoman10-Regular" w:cs="LMRoman10-Regular"/>
          <w:sz w:val="20"/>
          <w:szCs w:val="20"/>
        </w:rPr>
        <w:t>ncreasing the energy requirements.</w:t>
      </w:r>
      <w:r>
        <w:rPr>
          <w:rFonts w:ascii="LMRoman10-Regular" w:hAnsi="LMRoman10-Regular" w:cs="LMRoman10-Regular"/>
          <w:sz w:val="20"/>
          <w:szCs w:val="20"/>
        </w:rPr>
        <w:t xml:space="preserve"> The heterogeneous network was composed of macro nodes and pico nodes. </w:t>
      </w:r>
      <w:r w:rsidR="007928E5">
        <w:rPr>
          <w:rFonts w:ascii="LMRoman10-Regular" w:hAnsi="LMRoman10-Regular" w:cs="LMRoman10-Regular"/>
          <w:sz w:val="20"/>
          <w:szCs w:val="20"/>
        </w:rPr>
        <w:t xml:space="preserve"> At high traffic en</w:t>
      </w:r>
      <w:r>
        <w:rPr>
          <w:rFonts w:ascii="LMRoman10-Regular" w:hAnsi="LMRoman10-Regular" w:cs="LMRoman10-Regular"/>
          <w:sz w:val="20"/>
          <w:szCs w:val="20"/>
        </w:rPr>
        <w:t>ergy could be saved a lo</w:t>
      </w:r>
      <w:r w:rsidR="007928E5">
        <w:rPr>
          <w:rFonts w:ascii="LMRoman10-Regular" w:hAnsi="LMRoman10-Regular" w:cs="LMRoman10-Regular"/>
          <w:sz w:val="20"/>
          <w:szCs w:val="20"/>
        </w:rPr>
        <w:t>t by smaller nodes handling large traffic</w:t>
      </w:r>
      <w:r w:rsidR="00841D47">
        <w:rPr>
          <w:rFonts w:ascii="LMRoman10-Regular" w:hAnsi="LMRoman10-Regular" w:cs="LMRoman10-Regular"/>
          <w:sz w:val="20"/>
          <w:szCs w:val="20"/>
        </w:rPr>
        <w:t>, thereby increasing user performance and decreasing energy consumption at the same time</w:t>
      </w:r>
      <w:r w:rsidR="007928E5">
        <w:rPr>
          <w:rFonts w:ascii="LMRoman10-Regular" w:hAnsi="LMRoman10-Regular" w:cs="LMRoman10-Regular"/>
          <w:sz w:val="20"/>
          <w:szCs w:val="20"/>
        </w:rPr>
        <w:t>.</w:t>
      </w:r>
      <w:r w:rsidR="00B44946">
        <w:rPr>
          <w:rFonts w:ascii="LMRoman10-Regular" w:hAnsi="LMRoman10-Regular" w:cs="LMRoman10-Regular"/>
          <w:sz w:val="20"/>
          <w:szCs w:val="20"/>
        </w:rPr>
        <w:t xml:space="preserve"> In one of the deliverables of EARTH Project DTX scheme was also presented.</w:t>
      </w:r>
    </w:p>
    <w:p w14:paraId="60D7E6A0" w14:textId="654BFA9D" w:rsidR="00B44946" w:rsidRDefault="00B44946" w:rsidP="00CA2173">
      <w:pPr>
        <w:autoSpaceDE w:val="0"/>
        <w:autoSpaceDN w:val="0"/>
        <w:adjustRightInd w:val="0"/>
        <w:spacing w:after="0" w:line="240" w:lineRule="auto"/>
        <w:rPr>
          <w:rFonts w:ascii="LMRoman10-Regular" w:hAnsi="LMRoman10-Regular" w:cs="LMRoman10-Regular"/>
          <w:sz w:val="20"/>
          <w:szCs w:val="20"/>
        </w:rPr>
      </w:pPr>
    </w:p>
    <w:p w14:paraId="2EDA3D5E" w14:textId="364DE315" w:rsidR="00B44946" w:rsidRDefault="00DD5DE1"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We will make use of these energy saving features like short term DTX and long term sleep modes in the nodes. We will make use of a Ericsson’s static network simulator which will present us a realistic three dimensional model of a city with buildings, pavements and open spaces. The simulator makes use of ray-tracing propagation models.</w:t>
      </w:r>
    </w:p>
    <w:p w14:paraId="650D604A" w14:textId="77777777" w:rsidR="005068E8" w:rsidRDefault="005068E8" w:rsidP="00CA2173">
      <w:pPr>
        <w:autoSpaceDE w:val="0"/>
        <w:autoSpaceDN w:val="0"/>
        <w:adjustRightInd w:val="0"/>
        <w:spacing w:after="0" w:line="240" w:lineRule="auto"/>
        <w:rPr>
          <w:rFonts w:ascii="LMRoman10-Regular" w:hAnsi="LMRoman10-Regular" w:cs="LMRoman10-Regular"/>
          <w:sz w:val="20"/>
          <w:szCs w:val="20"/>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With the outset of 5G, many cities will be deployed with indoor cells, pico,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As in South Korea vendors like SKT have bought 28 GHz band for their frequency spectrum, this will be impenetrable to the buildings from outside so for base coverage indoor we would need micro, pico and radio dots and other indoor deployments at 3 GHz.</w:t>
      </w:r>
    </w:p>
    <w:p w14:paraId="1E38F6C3" w14:textId="0935CB70" w:rsidR="00EC0D30" w:rsidRDefault="00F14C93" w:rsidP="00EC0D30">
      <w:pPr>
        <w:pStyle w:val="NewNormal"/>
        <w:ind w:firstLine="0"/>
        <w:rPr>
          <w:rFonts w:cs="Times New Roman"/>
        </w:rPr>
      </w:pPr>
      <w:r>
        <w:rPr>
          <w:rFonts w:cs="Times New Roman"/>
        </w:rPr>
        <w:t xml:space="preserve">5G is going to be like </w:t>
      </w:r>
      <w:r w:rsidR="00385D74">
        <w:rPr>
          <w:rFonts w:cs="Times New Roman"/>
        </w:rPr>
        <w:t>HetNets</w:t>
      </w:r>
      <w:r w:rsidR="00EC0D30">
        <w:rPr>
          <w:rFonts w:cs="Times New Roman"/>
        </w:rPr>
        <w:t xml:space="preserve">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3A62C414" w:rsidR="00D92899" w:rsidRDefault="007C655F" w:rsidP="007948E6">
      <w:pPr>
        <w:pStyle w:val="NewHeading1"/>
      </w:pPr>
      <w:r>
        <w:t xml:space="preserve">Theory </w:t>
      </w:r>
    </w:p>
    <w:p w14:paraId="7A08FE91" w14:textId="70D5B680" w:rsidR="00297249" w:rsidRDefault="00297249" w:rsidP="00297249">
      <w:pPr>
        <w:pStyle w:val="NewNormal"/>
        <w:rPr>
          <w:lang w:eastAsia="sv-SE"/>
        </w:rPr>
      </w:pPr>
      <w:r>
        <w:rPr>
          <w:lang w:eastAsia="sv-SE"/>
        </w:rPr>
        <w:t xml:space="preserve">With the onset of 5G there will be use of a lot of </w:t>
      </w:r>
      <w:r w:rsidR="00385D74">
        <w:rPr>
          <w:lang w:eastAsia="sv-SE"/>
        </w:rPr>
        <w:t>HetNets</w:t>
      </w:r>
      <w:r>
        <w:rPr>
          <w:lang w:eastAsia="sv-SE"/>
        </w:rPr>
        <w:t xml:space="preserve"> and densified networks to satisfy the demand for increased traffic. Most of the mobile traffic will be concentrated indoor around 70 percent of the traffic will come from i</w:t>
      </w:r>
      <w:r w:rsidR="00EB0CA6">
        <w:rPr>
          <w:lang w:eastAsia="sv-SE"/>
        </w:rPr>
        <w:t>ndoor users in shopping malls, a</w:t>
      </w:r>
      <w:r>
        <w:rPr>
          <w:lang w:eastAsia="sv-SE"/>
        </w:rPr>
        <w:t>irport teminals etc.</w:t>
      </w:r>
      <w:r w:rsidR="00EB0CA6">
        <w:rPr>
          <w:lang w:eastAsia="sv-SE"/>
        </w:rPr>
        <w:t xml:space="preserve">(Ericsson white paper, 2014). There will be small cells which would be deployable as ‘plug and play ’ which is going to save a lot of CAPEX for the operators and as these small cells will have a small coverage area which will enable frequency reuse possible being close to each other which will provide large capacity improvement </w:t>
      </w:r>
      <w:r w:rsidR="00EB0CA6">
        <w:rPr>
          <w:lang w:eastAsia="sv-SE"/>
        </w:rPr>
        <w:fldChar w:fldCharType="begin" w:fldLock="1"/>
      </w:r>
      <w:r w:rsidR="00F8313C">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sidR="00EB0CA6">
        <w:rPr>
          <w:lang w:eastAsia="sv-SE"/>
        </w:rPr>
        <w:fldChar w:fldCharType="separate"/>
      </w:r>
      <w:r w:rsidR="00EB0CA6" w:rsidRPr="00EB0CA6">
        <w:rPr>
          <w:noProof/>
          <w:lang w:eastAsia="sv-SE"/>
        </w:rPr>
        <w:t>(Yunas et al., 2015)</w:t>
      </w:r>
      <w:r w:rsidR="00EB0CA6">
        <w:rPr>
          <w:lang w:eastAsia="sv-SE"/>
        </w:rPr>
        <w:fldChar w:fldCharType="end"/>
      </w:r>
      <w:r w:rsidR="00EB0CA6">
        <w:rPr>
          <w:lang w:eastAsia="sv-SE"/>
        </w:rPr>
        <w:t>.</w:t>
      </w:r>
    </w:p>
    <w:p w14:paraId="4B65568B" w14:textId="7615C2FC" w:rsidR="008F46CD" w:rsidRDefault="008F46CD" w:rsidP="008F46CD">
      <w:pPr>
        <w:autoSpaceDE w:val="0"/>
        <w:autoSpaceDN w:val="0"/>
        <w:adjustRightInd w:val="0"/>
        <w:spacing w:after="0" w:line="240" w:lineRule="auto"/>
        <w:rPr>
          <w:lang w:eastAsia="sv-SE"/>
        </w:rPr>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 </w:t>
      </w:r>
      <w:r w:rsidRPr="009B55D7">
        <w:rPr>
          <w:rFonts w:ascii="GillAltOneMT" w:hAnsi="GillAltOneMT" w:cs="GillAltOneMT"/>
          <w:sz w:val="20"/>
          <w:szCs w:val="20"/>
        </w:rPr>
        <w:t>Achieving indoor coverage at 30 GHz is highly problematic</w:t>
      </w:r>
      <w:r>
        <w:rPr>
          <w:rFonts w:ascii="GillAltOneMT" w:hAnsi="GillAltOneMT" w:cs="GillAltOneMT"/>
          <w:sz w:val="20"/>
          <w:szCs w:val="20"/>
        </w:rPr>
        <w:t xml:space="preserve"> </w:t>
      </w:r>
      <w:r w:rsidRPr="009B55D7">
        <w:rPr>
          <w:rFonts w:ascii="GillAltOneMT" w:hAnsi="GillAltOneMT" w:cs="GillAltOneMT"/>
          <w:sz w:val="20"/>
          <w:szCs w:val="20"/>
        </w:rPr>
        <w:t>for all cases, and it is concluded that indoor base stations are</w:t>
      </w:r>
      <w:r>
        <w:rPr>
          <w:rFonts w:ascii="GillAltOneMT" w:hAnsi="GillAltOneMT" w:cs="GillAltOneMT"/>
          <w:sz w:val="20"/>
          <w:szCs w:val="20"/>
        </w:rPr>
        <w:t xml:space="preserve"> </w:t>
      </w:r>
      <w:r w:rsidRPr="009B55D7">
        <w:rPr>
          <w:rFonts w:ascii="GillAltOneMT" w:hAnsi="GillAltOneMT" w:cs="GillAltOneMT"/>
          <w:sz w:val="20"/>
          <w:szCs w:val="20"/>
        </w:rPr>
        <w:t>necessary if frequencies of 10 GHz and above are to be used in</w:t>
      </w:r>
      <w:r>
        <w:rPr>
          <w:rFonts w:ascii="GillAltOneMT" w:hAnsi="GillAltOneMT" w:cs="GillAltOneMT"/>
          <w:sz w:val="20"/>
          <w:szCs w:val="20"/>
        </w:rPr>
        <w:t xml:space="preserve"> </w:t>
      </w:r>
      <w:r w:rsidRPr="009B55D7">
        <w:rPr>
          <w:rFonts w:ascii="GillAltOneMT" w:hAnsi="GillAltOneMT" w:cs="GillAltOneMT"/>
          <w:sz w:val="20"/>
          <w:szCs w:val="20"/>
        </w:rPr>
        <w:t>future mobile networks.</w:t>
      </w:r>
      <w:r>
        <w:rPr>
          <w:rFonts w:ascii="GillAltOneMT" w:hAnsi="GillAltOneMT" w:cs="GillAltOneMT"/>
          <w:sz w:val="20"/>
          <w:szCs w:val="20"/>
        </w:rPr>
        <w:t xml:space="preserve">” </w:t>
      </w:r>
      <w:r>
        <w:rPr>
          <w:rFonts w:ascii="GillAltOneMT" w:hAnsi="GillAltOneMT" w:cs="GillAltOneMT"/>
          <w:sz w:val="20"/>
          <w:szCs w:val="20"/>
        </w:rPr>
        <w:fldChar w:fldCharType="begin" w:fldLock="1"/>
      </w:r>
      <w:r>
        <w:rPr>
          <w:rFonts w:ascii="GillAltOneMT" w:hAnsi="GillAltOneMT" w:cs="GillAltOneMT"/>
          <w:sz w:val="20"/>
          <w:szCs w:val="20"/>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rFonts w:ascii="GillAltOneMT" w:hAnsi="GillAltOneMT" w:cs="GillAltOneMT"/>
          <w:sz w:val="20"/>
          <w:szCs w:val="20"/>
        </w:rPr>
        <w:fldChar w:fldCharType="separate"/>
      </w:r>
      <w:r w:rsidRPr="009B55D7">
        <w:rPr>
          <w:rFonts w:ascii="GillAltOneMT" w:hAnsi="GillAltOneMT" w:cs="GillAltOneMT"/>
          <w:noProof/>
          <w:sz w:val="20"/>
          <w:szCs w:val="20"/>
        </w:rPr>
        <w:t>(Rydén, 2016)</w:t>
      </w:r>
      <w:r>
        <w:rPr>
          <w:rFonts w:ascii="GillAltOneMT" w:hAnsi="GillAltOneMT" w:cs="GillAltOneMT"/>
          <w:sz w:val="20"/>
          <w:szCs w:val="20"/>
        </w:rPr>
        <w:fldChar w:fldCharType="end"/>
      </w:r>
    </w:p>
    <w:p w14:paraId="159610BE" w14:textId="21D16601" w:rsidR="00CD5BD2" w:rsidRDefault="008F46CD" w:rsidP="00CD5BD2">
      <w:pPr>
        <w:pStyle w:val="NewNormal"/>
        <w:rPr>
          <w:lang w:eastAsia="sv-SE"/>
        </w:rPr>
      </w:pPr>
      <w:r>
        <w:rPr>
          <w:lang w:eastAsia="sv-SE"/>
        </w:rPr>
        <w:t>Here is a brief theory about the cells which constitute a He</w:t>
      </w:r>
      <w:r w:rsidR="00CD5BD2">
        <w:rPr>
          <w:lang w:eastAsia="sv-SE"/>
        </w:rPr>
        <w:t xml:space="preserve">tNet. </w:t>
      </w:r>
    </w:p>
    <w:p w14:paraId="7943091B" w14:textId="77777777" w:rsidR="006B3DC7" w:rsidRDefault="006B3DC7" w:rsidP="00CD5BD2">
      <w:pPr>
        <w:pStyle w:val="NewNormal"/>
        <w:rPr>
          <w:lang w:eastAsia="sv-SE"/>
        </w:rPr>
      </w:pPr>
    </w:p>
    <w:tbl>
      <w:tblPr>
        <w:tblStyle w:val="TableGrid"/>
        <w:tblW w:w="6807" w:type="dxa"/>
        <w:tblLook w:val="04A0" w:firstRow="1" w:lastRow="0" w:firstColumn="1" w:lastColumn="0" w:noHBand="0" w:noVBand="1"/>
      </w:tblPr>
      <w:tblGrid>
        <w:gridCol w:w="1361"/>
        <w:gridCol w:w="1361"/>
        <w:gridCol w:w="1361"/>
        <w:gridCol w:w="1361"/>
        <w:gridCol w:w="1363"/>
      </w:tblGrid>
      <w:tr w:rsidR="006B3DC7" w14:paraId="0DD561B0" w14:textId="77777777" w:rsidTr="006B3DC7">
        <w:trPr>
          <w:trHeight w:val="420"/>
        </w:trPr>
        <w:tc>
          <w:tcPr>
            <w:tcW w:w="1361" w:type="dxa"/>
          </w:tcPr>
          <w:p w14:paraId="5A83A563" w14:textId="6BD2FC4F" w:rsidR="006B3DC7" w:rsidRDefault="006B3DC7" w:rsidP="00CD5BD2">
            <w:pPr>
              <w:pStyle w:val="NewNormal"/>
              <w:ind w:firstLine="0"/>
              <w:rPr>
                <w:lang w:eastAsia="sv-SE"/>
              </w:rPr>
            </w:pPr>
            <w:r>
              <w:rPr>
                <w:lang w:eastAsia="sv-SE"/>
              </w:rPr>
              <w:t>Specification</w:t>
            </w:r>
          </w:p>
        </w:tc>
        <w:tc>
          <w:tcPr>
            <w:tcW w:w="1361" w:type="dxa"/>
          </w:tcPr>
          <w:p w14:paraId="076CB783" w14:textId="5172085B" w:rsidR="006B3DC7" w:rsidRDefault="006B3DC7" w:rsidP="00CD5BD2">
            <w:pPr>
              <w:pStyle w:val="NewNormal"/>
              <w:ind w:firstLine="0"/>
              <w:rPr>
                <w:lang w:eastAsia="sv-SE"/>
              </w:rPr>
            </w:pPr>
            <w:r>
              <w:rPr>
                <w:lang w:eastAsia="sv-SE"/>
              </w:rPr>
              <w:t xml:space="preserve">Femtocell </w:t>
            </w:r>
          </w:p>
        </w:tc>
        <w:tc>
          <w:tcPr>
            <w:tcW w:w="1361" w:type="dxa"/>
          </w:tcPr>
          <w:p w14:paraId="70C8C952" w14:textId="22C2A9B7" w:rsidR="006B3DC7" w:rsidRDefault="006B3DC7" w:rsidP="00CD5BD2">
            <w:pPr>
              <w:pStyle w:val="NewNormal"/>
              <w:ind w:firstLine="0"/>
              <w:rPr>
                <w:lang w:eastAsia="sv-SE"/>
              </w:rPr>
            </w:pPr>
            <w:r>
              <w:rPr>
                <w:lang w:eastAsia="sv-SE"/>
              </w:rPr>
              <w:t>Picocell</w:t>
            </w:r>
          </w:p>
        </w:tc>
        <w:tc>
          <w:tcPr>
            <w:tcW w:w="1361" w:type="dxa"/>
          </w:tcPr>
          <w:p w14:paraId="61E0397C" w14:textId="242FC6BE" w:rsidR="006B3DC7" w:rsidRDefault="006B3DC7" w:rsidP="00CD5BD2">
            <w:pPr>
              <w:pStyle w:val="NewNormal"/>
              <w:ind w:firstLine="0"/>
              <w:rPr>
                <w:lang w:eastAsia="sv-SE"/>
              </w:rPr>
            </w:pPr>
            <w:r>
              <w:rPr>
                <w:lang w:eastAsia="sv-SE"/>
              </w:rPr>
              <w:t>Microcell</w:t>
            </w:r>
          </w:p>
        </w:tc>
        <w:tc>
          <w:tcPr>
            <w:tcW w:w="1363" w:type="dxa"/>
          </w:tcPr>
          <w:p w14:paraId="720A3D0F" w14:textId="0186D435" w:rsidR="006B3DC7" w:rsidRDefault="006B3DC7" w:rsidP="00CD5BD2">
            <w:pPr>
              <w:pStyle w:val="NewNormal"/>
              <w:ind w:firstLine="0"/>
              <w:rPr>
                <w:lang w:eastAsia="sv-SE"/>
              </w:rPr>
            </w:pPr>
            <w:r>
              <w:rPr>
                <w:lang w:eastAsia="sv-SE"/>
              </w:rPr>
              <w:t>Macrocell</w:t>
            </w:r>
          </w:p>
        </w:tc>
      </w:tr>
      <w:tr w:rsidR="006B3DC7" w14:paraId="37B7A814" w14:textId="77777777" w:rsidTr="006B3DC7">
        <w:trPr>
          <w:trHeight w:val="660"/>
        </w:trPr>
        <w:tc>
          <w:tcPr>
            <w:tcW w:w="1361" w:type="dxa"/>
          </w:tcPr>
          <w:p w14:paraId="4E114C84" w14:textId="3BD603E7" w:rsidR="006B3DC7" w:rsidRDefault="006B3DC7" w:rsidP="00CD5BD2">
            <w:pPr>
              <w:pStyle w:val="NewNormal"/>
              <w:ind w:firstLine="0"/>
              <w:rPr>
                <w:lang w:eastAsia="sv-SE"/>
              </w:rPr>
            </w:pPr>
            <w:r>
              <w:rPr>
                <w:lang w:eastAsia="sv-SE"/>
              </w:rPr>
              <w:t>Transmit Power</w:t>
            </w:r>
          </w:p>
        </w:tc>
        <w:tc>
          <w:tcPr>
            <w:tcW w:w="1361" w:type="dxa"/>
          </w:tcPr>
          <w:p w14:paraId="08B14AE9" w14:textId="2888E680" w:rsidR="006B3DC7" w:rsidRDefault="006B3DC7" w:rsidP="00CD5BD2">
            <w:pPr>
              <w:pStyle w:val="NewNormal"/>
              <w:ind w:firstLine="0"/>
              <w:rPr>
                <w:lang w:eastAsia="sv-SE"/>
              </w:rPr>
            </w:pPr>
            <w:r>
              <w:rPr>
                <w:lang w:eastAsia="sv-SE"/>
              </w:rPr>
              <w:t>20 dBm</w:t>
            </w:r>
          </w:p>
        </w:tc>
        <w:tc>
          <w:tcPr>
            <w:tcW w:w="1361" w:type="dxa"/>
          </w:tcPr>
          <w:p w14:paraId="14936FCA" w14:textId="2AD265D4" w:rsidR="006B3DC7" w:rsidRDefault="006B3DC7" w:rsidP="00CD5BD2">
            <w:pPr>
              <w:pStyle w:val="NewNormal"/>
              <w:ind w:firstLine="0"/>
              <w:rPr>
                <w:lang w:eastAsia="sv-SE"/>
              </w:rPr>
            </w:pPr>
            <w:r>
              <w:rPr>
                <w:lang w:eastAsia="sv-SE"/>
              </w:rPr>
              <w:t>30dBm</w:t>
            </w:r>
          </w:p>
        </w:tc>
        <w:tc>
          <w:tcPr>
            <w:tcW w:w="1361" w:type="dxa"/>
          </w:tcPr>
          <w:p w14:paraId="77345320" w14:textId="01416858" w:rsidR="006B3DC7" w:rsidRDefault="006B3DC7" w:rsidP="00CD5BD2">
            <w:pPr>
              <w:pStyle w:val="NewNormal"/>
              <w:ind w:firstLine="0"/>
              <w:rPr>
                <w:lang w:eastAsia="sv-SE"/>
              </w:rPr>
            </w:pPr>
            <w:r>
              <w:rPr>
                <w:lang w:eastAsia="sv-SE"/>
              </w:rPr>
              <w:t>30dBm</w:t>
            </w:r>
          </w:p>
        </w:tc>
        <w:tc>
          <w:tcPr>
            <w:tcW w:w="1363" w:type="dxa"/>
          </w:tcPr>
          <w:p w14:paraId="2D65DC0D" w14:textId="77777777" w:rsidR="006B3DC7" w:rsidRDefault="006B3DC7" w:rsidP="00CD5BD2">
            <w:pPr>
              <w:pStyle w:val="NewNormal"/>
              <w:ind w:firstLine="0"/>
              <w:rPr>
                <w:lang w:eastAsia="sv-SE"/>
              </w:rPr>
            </w:pPr>
          </w:p>
        </w:tc>
      </w:tr>
      <w:tr w:rsidR="00CA1716" w14:paraId="328E715A" w14:textId="77777777" w:rsidTr="006B3DC7">
        <w:trPr>
          <w:trHeight w:val="660"/>
        </w:trPr>
        <w:tc>
          <w:tcPr>
            <w:tcW w:w="1361" w:type="dxa"/>
          </w:tcPr>
          <w:p w14:paraId="01212723" w14:textId="5AB29A11" w:rsidR="00CA1716" w:rsidRDefault="00CA1716" w:rsidP="00CD5BD2">
            <w:pPr>
              <w:pStyle w:val="NewNormal"/>
              <w:ind w:firstLine="0"/>
              <w:rPr>
                <w:lang w:eastAsia="sv-SE"/>
              </w:rPr>
            </w:pPr>
            <w:r>
              <w:rPr>
                <w:lang w:eastAsia="sv-SE"/>
              </w:rPr>
              <w:t>Maximum output power</w:t>
            </w:r>
          </w:p>
        </w:tc>
        <w:tc>
          <w:tcPr>
            <w:tcW w:w="1361" w:type="dxa"/>
          </w:tcPr>
          <w:p w14:paraId="6FE718FE" w14:textId="77777777" w:rsidR="00CA1716" w:rsidRDefault="00CA1716" w:rsidP="00CD5BD2">
            <w:pPr>
              <w:pStyle w:val="NewNormal"/>
              <w:ind w:firstLine="0"/>
              <w:rPr>
                <w:lang w:eastAsia="sv-SE"/>
              </w:rPr>
            </w:pPr>
          </w:p>
        </w:tc>
        <w:tc>
          <w:tcPr>
            <w:tcW w:w="1361" w:type="dxa"/>
          </w:tcPr>
          <w:p w14:paraId="0FB6B9B8" w14:textId="77777777" w:rsidR="00CA1716" w:rsidRDefault="00CA1716" w:rsidP="00CD5BD2">
            <w:pPr>
              <w:pStyle w:val="NewNormal"/>
              <w:ind w:firstLine="0"/>
              <w:rPr>
                <w:lang w:eastAsia="sv-SE"/>
              </w:rPr>
            </w:pPr>
          </w:p>
        </w:tc>
        <w:tc>
          <w:tcPr>
            <w:tcW w:w="1361" w:type="dxa"/>
          </w:tcPr>
          <w:p w14:paraId="6FFF8701" w14:textId="77777777" w:rsidR="00CA1716" w:rsidRDefault="00CA1716" w:rsidP="00CD5BD2">
            <w:pPr>
              <w:pStyle w:val="NewNormal"/>
              <w:ind w:firstLine="0"/>
              <w:rPr>
                <w:lang w:eastAsia="sv-SE"/>
              </w:rPr>
            </w:pPr>
          </w:p>
        </w:tc>
        <w:tc>
          <w:tcPr>
            <w:tcW w:w="1363" w:type="dxa"/>
          </w:tcPr>
          <w:p w14:paraId="38EB3649" w14:textId="77777777" w:rsidR="00CA1716" w:rsidRDefault="00CA1716" w:rsidP="00CD5BD2">
            <w:pPr>
              <w:pStyle w:val="NewNormal"/>
              <w:ind w:firstLine="0"/>
              <w:rPr>
                <w:lang w:eastAsia="sv-SE"/>
              </w:rPr>
            </w:pPr>
          </w:p>
        </w:tc>
      </w:tr>
      <w:tr w:rsidR="00CA1716" w14:paraId="6CC302BE" w14:textId="77777777" w:rsidTr="006B3DC7">
        <w:trPr>
          <w:trHeight w:val="660"/>
        </w:trPr>
        <w:tc>
          <w:tcPr>
            <w:tcW w:w="1361" w:type="dxa"/>
          </w:tcPr>
          <w:p w14:paraId="69D388C4" w14:textId="6B40CB83" w:rsidR="00CA1716" w:rsidRDefault="00CA1716" w:rsidP="00CD5BD2">
            <w:pPr>
              <w:pStyle w:val="NewNormal"/>
              <w:ind w:firstLine="0"/>
              <w:rPr>
                <w:lang w:eastAsia="sv-SE"/>
              </w:rPr>
            </w:pPr>
            <w:r>
              <w:rPr>
                <w:lang w:eastAsia="sv-SE"/>
              </w:rPr>
              <w:t>MIMO</w:t>
            </w:r>
          </w:p>
        </w:tc>
        <w:tc>
          <w:tcPr>
            <w:tcW w:w="1361" w:type="dxa"/>
          </w:tcPr>
          <w:p w14:paraId="7332B4D2" w14:textId="77777777" w:rsidR="00CA1716" w:rsidRDefault="00CA1716" w:rsidP="00CD5BD2">
            <w:pPr>
              <w:pStyle w:val="NewNormal"/>
              <w:ind w:firstLine="0"/>
              <w:rPr>
                <w:lang w:eastAsia="sv-SE"/>
              </w:rPr>
            </w:pPr>
          </w:p>
        </w:tc>
        <w:tc>
          <w:tcPr>
            <w:tcW w:w="1361" w:type="dxa"/>
          </w:tcPr>
          <w:p w14:paraId="7B4FD286" w14:textId="77777777" w:rsidR="00CA1716" w:rsidRDefault="00CA1716" w:rsidP="00CD5BD2">
            <w:pPr>
              <w:pStyle w:val="NewNormal"/>
              <w:ind w:firstLine="0"/>
              <w:rPr>
                <w:lang w:eastAsia="sv-SE"/>
              </w:rPr>
            </w:pPr>
          </w:p>
        </w:tc>
        <w:tc>
          <w:tcPr>
            <w:tcW w:w="1361" w:type="dxa"/>
          </w:tcPr>
          <w:p w14:paraId="404C50CC" w14:textId="77777777" w:rsidR="00CA1716" w:rsidRDefault="00CA1716" w:rsidP="00CD5BD2">
            <w:pPr>
              <w:pStyle w:val="NewNormal"/>
              <w:ind w:firstLine="0"/>
              <w:rPr>
                <w:lang w:eastAsia="sv-SE"/>
              </w:rPr>
            </w:pPr>
          </w:p>
        </w:tc>
        <w:tc>
          <w:tcPr>
            <w:tcW w:w="1363" w:type="dxa"/>
          </w:tcPr>
          <w:p w14:paraId="4AC46E29" w14:textId="77777777" w:rsidR="00CA1716" w:rsidRDefault="00CA1716" w:rsidP="00CD5BD2">
            <w:pPr>
              <w:pStyle w:val="NewNormal"/>
              <w:ind w:firstLine="0"/>
              <w:rPr>
                <w:lang w:eastAsia="sv-SE"/>
              </w:rPr>
            </w:pPr>
          </w:p>
        </w:tc>
      </w:tr>
      <w:tr w:rsidR="006B3DC7" w14:paraId="3FB6CC33" w14:textId="77777777" w:rsidTr="006B3DC7">
        <w:trPr>
          <w:trHeight w:val="660"/>
        </w:trPr>
        <w:tc>
          <w:tcPr>
            <w:tcW w:w="1361" w:type="dxa"/>
          </w:tcPr>
          <w:p w14:paraId="1BB7DA70" w14:textId="067EDCB0" w:rsidR="006B3DC7" w:rsidRDefault="006B3DC7" w:rsidP="00CD5BD2">
            <w:pPr>
              <w:pStyle w:val="NewNormal"/>
              <w:ind w:firstLine="0"/>
              <w:rPr>
                <w:lang w:eastAsia="sv-SE"/>
              </w:rPr>
            </w:pPr>
            <w:r>
              <w:rPr>
                <w:lang w:eastAsia="sv-SE"/>
              </w:rPr>
              <w:t>Coverage distance</w:t>
            </w:r>
          </w:p>
        </w:tc>
        <w:tc>
          <w:tcPr>
            <w:tcW w:w="1361" w:type="dxa"/>
          </w:tcPr>
          <w:p w14:paraId="7743C5FD" w14:textId="2C01AF69" w:rsidR="006B3DC7" w:rsidRDefault="006B3DC7" w:rsidP="00CD5BD2">
            <w:pPr>
              <w:pStyle w:val="NewNormal"/>
              <w:ind w:firstLine="0"/>
              <w:rPr>
                <w:lang w:eastAsia="sv-SE"/>
              </w:rPr>
            </w:pPr>
            <w:r>
              <w:rPr>
                <w:lang w:eastAsia="sv-SE"/>
              </w:rPr>
              <w:t xml:space="preserve">Less than 30m </w:t>
            </w:r>
          </w:p>
        </w:tc>
        <w:tc>
          <w:tcPr>
            <w:tcW w:w="1361" w:type="dxa"/>
          </w:tcPr>
          <w:p w14:paraId="7E0F69CD" w14:textId="69EDB973" w:rsidR="006B3DC7" w:rsidRDefault="006B3DC7" w:rsidP="00CD5BD2">
            <w:pPr>
              <w:pStyle w:val="NewNormal"/>
              <w:ind w:firstLine="0"/>
              <w:rPr>
                <w:lang w:eastAsia="sv-SE"/>
              </w:rPr>
            </w:pPr>
            <w:r>
              <w:rPr>
                <w:lang w:eastAsia="sv-SE"/>
              </w:rPr>
              <w:t>Less than 100 m</w:t>
            </w:r>
          </w:p>
        </w:tc>
        <w:tc>
          <w:tcPr>
            <w:tcW w:w="1361" w:type="dxa"/>
          </w:tcPr>
          <w:p w14:paraId="305AD715" w14:textId="1090E972" w:rsidR="006B3DC7" w:rsidRDefault="006B3DC7" w:rsidP="00CD5BD2">
            <w:pPr>
              <w:pStyle w:val="NewNormal"/>
              <w:ind w:firstLine="0"/>
              <w:rPr>
                <w:lang w:eastAsia="sv-SE"/>
              </w:rPr>
            </w:pPr>
            <w:r>
              <w:rPr>
                <w:lang w:eastAsia="sv-SE"/>
              </w:rPr>
              <w:t>Less than 500m</w:t>
            </w:r>
          </w:p>
        </w:tc>
        <w:tc>
          <w:tcPr>
            <w:tcW w:w="1363" w:type="dxa"/>
          </w:tcPr>
          <w:p w14:paraId="27FA12FA" w14:textId="43359392" w:rsidR="006B3DC7" w:rsidRDefault="006B3DC7" w:rsidP="00CD5BD2">
            <w:pPr>
              <w:pStyle w:val="NewNormal"/>
              <w:ind w:firstLine="0"/>
              <w:rPr>
                <w:lang w:eastAsia="sv-SE"/>
              </w:rPr>
            </w:pPr>
            <w:r>
              <w:rPr>
                <w:lang w:eastAsia="sv-SE"/>
              </w:rPr>
              <w:t>Several kms.</w:t>
            </w:r>
          </w:p>
        </w:tc>
      </w:tr>
      <w:tr w:rsidR="006B3DC7" w14:paraId="717FD4F0" w14:textId="77777777" w:rsidTr="006B3DC7">
        <w:trPr>
          <w:trHeight w:val="645"/>
        </w:trPr>
        <w:tc>
          <w:tcPr>
            <w:tcW w:w="1361" w:type="dxa"/>
          </w:tcPr>
          <w:p w14:paraId="62C49006" w14:textId="2FDDA829" w:rsidR="006B3DC7" w:rsidRDefault="006B3DC7" w:rsidP="00CD5BD2">
            <w:pPr>
              <w:pStyle w:val="NewNormal"/>
              <w:ind w:firstLine="0"/>
              <w:rPr>
                <w:lang w:eastAsia="sv-SE"/>
              </w:rPr>
            </w:pPr>
            <w:r>
              <w:rPr>
                <w:lang w:eastAsia="sv-SE"/>
              </w:rPr>
              <w:t xml:space="preserve">Deployment </w:t>
            </w:r>
          </w:p>
        </w:tc>
        <w:tc>
          <w:tcPr>
            <w:tcW w:w="1361" w:type="dxa"/>
          </w:tcPr>
          <w:p w14:paraId="29D62BAB" w14:textId="41F111B8" w:rsidR="006B3DC7" w:rsidRDefault="006B3DC7" w:rsidP="00CD5BD2">
            <w:pPr>
              <w:pStyle w:val="NewNormal"/>
              <w:ind w:firstLine="0"/>
              <w:rPr>
                <w:lang w:eastAsia="sv-SE"/>
              </w:rPr>
            </w:pPr>
            <w:r>
              <w:rPr>
                <w:lang w:eastAsia="sv-SE"/>
              </w:rPr>
              <w:t xml:space="preserve">Indoor </w:t>
            </w:r>
          </w:p>
        </w:tc>
        <w:tc>
          <w:tcPr>
            <w:tcW w:w="1361" w:type="dxa"/>
          </w:tcPr>
          <w:p w14:paraId="185611C5" w14:textId="0ECF1D7C" w:rsidR="006B3DC7" w:rsidRDefault="006B3DC7" w:rsidP="00CD5BD2">
            <w:pPr>
              <w:pStyle w:val="NewNormal"/>
              <w:ind w:firstLine="0"/>
              <w:rPr>
                <w:lang w:eastAsia="sv-SE"/>
              </w:rPr>
            </w:pPr>
            <w:r>
              <w:rPr>
                <w:lang w:eastAsia="sv-SE"/>
              </w:rPr>
              <w:t>Indoor and Outdoor</w:t>
            </w:r>
          </w:p>
        </w:tc>
        <w:tc>
          <w:tcPr>
            <w:tcW w:w="1361" w:type="dxa"/>
          </w:tcPr>
          <w:p w14:paraId="38F47374" w14:textId="40F5730C" w:rsidR="006B3DC7" w:rsidRDefault="006B3DC7" w:rsidP="00CD5BD2">
            <w:pPr>
              <w:pStyle w:val="NewNormal"/>
              <w:ind w:firstLine="0"/>
              <w:rPr>
                <w:lang w:eastAsia="sv-SE"/>
              </w:rPr>
            </w:pPr>
            <w:r>
              <w:rPr>
                <w:lang w:eastAsia="sv-SE"/>
              </w:rPr>
              <w:t>Outdoor</w:t>
            </w:r>
          </w:p>
        </w:tc>
        <w:tc>
          <w:tcPr>
            <w:tcW w:w="1363" w:type="dxa"/>
          </w:tcPr>
          <w:p w14:paraId="14FE0E86" w14:textId="5BF3B81C" w:rsidR="006B3DC7" w:rsidRDefault="006B3DC7" w:rsidP="00CD5BD2">
            <w:pPr>
              <w:pStyle w:val="NewNormal"/>
              <w:ind w:firstLine="0"/>
              <w:rPr>
                <w:lang w:eastAsia="sv-SE"/>
              </w:rPr>
            </w:pPr>
            <w:r>
              <w:rPr>
                <w:lang w:eastAsia="sv-SE"/>
              </w:rPr>
              <w:t>Outdoor</w:t>
            </w:r>
          </w:p>
        </w:tc>
      </w:tr>
      <w:tr w:rsidR="006B3DC7" w14:paraId="5440BE86" w14:textId="77777777" w:rsidTr="006B3DC7">
        <w:trPr>
          <w:trHeight w:val="660"/>
        </w:trPr>
        <w:tc>
          <w:tcPr>
            <w:tcW w:w="1361" w:type="dxa"/>
          </w:tcPr>
          <w:p w14:paraId="5018E61C" w14:textId="2AE6F81E" w:rsidR="006B3DC7" w:rsidRDefault="006B3DC7" w:rsidP="00CD5BD2">
            <w:pPr>
              <w:pStyle w:val="NewNormal"/>
              <w:ind w:firstLine="0"/>
              <w:rPr>
                <w:lang w:eastAsia="sv-SE"/>
              </w:rPr>
            </w:pPr>
            <w:r>
              <w:rPr>
                <w:lang w:eastAsia="sv-SE"/>
              </w:rPr>
              <w:t>Backhaul connectivity</w:t>
            </w:r>
          </w:p>
        </w:tc>
        <w:tc>
          <w:tcPr>
            <w:tcW w:w="1361" w:type="dxa"/>
          </w:tcPr>
          <w:p w14:paraId="6640A1CD" w14:textId="166D233A" w:rsidR="006B3DC7" w:rsidRDefault="00CA1716" w:rsidP="00CD5BD2">
            <w:pPr>
              <w:pStyle w:val="NewNormal"/>
              <w:ind w:firstLine="0"/>
              <w:rPr>
                <w:lang w:eastAsia="sv-SE"/>
              </w:rPr>
            </w:pPr>
            <w:r>
              <w:rPr>
                <w:lang w:eastAsia="sv-SE"/>
              </w:rPr>
              <w:t>DSL, cable, fiber</w:t>
            </w:r>
          </w:p>
        </w:tc>
        <w:tc>
          <w:tcPr>
            <w:tcW w:w="1361" w:type="dxa"/>
          </w:tcPr>
          <w:p w14:paraId="588C2950" w14:textId="1AFC1303" w:rsidR="006B3DC7" w:rsidRDefault="00CA1716" w:rsidP="00CD5BD2">
            <w:pPr>
              <w:pStyle w:val="NewNormal"/>
              <w:ind w:firstLine="0"/>
              <w:rPr>
                <w:lang w:eastAsia="sv-SE"/>
              </w:rPr>
            </w:pPr>
            <w:r>
              <w:rPr>
                <w:lang w:eastAsia="sv-SE"/>
              </w:rPr>
              <w:t>Microwave, mm</w:t>
            </w:r>
          </w:p>
        </w:tc>
        <w:tc>
          <w:tcPr>
            <w:tcW w:w="1361" w:type="dxa"/>
          </w:tcPr>
          <w:p w14:paraId="1419B4DC" w14:textId="4460E13D" w:rsidR="006B3DC7" w:rsidRDefault="00CA1716" w:rsidP="00CD5BD2">
            <w:pPr>
              <w:pStyle w:val="NewNormal"/>
              <w:ind w:firstLine="0"/>
              <w:rPr>
                <w:lang w:eastAsia="sv-SE"/>
              </w:rPr>
            </w:pPr>
            <w:r>
              <w:rPr>
                <w:lang w:eastAsia="sv-SE"/>
              </w:rPr>
              <w:t>Microwave</w:t>
            </w:r>
            <w:r>
              <w:rPr>
                <w:lang w:eastAsia="sv-SE"/>
              </w:rPr>
              <w:t>, Fiber</w:t>
            </w:r>
          </w:p>
        </w:tc>
        <w:tc>
          <w:tcPr>
            <w:tcW w:w="1363" w:type="dxa"/>
          </w:tcPr>
          <w:p w14:paraId="393C2ABF" w14:textId="0D68BDC8" w:rsidR="006B3DC7" w:rsidRDefault="00CA1716" w:rsidP="00CD5BD2">
            <w:pPr>
              <w:pStyle w:val="NewNormal"/>
              <w:ind w:firstLine="0"/>
              <w:rPr>
                <w:lang w:eastAsia="sv-SE"/>
              </w:rPr>
            </w:pPr>
            <w:r>
              <w:rPr>
                <w:lang w:eastAsia="sv-SE"/>
              </w:rPr>
              <w:t>Microwave, Fiber</w:t>
            </w:r>
          </w:p>
        </w:tc>
      </w:tr>
      <w:tr w:rsidR="006B3DC7" w14:paraId="22F777B5" w14:textId="77777777" w:rsidTr="006B3DC7">
        <w:trPr>
          <w:trHeight w:val="420"/>
        </w:trPr>
        <w:tc>
          <w:tcPr>
            <w:tcW w:w="1361" w:type="dxa"/>
          </w:tcPr>
          <w:p w14:paraId="52D9EC0D" w14:textId="18D7943D" w:rsidR="006B3DC7" w:rsidRDefault="006B3DC7" w:rsidP="00CD5BD2">
            <w:pPr>
              <w:pStyle w:val="NewNormal"/>
              <w:ind w:firstLine="0"/>
              <w:rPr>
                <w:lang w:eastAsia="sv-SE"/>
              </w:rPr>
            </w:pPr>
            <w:r w:rsidRPr="006B3DC7">
              <w:rPr>
                <w:lang w:eastAsia="sv-SE"/>
              </w:rPr>
              <w:t>Installation</w:t>
            </w:r>
          </w:p>
        </w:tc>
        <w:tc>
          <w:tcPr>
            <w:tcW w:w="1361" w:type="dxa"/>
          </w:tcPr>
          <w:p w14:paraId="0D41929B" w14:textId="0656F827" w:rsidR="006B3DC7" w:rsidRDefault="006B3DC7" w:rsidP="00CD5BD2">
            <w:pPr>
              <w:pStyle w:val="NewNormal"/>
              <w:ind w:firstLine="0"/>
              <w:rPr>
                <w:lang w:eastAsia="sv-SE"/>
              </w:rPr>
            </w:pPr>
            <w:r>
              <w:rPr>
                <w:lang w:eastAsia="sv-SE"/>
              </w:rPr>
              <w:t>User</w:t>
            </w:r>
          </w:p>
        </w:tc>
        <w:tc>
          <w:tcPr>
            <w:tcW w:w="1361" w:type="dxa"/>
          </w:tcPr>
          <w:p w14:paraId="27A1FCA8" w14:textId="17AA1B13" w:rsidR="006B3DC7" w:rsidRDefault="006B3DC7" w:rsidP="00CD5BD2">
            <w:pPr>
              <w:pStyle w:val="NewNormal"/>
              <w:ind w:firstLine="0"/>
              <w:rPr>
                <w:lang w:eastAsia="sv-SE"/>
              </w:rPr>
            </w:pPr>
            <w:r>
              <w:rPr>
                <w:lang w:eastAsia="sv-SE"/>
              </w:rPr>
              <w:t>Operator</w:t>
            </w:r>
          </w:p>
        </w:tc>
        <w:tc>
          <w:tcPr>
            <w:tcW w:w="1361" w:type="dxa"/>
          </w:tcPr>
          <w:p w14:paraId="0C66834A" w14:textId="42FA1C44" w:rsidR="006B3DC7" w:rsidRDefault="006B3DC7" w:rsidP="00CD5BD2">
            <w:pPr>
              <w:pStyle w:val="NewNormal"/>
              <w:ind w:firstLine="0"/>
              <w:rPr>
                <w:lang w:eastAsia="sv-SE"/>
              </w:rPr>
            </w:pPr>
            <w:r>
              <w:rPr>
                <w:lang w:eastAsia="sv-SE"/>
              </w:rPr>
              <w:t>Operator</w:t>
            </w:r>
          </w:p>
        </w:tc>
        <w:tc>
          <w:tcPr>
            <w:tcW w:w="1363" w:type="dxa"/>
          </w:tcPr>
          <w:p w14:paraId="53C76195" w14:textId="57CFB5F3" w:rsidR="006B3DC7" w:rsidRDefault="006B3DC7" w:rsidP="00CD5BD2">
            <w:pPr>
              <w:pStyle w:val="NewNormal"/>
              <w:ind w:firstLine="0"/>
              <w:rPr>
                <w:lang w:eastAsia="sv-SE"/>
              </w:rPr>
            </w:pPr>
            <w:r>
              <w:rPr>
                <w:lang w:eastAsia="sv-SE"/>
              </w:rPr>
              <w:t>Operator</w:t>
            </w:r>
          </w:p>
        </w:tc>
      </w:tr>
    </w:tbl>
    <w:p w14:paraId="5A71E561" w14:textId="25620B6C" w:rsidR="006B3DC7" w:rsidRDefault="006B3DC7" w:rsidP="006B3DC7">
      <w:pPr>
        <w:pStyle w:val="NewNormal"/>
        <w:ind w:firstLine="0"/>
        <w:rPr>
          <w:lang w:eastAsia="sv-SE"/>
        </w:rPr>
      </w:pPr>
      <w:r>
        <w:rPr>
          <w:lang w:eastAsia="sv-SE"/>
        </w:rPr>
        <w:t>Table1. Comparison between different types of nodes in a heterogeneous network.</w:t>
      </w:r>
    </w:p>
    <w:p w14:paraId="3D5D0287" w14:textId="77777777" w:rsidR="006B3DC7" w:rsidRDefault="006B3DC7" w:rsidP="006B3DC7">
      <w:pPr>
        <w:pStyle w:val="NewNormal"/>
        <w:ind w:firstLine="0"/>
        <w:rPr>
          <w:lang w:eastAsia="sv-SE"/>
        </w:rPr>
      </w:pPr>
    </w:p>
    <w:p w14:paraId="1B4A522F" w14:textId="77777777" w:rsidR="006B3DC7" w:rsidRDefault="006B3DC7" w:rsidP="00CD5BD2">
      <w:pPr>
        <w:pStyle w:val="NewNormal"/>
        <w:rPr>
          <w:lang w:eastAsia="sv-SE"/>
        </w:rPr>
      </w:pPr>
    </w:p>
    <w:p w14:paraId="28FFAE02" w14:textId="6C4CA314" w:rsidR="006B3DC7" w:rsidRDefault="006B3DC7" w:rsidP="00CD5BD2">
      <w:pPr>
        <w:pStyle w:val="NewNormal"/>
        <w:rPr>
          <w:lang w:eastAsia="sv-SE"/>
        </w:rPr>
      </w:pPr>
      <w:r>
        <w:rPr>
          <w:noProof/>
          <w:lang w:val="sv-SE" w:eastAsia="sv-SE"/>
        </w:rPr>
        <w:drawing>
          <wp:inline distT="0" distB="0" distL="0" distR="0" wp14:anchorId="53192589" wp14:editId="06E483AF">
            <wp:extent cx="42837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CELLS.jpg"/>
                    <pic:cNvPicPr/>
                  </pic:nvPicPr>
                  <pic:blipFill>
                    <a:blip r:embed="rId1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4891A8F6" w14:textId="08247837" w:rsidR="006B3DC7" w:rsidRDefault="006B3DC7" w:rsidP="00CD5BD2">
      <w:pPr>
        <w:pStyle w:val="NewNormal"/>
        <w:rPr>
          <w:lang w:eastAsia="sv-SE"/>
        </w:rPr>
      </w:pPr>
      <w:r>
        <w:rPr>
          <w:lang w:eastAsia="sv-SE"/>
        </w:rPr>
        <w:t xml:space="preserve">Figure 3.  Small cells </w:t>
      </w:r>
      <w:r w:rsidR="00A3347C">
        <w:rPr>
          <w:lang w:eastAsia="sv-SE"/>
        </w:rPr>
        <w:t>pictorial representation (www.hetnets.com)</w:t>
      </w:r>
    </w:p>
    <w:p w14:paraId="7A157465" w14:textId="7265DB0E" w:rsidR="007C655F" w:rsidRDefault="007C655F" w:rsidP="00CD5BD2">
      <w:pPr>
        <w:pStyle w:val="NewNormal"/>
        <w:rPr>
          <w:lang w:eastAsia="sv-SE"/>
        </w:rPr>
      </w:pPr>
      <w:r>
        <w:rPr>
          <w:lang w:eastAsia="sv-SE"/>
        </w:rPr>
        <w:t>2.1 Macro Cells</w:t>
      </w:r>
      <w:r w:rsidR="00CD5BD2">
        <w:rPr>
          <w:lang w:eastAsia="sv-SE"/>
        </w:rPr>
        <w:t>:</w:t>
      </w:r>
    </w:p>
    <w:p w14:paraId="237E5DAB" w14:textId="2FFD0274" w:rsidR="00CD5BD2" w:rsidRDefault="00CD5BD2" w:rsidP="00CD5BD2">
      <w:pPr>
        <w:pStyle w:val="NewNormal"/>
        <w:rPr>
          <w:lang w:eastAsia="sv-SE"/>
        </w:rPr>
      </w:pPr>
      <w:r>
        <w:rPr>
          <w:lang w:eastAsia="sv-SE"/>
        </w:rPr>
        <w:t>These cells are the base stations that provide coverage to a large area with Inter site distance (ISD) around 200m to several kilometers. depending upon the density.</w:t>
      </w:r>
      <w:r w:rsidR="003F0F2A">
        <w:rPr>
          <w:lang w:eastAsia="sv-SE"/>
        </w:rPr>
        <w:t xml:space="preserve"> Their fulfill the baseline coverage for any LTE network, providing connectivity and up all the time. The output transmit power</w:t>
      </w:r>
      <w:r>
        <w:rPr>
          <w:lang w:eastAsia="sv-SE"/>
        </w:rPr>
        <w:t xml:space="preserve"> </w:t>
      </w:r>
      <w:r w:rsidR="003F0F2A">
        <w:rPr>
          <w:lang w:eastAsia="sv-SE"/>
        </w:rPr>
        <w:t>varies from 5 to 40 W. they have sectorised antennas normally covering 120 degrees per sector.</w:t>
      </w:r>
    </w:p>
    <w:p w14:paraId="6A39B583" w14:textId="20F8F876" w:rsidR="00CD5BD2" w:rsidRDefault="00CD5BD2" w:rsidP="00CD5BD2">
      <w:pPr>
        <w:pStyle w:val="NewNormal"/>
        <w:rPr>
          <w:lang w:eastAsia="sv-SE"/>
        </w:rPr>
      </w:pPr>
      <w:r>
        <w:rPr>
          <w:lang w:eastAsia="sv-SE"/>
        </w:rPr>
        <w:tab/>
      </w:r>
    </w:p>
    <w:p w14:paraId="60AE201D" w14:textId="77777777" w:rsidR="00CD5BD2" w:rsidRDefault="00CD5BD2" w:rsidP="007C655F">
      <w:pPr>
        <w:pStyle w:val="NewNormal"/>
        <w:rPr>
          <w:lang w:eastAsia="sv-SE"/>
        </w:rPr>
      </w:pPr>
    </w:p>
    <w:p w14:paraId="241F4339" w14:textId="3FBD495E" w:rsidR="007C655F" w:rsidRDefault="007C655F" w:rsidP="007C655F">
      <w:pPr>
        <w:pStyle w:val="NewNormal"/>
        <w:rPr>
          <w:lang w:eastAsia="sv-SE"/>
        </w:rPr>
      </w:pPr>
      <w:r>
        <w:rPr>
          <w:lang w:eastAsia="sv-SE"/>
        </w:rPr>
        <w:t>2.2 Pico Cells</w:t>
      </w:r>
    </w:p>
    <w:p w14:paraId="2E47294D" w14:textId="354175FD" w:rsidR="003F0F2A" w:rsidRDefault="003F0F2A" w:rsidP="007C655F">
      <w:pPr>
        <w:pStyle w:val="NewNormal"/>
      </w:pPr>
      <w:r>
        <w:t>Picocells  have lower transmit power than macro BSs, they have omni-directional antennas unline macro BSs which are sectorised. . The transmit power ranges from 250 mW to 2 W. They are generally used for indoor purposes around hot -spots like offices, railway stations etc.</w:t>
      </w:r>
      <w:r w:rsidR="002E18B1">
        <w:t xml:space="preserve"> and are connected over X2 interface</w:t>
      </w:r>
      <w:r w:rsidR="00F8313C">
        <w:t xml:space="preserve">. </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"previouslyFormattedCitation"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33486F53" w14:textId="77777777" w:rsidR="002E18B1" w:rsidRDefault="002E18B1" w:rsidP="007C655F">
      <w:pPr>
        <w:pStyle w:val="NewNormal"/>
      </w:pPr>
      <w:r>
        <w:t xml:space="preserve">2.3 </w:t>
      </w:r>
      <w:r w:rsidR="00E4627C">
        <w:t>Femto</w:t>
      </w:r>
      <w:r>
        <w:t xml:space="preserve"> </w:t>
      </w:r>
      <w:r w:rsidR="00E4627C">
        <w:t>cell</w:t>
      </w:r>
    </w:p>
    <w:p w14:paraId="5596DE95" w14:textId="48D3D919" w:rsidR="002E18B1" w:rsidRDefault="002E18B1" w:rsidP="007C655F">
      <w:pPr>
        <w:pStyle w:val="NewNormal"/>
      </w:pPr>
      <w:r>
        <w:t xml:space="preserve">Femto cells are also known as </w:t>
      </w:r>
      <w:r w:rsidR="00E4627C">
        <w:t xml:space="preserve"> HeNBs </w:t>
      </w:r>
      <w:r w:rsidR="00B871D0">
        <w:t xml:space="preserve">are deployment for small rooms and home requirements </w:t>
      </w:r>
      <w:r>
        <w:t>generally for a very small range coverage less than 30m. They have omni-directional antennas, transmit power is around 100 mW. They could be plugged in using a DSL line or modem cable. They have an omni-directional antenna.</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5AFC2470" w14:textId="77777777" w:rsidR="002E18B1" w:rsidRDefault="002E18B1" w:rsidP="007C655F">
      <w:pPr>
        <w:pStyle w:val="NewNormal"/>
      </w:pPr>
    </w:p>
    <w:p w14:paraId="5E62B759" w14:textId="471E952F" w:rsidR="007C655F" w:rsidRDefault="007C655F" w:rsidP="007C655F">
      <w:pPr>
        <w:pStyle w:val="NewNormal"/>
        <w:rPr>
          <w:lang w:eastAsia="sv-SE"/>
        </w:rPr>
      </w:pPr>
      <w:bookmarkStart w:id="4" w:name="_GoBack"/>
      <w:bookmarkEnd w:id="4"/>
      <w:r>
        <w:rPr>
          <w:lang w:eastAsia="sv-SE"/>
        </w:rPr>
        <w:t xml:space="preserve">2.3 LTE </w:t>
      </w:r>
      <w:r w:rsidR="004C3B1D">
        <w:rPr>
          <w:lang w:eastAsia="sv-SE"/>
        </w:rPr>
        <w:t>Basics:</w:t>
      </w:r>
    </w:p>
    <w:p w14:paraId="7B4E0CCE" w14:textId="5521CF8D" w:rsidR="004C3B1D" w:rsidRDefault="004C3B1D" w:rsidP="007C655F">
      <w:pPr>
        <w:pStyle w:val="NewNormal"/>
        <w:rPr>
          <w:lang w:eastAsia="sv-SE"/>
        </w:rPr>
      </w:pPr>
      <w:r>
        <w:rPr>
          <w:lang w:eastAsia="sv-SE"/>
        </w:rPr>
        <w:t xml:space="preserve">2.3.1 </w:t>
      </w:r>
      <w:r w:rsidRPr="004C3B1D">
        <w:rPr>
          <w:lang w:eastAsia="sv-SE"/>
        </w:rPr>
        <w:t>OFDM (Orthogonal Frequency Division Multiplex)</w:t>
      </w:r>
    </w:p>
    <w:p w14:paraId="1FB50572" w14:textId="3E949270" w:rsidR="004C3B1D" w:rsidRDefault="004C3B1D" w:rsidP="007C655F">
      <w:pPr>
        <w:pStyle w:val="NewNormal"/>
        <w:rPr>
          <w:lang w:eastAsia="sv-SE"/>
        </w:rPr>
      </w:pPr>
      <w:r>
        <w:rPr>
          <w:lang w:eastAsia="sv-SE"/>
        </w:rPr>
        <w:t xml:space="preserve">In LTE the OFDM modulation technique is used to produce orthogonality between the sub-carriers in frequency domain. A sub-carrier of 180 kHz </w:t>
      </w:r>
      <w:r w:rsidR="00BB67D3">
        <w:rPr>
          <w:lang w:eastAsia="sv-SE"/>
        </w:rPr>
        <w:t xml:space="preserve">. </w:t>
      </w:r>
      <w:r>
        <w:rPr>
          <w:lang w:eastAsia="sv-SE"/>
        </w:rPr>
        <w:t xml:space="preserve"> The OFDM provides resistance to interference in between LTE</w:t>
      </w:r>
      <w:r w:rsidR="00BB67D3">
        <w:rPr>
          <w:lang w:eastAsia="sv-SE"/>
        </w:rPr>
        <w:t>sub-carriers</w:t>
      </w:r>
      <w:r>
        <w:rPr>
          <w:lang w:eastAsia="sv-SE"/>
        </w:rPr>
        <w:t xml:space="preserve">, the LTE uses OFDMA </w:t>
      </w:r>
      <w:r w:rsidRPr="004C3B1D">
        <w:rPr>
          <w:lang w:eastAsia="sv-SE"/>
        </w:rPr>
        <w:t>(Orthogonal Frequency Division Multiple Access</w:t>
      </w:r>
      <w:r>
        <w:rPr>
          <w:lang w:eastAsia="sv-SE"/>
        </w:rPr>
        <w:t xml:space="preserve">  in down link radio access and SC-OFDMA </w:t>
      </w:r>
      <w:r w:rsidRPr="004C3B1D">
        <w:rPr>
          <w:lang w:eastAsia="sv-SE"/>
        </w:rPr>
        <w:t>(Single Carrier - Frequency Division Multiple Access)</w:t>
      </w:r>
      <w:r>
        <w:rPr>
          <w:lang w:eastAsia="sv-SE"/>
        </w:rPr>
        <w:t xml:space="preserve"> in up link radio access. </w:t>
      </w:r>
      <w:r w:rsidR="00BB67D3">
        <w:rPr>
          <w:lang w:eastAsia="sv-SE"/>
        </w:rPr>
        <w:t xml:space="preserve">OFDM provides high-data rates and tightly spaces sub- carriers provides high spectrum efficiency. </w:t>
      </w:r>
    </w:p>
    <w:p w14:paraId="02D815B1" w14:textId="75787C14" w:rsidR="004C3B1D" w:rsidRDefault="00BB67D3" w:rsidP="007C655F">
      <w:pPr>
        <w:pStyle w:val="NewNormal"/>
        <w:rPr>
          <w:lang w:eastAsia="sv-SE"/>
        </w:rPr>
      </w:pPr>
      <w:r>
        <w:rPr>
          <w:lang w:eastAsia="sv-SE"/>
        </w:rPr>
        <w:t xml:space="preserve">2.3.2 </w:t>
      </w:r>
      <w:r w:rsidRPr="00BB67D3">
        <w:rPr>
          <w:lang w:eastAsia="sv-SE"/>
        </w:rPr>
        <w:t>MIMO (Multiple Input Multiple Output):</w:t>
      </w:r>
      <w:r>
        <w:rPr>
          <w:lang w:eastAsia="sv-SE"/>
        </w:rPr>
        <w:t xml:space="preserve">  </w:t>
      </w:r>
    </w:p>
    <w:p w14:paraId="3708BEBF" w14:textId="681D4144" w:rsidR="00BB67D3" w:rsidRDefault="00BB67D3" w:rsidP="00BB67D3">
      <w:pPr>
        <w:pStyle w:val="NewNormal"/>
        <w:rPr>
          <w:lang w:eastAsia="sv-SE"/>
        </w:rPr>
      </w:pPr>
      <w:r>
        <w:rPr>
          <w:lang w:eastAsia="sv-SE"/>
        </w:rPr>
        <w:t>A key radio access feature for LTE is MIMO. The data streams going into and out of antenna in radio channel is used</w:t>
      </w:r>
      <w:r w:rsidR="005F5F61">
        <w:rPr>
          <w:lang w:eastAsia="sv-SE"/>
        </w:rPr>
        <w:t xml:space="preserve"> to for beamform</w:t>
      </w:r>
      <w:r>
        <w:rPr>
          <w:lang w:eastAsia="sv-SE"/>
        </w:rPr>
        <w:t>ing and transmit diversity. The diversity will result in low correlation of fading and this could be used for receive / transmit diversity. Better reception coul</w:t>
      </w:r>
      <w:r w:rsidR="005F5F61">
        <w:rPr>
          <w:lang w:eastAsia="sv-SE"/>
        </w:rPr>
        <w:t>d be generated by sending simul</w:t>
      </w:r>
      <w:r>
        <w:rPr>
          <w:lang w:eastAsia="sv-SE"/>
        </w:rPr>
        <w:t xml:space="preserve">taneously the </w:t>
      </w:r>
      <w:r w:rsidR="005F5F61">
        <w:rPr>
          <w:lang w:eastAsia="sv-SE"/>
        </w:rPr>
        <w:t xml:space="preserve">copies of the same data through the channel and receiving using multiple antennas. MIMO provides spatial multiplexing i.e sending different data streams transmitted in parallel over separate antennas. MIMO could be used to increase the throughput. As per the need </w:t>
      </w:r>
      <w:r w:rsidR="005F5F61" w:rsidRPr="004C3B1D">
        <w:rPr>
          <w:rFonts w:ascii="Arial" w:eastAsia="Times New Roman" w:hAnsi="Arial" w:cs="Arial"/>
          <w:color w:val="333333"/>
          <w:sz w:val="21"/>
          <w:szCs w:val="21"/>
          <w:lang w:eastAsia="sv-SE"/>
        </w:rPr>
        <w:t>2 x 2, 4 x 2, or 4 x 4 antenna</w:t>
      </w:r>
      <w:r w:rsidR="005F5F61">
        <w:rPr>
          <w:rFonts w:ascii="Arial" w:eastAsia="Times New Roman" w:hAnsi="Arial" w:cs="Arial"/>
          <w:color w:val="333333"/>
          <w:sz w:val="21"/>
          <w:szCs w:val="21"/>
          <w:lang w:eastAsia="sv-SE"/>
        </w:rPr>
        <w:t>s</w:t>
      </w:r>
      <w:r w:rsidR="005F5F61" w:rsidRPr="004C3B1D">
        <w:rPr>
          <w:rFonts w:ascii="Arial" w:eastAsia="Times New Roman" w:hAnsi="Arial" w:cs="Arial"/>
          <w:color w:val="333333"/>
          <w:sz w:val="21"/>
          <w:szCs w:val="21"/>
          <w:lang w:eastAsia="sv-SE"/>
        </w:rPr>
        <w:t xml:space="preserve"> can be used.</w:t>
      </w:r>
    </w:p>
    <w:p w14:paraId="626D890A" w14:textId="57C0A042" w:rsidR="0087582F" w:rsidRDefault="0087582F" w:rsidP="007C655F">
      <w:pPr>
        <w:pStyle w:val="NewNormal"/>
        <w:rPr>
          <w:lang w:eastAsia="sv-SE"/>
        </w:rPr>
      </w:pPr>
      <w:r>
        <w:t>. The basic time and frequency unit in the DL (UL) is one OFDM (SC-FDM) symbol and one subcarrier (virtual subcarrier), respectively. The subcarrier spacing is 15 kHz and therefore, the OFDM symbol duration is 66.67 us. Each OFDM/SC-FDM symbol is pre-appended with a cyclic prefix (CP) to suppress the inter-symbol interference and mitigate multi-path. Two CP durations are defined; the normal CP has a duration of 4.7 us and the extended CP has a duration of 16 us. One resource element corresponds to one subcarrier (virtual subcarrier) in one OFDM (SC-FDM) symbol. OFDM (SCFDM) symbols are grouped in subframes of 1 ms duration. Each subframe is composed of two 0.5 ms slots. In order to limit the signaling overhead of data allocations, the minimum scheduling unit for the DL and UL of LTE is referred to as a resource block (RB). One RB pair consists of 12 subcarriers in the frequency domain (i.e., 180 kHz) and one subframe in the time domain (i.e., 1 ms). In the DL, all the control information is time-division multiplexed (TDM) with the data transmission. The DL control information is concentrated in the first slot of the first subframe, and dynamically spans the first one, two, or three OFDM symbols of the subframe. Subframes are further grouped in 10 ms radio frames. Figure 3 illustrates the physical layer frame structure for FDD. Each radio frame has two 5 ms halves containing the signals necessary to obtain the physical identity of the cell. These signals are what we call the acquisition channels, which are the primary and secondary synchronization signals, providing the physical cell identity (PCI) of the cell, and the physical broadcast channel (PBCH), which provides some critical system information such as the DL transmission bandwidth and the number of DL antenna ports. The acquisition channels share the property of spanning the middle six RBs of the system bandwidth. This enables having the same acquisition channels irrespective of the actual system bandwidth (up to 20 MHz is supported for Rel-8). LTE defines a reference or pilot signal in Rel-8, referred to as a common reference signal (CRS), which is used for mobility measurements as well as for demodulation of the DL control and data channels. The CRS transmission is distributed in time and frequency, as shown in Fig. 3, to enable adequate time and frequency interpolation of the channel estimates for the purpose of coherent reception of the transmitted signals in time- and frequency-selective channels. As discussed later, co-channel deployments of heterogeneous networks rely on the coordination of almost blank subframes. Almost blank subframes are intended to reduce the interference created by the transmitting node while providing full legacy support. For that reason, on almost blank subframes, eNB does not schedule unicast traffic while transmitting acquisition channels and CRS to provide legacy support. 3GPP has been working on further improving the spectral efficiency of LTE as part of its Rel- 10 version. LTE Rel-10 is being developed to meet ITU requirements for IMT-Advanced technology. LTE Rel-10 [19], also termed LTEAdvanced (LTE-A), supports improved MIMO operation as DL MIMO support is enhanced (8 Tx × 8 Rx is supported), and UL MIMO (4 Tx × 4 Rx) is introduced to improve link spectral efficiency. Signaling mechanisms enabling aggregation of multiple carriers are also introduced in LTE Rel-10, offering improvements in peak user data throughput. Up to five 20-MHz component carriers can be aggregated, offering a peak data rate of more than 1 Gb/s. However, these improvements, while significant from the link perspective and for users in good coverage, or in terms of the peak data rates for lightly loaded systems, do not translate into significant improvements in terms of system spectral efficiency in bits per second per Hertz. System gains are only achievable through increased node density and deployment of low-power nodes, such as pico, femto, and relay base stations.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t xml:space="preserve">Power Model </w:t>
      </w:r>
    </w:p>
    <w:p w14:paraId="5DE4B74D" w14:textId="77777777" w:rsidR="008C4D1F" w:rsidRDefault="007C655F" w:rsidP="00CE33CE">
      <w:pPr>
        <w:pStyle w:val="NewHeading2"/>
      </w:pPr>
      <w:r>
        <w:t>EARTH Power Model</w:t>
      </w:r>
    </w:p>
    <w:p w14:paraId="2A58F332" w14:textId="77777777" w:rsidR="00D06215" w:rsidRDefault="00D06215" w:rsidP="00D06215">
      <w:pPr>
        <w:pStyle w:val="NewNormal"/>
        <w:rPr>
          <w:lang w:eastAsia="sv-SE"/>
        </w:rPr>
      </w:pPr>
      <w:r>
        <w:rPr>
          <w:lang w:eastAsia="sv-SE"/>
        </w:rPr>
        <w:t xml:space="preserve">Power Model </w:t>
      </w:r>
      <w:r>
        <w:rPr>
          <w:lang w:eastAsia="sv-SE"/>
        </w:rPr>
        <w:fldChar w:fldCharType="begin" w:fldLock="1"/>
      </w:r>
      <w:r w:rsidR="002E6780">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lang w:eastAsia="sv-SE"/>
        </w:rPr>
        <w:fldChar w:fldCharType="separate"/>
      </w:r>
      <w:r w:rsidR="007C2325" w:rsidRPr="007C2325">
        <w:rPr>
          <w:noProof/>
          <w:lang w:eastAsia="sv-SE"/>
        </w:rPr>
        <w:t>(Auer et al., n.d.)</w:t>
      </w:r>
      <w:r>
        <w:rPr>
          <w:lang w:eastAsia="sv-SE"/>
        </w:rPr>
        <w:fldChar w:fldCharType="end"/>
      </w:r>
    </w:p>
    <w:p w14:paraId="3176800F" w14:textId="77777777" w:rsidR="00D06215" w:rsidRDefault="00D06215" w:rsidP="00D06215">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14:paraId="2A1B9073" w14:textId="77777777" w:rsidR="00D06215" w:rsidRDefault="00D06215" w:rsidP="00D06215">
      <w:pPr>
        <w:pStyle w:val="NewNormal"/>
      </w:pPr>
      <w:r>
        <w:t>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14:paraId="7E814CD0" w14:textId="77777777" w:rsidR="00D06215" w:rsidRDefault="00D06215" w:rsidP="00D06215">
      <w:pPr>
        <w:pStyle w:val="NewNormal"/>
        <w:rPr>
          <w:lang w:eastAsia="sv-SE"/>
        </w:rPr>
      </w:pPr>
      <w:r>
        <w:t>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14:paraId="3A3013B2" w14:textId="77777777" w:rsidR="005068E8" w:rsidRPr="003D60D0" w:rsidRDefault="005068E8" w:rsidP="005068E8">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617055D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D996867"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71470EB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14:paraId="4E0C270C"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a micro node in EARTH corresponds to a pico node here.</w:t>
      </w:r>
    </w:p>
    <w:p w14:paraId="4342C36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734F7AFE"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4B2E590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C1A845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3054B250"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3C49685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67341A0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14:paraId="54D6A11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48EF759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257F8B4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290E358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21291C25" w14:textId="77777777" w:rsidR="005068E8" w:rsidRPr="003D60D0" w:rsidRDefault="005068E8" w:rsidP="005068E8">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297A94" w14:textId="77777777" w:rsidR="005068E8" w:rsidRPr="003D60D0" w:rsidRDefault="005068E8" w:rsidP="005068E8">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6F505003" w14:textId="77777777" w:rsidR="005068E8" w:rsidRPr="003D60D0" w:rsidRDefault="005068E8" w:rsidP="005068E8">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14:paraId="771A718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4C8264B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415EB97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69FED7A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14:paraId="70A453C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6B2EA38D" w14:textId="77777777" w:rsidR="005068E8" w:rsidRPr="00391812" w:rsidRDefault="005068E8" w:rsidP="005068E8">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14:paraId="77454324" w14:textId="77777777" w:rsidR="005068E8" w:rsidRPr="00391812" w:rsidRDefault="005068E8" w:rsidP="005068E8">
      <w:pPr>
        <w:rPr>
          <w:rFonts w:ascii="NimbusRomNo9L-Regu" w:eastAsia="NimbusRomNo9L-Regu" w:hAnsi="NimbusRomNo9L-ReguItal" w:cs="NimbusRomNo9L-Regu"/>
          <w:sz w:val="20"/>
          <w:szCs w:val="20"/>
        </w:rPr>
      </w:pPr>
    </w:p>
    <w:p w14:paraId="372DC41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71C7DA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B146D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9C9282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5158B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16A0FD3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391F9E6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0D0C59F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is no data nor signalling transmission to perform, as shown</w:t>
      </w:r>
    </w:p>
    <w:p w14:paraId="2DE51BD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49692A1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281B12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24758F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D15419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438195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5D613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75E1270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14:paraId="59A222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C2129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14:paraId="5F51F2D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65DDED1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0DDE1E3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1D39218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3C82F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21C6CA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14:paraId="62482C9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05E2A44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14:paraId="62C5C77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5882ABA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7FFE3B6"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1ECF7FE1"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1969AE83"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06588DEB"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E4917F0"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25280212"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0AE422A4"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6D11A699" w14:textId="77777777" w:rsidR="005068E8" w:rsidRPr="00803D03" w:rsidRDefault="005068E8" w:rsidP="005068E8">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59311E3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4C5FF2C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17F17F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26C3AE6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3C07A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0DACAE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349DB1D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20BD4B4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18FD63B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4BE65E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FB245D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552E9A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77D9E1F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7CBE55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14:paraId="2CD11CCD"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6D4AB8E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66A4D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DE741B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0BD0A44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5E3C1F3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4386B4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21BC41A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4E305D5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078D3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265A995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7CBA0C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0889FF0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310948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14:paraId="4C1DB7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2B04142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568649B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14:paraId="78C64BF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6A5C365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6E9C8C4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06BE6B3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5224EF4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6DFC7B1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w:t>
      </w:r>
      <w:r>
        <w:rPr>
          <w:rFonts w:ascii="NimbusRomNo9L-Regu" w:eastAsia="NimbusRomNo9L-Regu" w:cs="NimbusRomNo9L-Regu"/>
          <w:sz w:val="20"/>
          <w:szCs w:val="20"/>
        </w:rPr>
        <w:t xml:space="preserve"> </w:t>
      </w:r>
      <w:r w:rsidRPr="00803D03">
        <w:rPr>
          <w:rFonts w:ascii="NimbusRomNo9L-Regu" w:eastAsia="NimbusRomNo9L-Regu" w:cs="NimbusRomNo9L-Regu"/>
          <w:sz w:val="20"/>
          <w:szCs w:val="20"/>
        </w:rPr>
        <w:t>educes its power consumption only between two CRS</w:t>
      </w:r>
    </w:p>
    <w:p w14:paraId="0A0BFF3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949FE2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76A7E1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14:paraId="2186BD1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49101336"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08BDD6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14:paraId="75E974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836320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722A49A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14:paraId="5B576E7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4435C870" w14:textId="77777777" w:rsidR="005068E8" w:rsidRPr="00391812" w:rsidRDefault="005068E8" w:rsidP="005068E8">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5E57382B" w14:textId="77777777" w:rsidR="005068E8" w:rsidRPr="00391812" w:rsidRDefault="005068E8" w:rsidP="005068E8">
      <w:pPr>
        <w:rPr>
          <w:rFonts w:ascii="NimbusRomNo9L-Regu" w:eastAsia="NimbusRomNo9L-Regu" w:cs="NimbusRomNo9L-Regu"/>
          <w:sz w:val="20"/>
          <w:szCs w:val="20"/>
        </w:rPr>
      </w:pPr>
    </w:p>
    <w:p w14:paraId="5312AE6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14:paraId="0EB964A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14:paraId="795766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14:paraId="29065A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73CB100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14:paraId="5033D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7025494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177FF0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14:paraId="537EB2C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3E9DB8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14:paraId="43C21DF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14:paraId="090435C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14:paraId="019074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14:paraId="1DE198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72AB58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326D28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14:paraId="20AB3A4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63E6F6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14:paraId="2E7C34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6DF7631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14:paraId="46A1AA4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14:paraId="430EF4F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2FD842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14:paraId="167E1C7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7F17347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384458E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14:paraId="31144FA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734034B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14:paraId="0133778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2E7C185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69BE3C8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4224457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0488EC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13D652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14:paraId="201778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3F6FBE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3CE55C8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14:paraId="461A9F5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14:paraId="065FF5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14:paraId="2A488D6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3C664D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14:paraId="3BBF308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14:paraId="30B591D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40A8ED66" w14:textId="77777777" w:rsidR="005068E8" w:rsidRDefault="005068E8" w:rsidP="005068E8">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Mohd. Usman </w:t>
      </w:r>
    </w:p>
    <w:p w14:paraId="1695FFB0" w14:textId="77777777" w:rsidR="009014DD" w:rsidRPr="009014DD" w:rsidRDefault="009014DD" w:rsidP="009014DD">
      <w:pPr>
        <w:pStyle w:val="NewNormal"/>
      </w:pPr>
      <w:r>
        <w:t xml:space="preserve">D. Power Consumption Model In our power consumption analysis of different heterogeneous deployment strategies, we have used the power consumption model proposed in [2]. Here, power consumption of a base station is modeled as a linear function of average radiated power per site as below: Pi = L.(aiPtx + bi) (6) where Pi and Ptx denote the average consumed power per base station and radiated power respectively. The coefficient ai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the network is fully loaded, L is equal to one, i.e., each base station has at least one mobile requesting data with all resources allocated. TABLE I POWER CONSUMPTION PARAMETERS Base Station Type ai bi Macro 21.45 354.44 Micro 7.84 71.50 Pico 5.5 38 WLAN 3.2 10.2 1000 1500 2000 2500 3000 3500 4000 0 500 1000 1500 2000 2500 3000 3500 Distance (m) Area Power Consumption (Watt/km2 ) macro macro + 3 macro macro + 5 macro macro + 3 micro macro + 5 micro macro + 3 pico macro + 5 pico macro + 3 wlan macro + 5 wlan (a) Area power consumption as a function of intersite distance 1000 1500 2000 2500 3000 3500 4000 0 0.5 1 1.5 2 2.5 3 3.5 4 4.5 5 Distance (m) Area Spectral Efficiency (bits/s/Hz/km2 ) macro macro + 3 macro macro + 5 macro macro + 3 micro macro + 5 micro macro + 3 pico macro + 5 pico macro + 3 wlan macro + 5 wlan (b) Area spectral efficiency as a function of intersite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pico base stations and WLAN, the parameters are chosen as in Table I. Total power consumption of each heterogeneous network, P, is calculated as follow: P = $m i NiPi (7) where m is the number of base station types in the network, Ni is the number of i. type of base station and Pi is the power consumption of that base station which is calculated via (6). To be able to make a fair comparison, area power consumption is used as a performance measure which is given by 710 P = P A = %m i NiPi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48B11018" w:rsidR="00804EDB" w:rsidRDefault="00D06215" w:rsidP="007948E6">
      <w:pPr>
        <w:pStyle w:val="NewHeading1"/>
      </w:pPr>
      <w:r>
        <w:t>Simulation setup</w:t>
      </w:r>
    </w:p>
    <w:p w14:paraId="4BC3554B" w14:textId="15A7C7B6" w:rsidR="009B55D7" w:rsidRDefault="009B55D7" w:rsidP="009B55D7">
      <w:pPr>
        <w:pStyle w:val="NewNormal"/>
        <w:rPr>
          <w:lang w:eastAsia="sv-SE"/>
        </w:rPr>
      </w:pPr>
    </w:p>
    <w:p w14:paraId="5EC80842" w14:textId="7BD8D1CD" w:rsidR="009B55D7" w:rsidRPr="009B55D7" w:rsidRDefault="009B55D7" w:rsidP="009B55D7">
      <w:pPr>
        <w:pStyle w:val="NewNormal"/>
        <w:rPr>
          <w:lang w:eastAsia="sv-SE"/>
        </w:rPr>
      </w:pPr>
      <w:r>
        <w:rPr>
          <w:lang w:val="sv-SE" w:eastAsia="sv-SE"/>
        </w:rPr>
        <w:fldChar w:fldCharType="begin" w:fldLock="1"/>
      </w:r>
      <w:r w:rsidR="00EB0CA6">
        <w:rPr>
          <w:lang w:eastAsia="sv-SE"/>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lang w:val="sv-SE" w:eastAsia="sv-SE"/>
        </w:rPr>
        <w:fldChar w:fldCharType="separate"/>
      </w:r>
      <w:r w:rsidRPr="009B55D7">
        <w:rPr>
          <w:noProof/>
          <w:lang w:eastAsia="sv-SE"/>
        </w:rPr>
        <w:t>(Rydén, 2016)</w:t>
      </w:r>
      <w:r>
        <w:rPr>
          <w:lang w:val="sv-SE" w:eastAsia="sv-SE"/>
        </w:rPr>
        <w:fldChar w:fldCharType="end"/>
      </w:r>
      <w:r w:rsidRPr="009B55D7">
        <w:rPr>
          <w:lang w:eastAsia="sv-SE"/>
        </w:rPr>
        <w:t>Methodology</w:t>
      </w:r>
    </w:p>
    <w:p w14:paraId="3AF1B2B4" w14:textId="77777777" w:rsidR="009B55D7" w:rsidRPr="009B55D7" w:rsidRDefault="009B55D7" w:rsidP="009B55D7">
      <w:pPr>
        <w:pStyle w:val="NewNormal"/>
        <w:rPr>
          <w:lang w:eastAsia="sv-SE"/>
        </w:rPr>
      </w:pPr>
      <w:r w:rsidRPr="009B55D7">
        <w:rPr>
          <w:lang w:eastAsia="sv-SE"/>
        </w:rPr>
        <w:t>This chapter is organized as follows: section 3.1 briey describes the Ericsson simulator</w:t>
      </w:r>
    </w:p>
    <w:p w14:paraId="65617E5A" w14:textId="77777777" w:rsidR="009B55D7" w:rsidRPr="009B55D7" w:rsidRDefault="009B55D7" w:rsidP="009B55D7">
      <w:pPr>
        <w:pStyle w:val="NewNormal"/>
        <w:rPr>
          <w:lang w:eastAsia="sv-SE"/>
        </w:rPr>
      </w:pPr>
      <w:r w:rsidRPr="009B55D7">
        <w:rPr>
          <w:lang w:eastAsia="sv-SE"/>
        </w:rPr>
        <w:t>and the simulation parameters used. Section 3.2 further describes the propagation models</w:t>
      </w:r>
    </w:p>
    <w:p w14:paraId="6839302A" w14:textId="77777777" w:rsidR="009B55D7" w:rsidRPr="009B55D7" w:rsidRDefault="009B55D7" w:rsidP="009B55D7">
      <w:pPr>
        <w:pStyle w:val="NewNormal"/>
        <w:rPr>
          <w:lang w:eastAsia="sv-SE"/>
        </w:rPr>
      </w:pPr>
      <w:r w:rsidRPr="009B55D7">
        <w:rPr>
          <w:lang w:eastAsia="sv-SE"/>
        </w:rPr>
        <w:t>used by the simulator, before the new outdoor to indoor model is presented in section 3.3.</w:t>
      </w:r>
    </w:p>
    <w:p w14:paraId="74F9A38E" w14:textId="77777777" w:rsidR="009B55D7" w:rsidRPr="009B55D7" w:rsidRDefault="009B55D7" w:rsidP="009B55D7">
      <w:pPr>
        <w:pStyle w:val="NewNormal"/>
        <w:rPr>
          <w:lang w:eastAsia="sv-SE"/>
        </w:rPr>
      </w:pPr>
      <w:r w:rsidRPr="009B55D7">
        <w:rPr>
          <w:lang w:eastAsia="sv-SE"/>
        </w:rPr>
        <w:t>3.1 The Simulator</w:t>
      </w:r>
    </w:p>
    <w:p w14:paraId="280478CC" w14:textId="77777777" w:rsidR="009B55D7" w:rsidRPr="009B55D7" w:rsidRDefault="009B55D7" w:rsidP="009B55D7">
      <w:pPr>
        <w:pStyle w:val="NewNormal"/>
        <w:rPr>
          <w:lang w:eastAsia="sv-SE"/>
        </w:rPr>
      </w:pPr>
      <w:r w:rsidRPr="009B55D7">
        <w:rPr>
          <w:lang w:eastAsia="sv-SE"/>
        </w:rPr>
        <w:t>The simulator used in this thesis is an Ericsson internal, time static LTE system level</w:t>
      </w:r>
    </w:p>
    <w:p w14:paraId="4E9AE77A" w14:textId="77777777" w:rsidR="009B55D7" w:rsidRPr="009B55D7" w:rsidRDefault="009B55D7" w:rsidP="009B55D7">
      <w:pPr>
        <w:pStyle w:val="NewNormal"/>
        <w:rPr>
          <w:lang w:eastAsia="sv-SE"/>
        </w:rPr>
      </w:pPr>
      <w:r w:rsidRPr="009B55D7">
        <w:rPr>
          <w:lang w:eastAsia="sv-SE"/>
        </w:rPr>
        <w:t>network simulator written in Matlab. It o_ers support for various propagation models,</w:t>
      </w:r>
    </w:p>
    <w:p w14:paraId="27AF0418" w14:textId="77777777" w:rsidR="009B55D7" w:rsidRPr="009B55D7" w:rsidRDefault="009B55D7" w:rsidP="009B55D7">
      <w:pPr>
        <w:pStyle w:val="NewNormal"/>
        <w:rPr>
          <w:lang w:eastAsia="sv-SE"/>
        </w:rPr>
      </w:pPr>
      <w:r w:rsidRPr="009B55D7">
        <w:rPr>
          <w:lang w:eastAsia="sv-SE"/>
        </w:rPr>
        <w:t>ranging from fast, statistical models to more computationally demanding, ray-tracing based</w:t>
      </w:r>
    </w:p>
    <w:p w14:paraId="003CDF38" w14:textId="77777777" w:rsidR="009B55D7" w:rsidRPr="009B55D7" w:rsidRDefault="009B55D7" w:rsidP="009B55D7">
      <w:pPr>
        <w:pStyle w:val="NewNormal"/>
        <w:rPr>
          <w:lang w:eastAsia="sv-SE"/>
        </w:rPr>
      </w:pPr>
      <w:r w:rsidRPr="009B55D7">
        <w:rPr>
          <w:lang w:eastAsia="sv-SE"/>
        </w:rPr>
        <w:t>models, as will be further described in the following sections. The fact that it is time static</w:t>
      </w:r>
    </w:p>
    <w:p w14:paraId="3A4C1A4C" w14:textId="77777777" w:rsidR="009B55D7" w:rsidRPr="009B55D7" w:rsidRDefault="009B55D7" w:rsidP="009B55D7">
      <w:pPr>
        <w:pStyle w:val="NewNormal"/>
        <w:rPr>
          <w:lang w:eastAsia="sv-SE"/>
        </w:rPr>
      </w:pPr>
      <w:r w:rsidRPr="009B55D7">
        <w:rPr>
          <w:lang w:eastAsia="sv-SE"/>
        </w:rPr>
        <w:t>is not a limiting factor, as the goal of this thesis is to determine indoor coverage for</w:t>
      </w:r>
    </w:p>
    <w:p w14:paraId="14999CDF" w14:textId="77777777" w:rsidR="009B55D7" w:rsidRPr="009B55D7" w:rsidRDefault="009B55D7" w:rsidP="009B55D7">
      <w:pPr>
        <w:pStyle w:val="NewNormal"/>
        <w:rPr>
          <w:lang w:eastAsia="sv-SE"/>
        </w:rPr>
      </w:pPr>
      <w:r w:rsidRPr="009B55D7">
        <w:rPr>
          <w:lang w:eastAsia="sv-SE"/>
        </w:rPr>
        <w:t>throughout a building oor plan, where users can assumed to be stationary.</w:t>
      </w:r>
    </w:p>
    <w:p w14:paraId="6423CEE8" w14:textId="77777777" w:rsidR="009B55D7" w:rsidRPr="009B55D7" w:rsidRDefault="009B55D7" w:rsidP="009B55D7">
      <w:pPr>
        <w:pStyle w:val="NewNormal"/>
        <w:rPr>
          <w:lang w:eastAsia="sv-SE"/>
        </w:rPr>
      </w:pPr>
      <w:r w:rsidRPr="009B55D7">
        <w:rPr>
          <w:lang w:eastAsia="sv-SE"/>
        </w:rPr>
        <w:t>3.1.1 Ray Tracing</w:t>
      </w:r>
    </w:p>
    <w:p w14:paraId="4CC58774" w14:textId="77777777" w:rsidR="009B55D7" w:rsidRPr="009B55D7" w:rsidRDefault="009B55D7" w:rsidP="009B55D7">
      <w:pPr>
        <w:pStyle w:val="NewNormal"/>
        <w:rPr>
          <w:lang w:eastAsia="sv-SE"/>
        </w:rPr>
      </w:pPr>
      <w:r w:rsidRPr="009B55D7">
        <w:rPr>
          <w:lang w:eastAsia="sv-SE"/>
        </w:rPr>
        <w:t>Ray tracing is a technique to accurately model propagation of high frequency electromagnetic</w:t>
      </w:r>
    </w:p>
    <w:p w14:paraId="50EA3991" w14:textId="77777777" w:rsidR="009B55D7" w:rsidRPr="009B55D7" w:rsidRDefault="009B55D7" w:rsidP="009B55D7">
      <w:pPr>
        <w:pStyle w:val="NewNormal"/>
        <w:rPr>
          <w:lang w:eastAsia="sv-SE"/>
        </w:rPr>
      </w:pPr>
      <w:r w:rsidRPr="009B55D7">
        <w:rPr>
          <w:lang w:eastAsia="sv-SE"/>
        </w:rPr>
        <w:t>waves, by tracing the wave propagation path from a base station (BS) to a user. In</w:t>
      </w:r>
    </w:p>
    <w:p w14:paraId="44AF5401" w14:textId="77777777" w:rsidR="009B55D7" w:rsidRPr="009B55D7" w:rsidRDefault="009B55D7" w:rsidP="009B55D7">
      <w:pPr>
        <w:pStyle w:val="NewNormal"/>
        <w:rPr>
          <w:lang w:eastAsia="sv-SE"/>
        </w:rPr>
      </w:pPr>
      <w:r w:rsidRPr="009B55D7">
        <w:rPr>
          <w:lang w:eastAsia="sv-SE"/>
        </w:rPr>
        <w:t>particular, ray tracing may be used to model the reections with building walls in a city,</w:t>
      </w:r>
    </w:p>
    <w:p w14:paraId="15368C86" w14:textId="77777777" w:rsidR="009B55D7" w:rsidRPr="009B55D7" w:rsidRDefault="009B55D7" w:rsidP="009B55D7">
      <w:pPr>
        <w:pStyle w:val="NewNormal"/>
        <w:rPr>
          <w:lang w:eastAsia="sv-SE"/>
        </w:rPr>
      </w:pPr>
      <w:r w:rsidRPr="009B55D7">
        <w:rPr>
          <w:lang w:eastAsia="sv-SE"/>
        </w:rPr>
        <w:t>or indoor walls in an indoor environment [10]. Since this technique approximates the wave</w:t>
      </w:r>
    </w:p>
    <w:p w14:paraId="68B9A235" w14:textId="77777777" w:rsidR="009B55D7" w:rsidRPr="009B55D7" w:rsidRDefault="009B55D7" w:rsidP="009B55D7">
      <w:pPr>
        <w:pStyle w:val="NewNormal"/>
        <w:rPr>
          <w:lang w:eastAsia="sv-SE"/>
        </w:rPr>
      </w:pPr>
      <w:r w:rsidRPr="009B55D7">
        <w:rPr>
          <w:lang w:eastAsia="sv-SE"/>
        </w:rPr>
        <w:t>front with particle-like ray, wave-like phenomena such as di_raction needs to be modeled</w:t>
      </w:r>
    </w:p>
    <w:p w14:paraId="3490A791" w14:textId="77777777" w:rsidR="009B55D7" w:rsidRPr="009B55D7" w:rsidRDefault="009B55D7" w:rsidP="009B55D7">
      <w:pPr>
        <w:pStyle w:val="NewNormal"/>
        <w:rPr>
          <w:lang w:eastAsia="sv-SE"/>
        </w:rPr>
      </w:pPr>
      <w:r w:rsidRPr="009B55D7">
        <w:rPr>
          <w:lang w:eastAsia="sv-SE"/>
        </w:rPr>
        <w:t>separately. This can for instance be done by replacing the terrain pro_le with absorbing</w:t>
      </w:r>
    </w:p>
    <w:p w14:paraId="2C793720" w14:textId="77777777" w:rsidR="009B55D7" w:rsidRPr="009B55D7" w:rsidRDefault="009B55D7" w:rsidP="009B55D7">
      <w:pPr>
        <w:pStyle w:val="NewNormal"/>
        <w:rPr>
          <w:lang w:eastAsia="sv-SE"/>
        </w:rPr>
      </w:pPr>
      <w:r w:rsidRPr="009B55D7">
        <w:rPr>
          <w:lang w:eastAsia="sv-SE"/>
        </w:rPr>
        <w:t>half-screens [11], and using a recursive model [12].</w:t>
      </w:r>
    </w:p>
    <w:p w14:paraId="41448B1C" w14:textId="77777777" w:rsidR="009B55D7" w:rsidRPr="009B55D7" w:rsidRDefault="009B55D7" w:rsidP="009B55D7">
      <w:pPr>
        <w:pStyle w:val="NewNormal"/>
        <w:rPr>
          <w:lang w:eastAsia="sv-SE"/>
        </w:rPr>
      </w:pPr>
      <w:r w:rsidRPr="009B55D7">
        <w:rPr>
          <w:lang w:eastAsia="sv-SE"/>
        </w:rPr>
        <w:t>3.1.2 Simulation Parameters</w:t>
      </w:r>
    </w:p>
    <w:p w14:paraId="7D998BC2" w14:textId="77777777" w:rsidR="009B55D7" w:rsidRPr="009B55D7" w:rsidRDefault="009B55D7" w:rsidP="009B55D7">
      <w:pPr>
        <w:pStyle w:val="NewNormal"/>
        <w:rPr>
          <w:lang w:eastAsia="sv-SE"/>
        </w:rPr>
      </w:pPr>
      <w:r w:rsidRPr="009B55D7">
        <w:rPr>
          <w:lang w:eastAsia="sv-SE"/>
        </w:rPr>
        <w:t>Since the parameters used in future 5G networks are yet to be determined, parameter</w:t>
      </w:r>
    </w:p>
    <w:p w14:paraId="06938279" w14:textId="77777777" w:rsidR="009B55D7" w:rsidRPr="009B55D7" w:rsidRDefault="009B55D7" w:rsidP="009B55D7">
      <w:pPr>
        <w:pStyle w:val="NewNormal"/>
        <w:rPr>
          <w:lang w:eastAsia="sv-SE"/>
        </w:rPr>
      </w:pPr>
      <w:r w:rsidRPr="009B55D7">
        <w:rPr>
          <w:lang w:eastAsia="sv-SE"/>
        </w:rPr>
        <w:t>assumptions have to be made. The most signi_cant parameters when studying proagation</w:t>
      </w:r>
    </w:p>
    <w:p w14:paraId="64010C22" w14:textId="77777777" w:rsidR="009B55D7" w:rsidRPr="009B55D7" w:rsidRDefault="009B55D7" w:rsidP="009B55D7">
      <w:pPr>
        <w:pStyle w:val="NewNormal"/>
        <w:rPr>
          <w:lang w:eastAsia="sv-SE"/>
        </w:rPr>
      </w:pPr>
      <w:r w:rsidRPr="009B55D7">
        <w:rPr>
          <w:lang w:eastAsia="sv-SE"/>
        </w:rPr>
        <w:t>is the carrier frequency, for which a few candidates exist. For instance, 28 GHz is used</w:t>
      </w:r>
    </w:p>
    <w:p w14:paraId="173B6CB0" w14:textId="77777777" w:rsidR="009B55D7" w:rsidRPr="009B55D7" w:rsidRDefault="009B55D7" w:rsidP="009B55D7">
      <w:pPr>
        <w:pStyle w:val="NewNormal"/>
        <w:rPr>
          <w:lang w:eastAsia="sv-SE"/>
        </w:rPr>
      </w:pPr>
      <w:r w:rsidRPr="009B55D7">
        <w:rPr>
          <w:lang w:eastAsia="sv-SE"/>
        </w:rPr>
        <w:t>in [13]. In this work, a range of frequencies was selected in order to give an idea of how</w:t>
      </w:r>
    </w:p>
    <w:p w14:paraId="5DC56AD6" w14:textId="77777777" w:rsidR="009B55D7" w:rsidRPr="009B55D7" w:rsidRDefault="009B55D7" w:rsidP="009B55D7">
      <w:pPr>
        <w:pStyle w:val="NewNormal"/>
        <w:rPr>
          <w:lang w:eastAsia="sv-SE"/>
        </w:rPr>
      </w:pPr>
      <w:r w:rsidRPr="009B55D7">
        <w:rPr>
          <w:lang w:eastAsia="sv-SE"/>
        </w:rPr>
        <w:t>8</w:t>
      </w:r>
    </w:p>
    <w:p w14:paraId="79A077D8" w14:textId="77777777" w:rsidR="009B55D7" w:rsidRPr="009B55D7" w:rsidRDefault="009B55D7" w:rsidP="009B55D7">
      <w:pPr>
        <w:pStyle w:val="NewNormal"/>
        <w:rPr>
          <w:lang w:eastAsia="sv-SE"/>
        </w:rPr>
      </w:pPr>
      <w:r w:rsidRPr="009B55D7">
        <w:rPr>
          <w:lang w:eastAsia="sv-SE"/>
        </w:rPr>
        <w:t>propagation characteristics change for various frequencies. The frequencies chosen in this</w:t>
      </w:r>
    </w:p>
    <w:p w14:paraId="1C228D16" w14:textId="77777777" w:rsidR="009B55D7" w:rsidRPr="009B55D7" w:rsidRDefault="009B55D7" w:rsidP="009B55D7">
      <w:pPr>
        <w:pStyle w:val="NewNormal"/>
        <w:rPr>
          <w:lang w:eastAsia="sv-SE"/>
        </w:rPr>
      </w:pPr>
      <w:r w:rsidRPr="009B55D7">
        <w:rPr>
          <w:lang w:eastAsia="sv-SE"/>
        </w:rPr>
        <w:t>work are 2, 5, 10 and 30 GHz.</w:t>
      </w:r>
    </w:p>
    <w:p w14:paraId="748B42F4" w14:textId="77777777" w:rsidR="009B55D7" w:rsidRPr="009B55D7" w:rsidRDefault="009B55D7" w:rsidP="009B55D7">
      <w:pPr>
        <w:pStyle w:val="NewNormal"/>
        <w:rPr>
          <w:lang w:eastAsia="sv-SE"/>
        </w:rPr>
      </w:pPr>
      <w:r w:rsidRPr="009B55D7">
        <w:rPr>
          <w:lang w:eastAsia="sv-SE"/>
        </w:rPr>
        <w:t>The EIRP for a 5G system is assumed to be 65 dBi, mostly by the use of large antenna</w:t>
      </w:r>
    </w:p>
    <w:p w14:paraId="1D94932A" w14:textId="77777777" w:rsidR="009B55D7" w:rsidRPr="009B55D7" w:rsidRDefault="009B55D7" w:rsidP="009B55D7">
      <w:pPr>
        <w:pStyle w:val="NewNormal"/>
        <w:rPr>
          <w:lang w:eastAsia="sv-SE"/>
        </w:rPr>
      </w:pPr>
      <w:r w:rsidRPr="009B55D7">
        <w:rPr>
          <w:lang w:eastAsia="sv-SE"/>
        </w:rPr>
        <w:t>arrays to achieve a high beam forming gain. In the simulations, an antenna with 65 degrees</w:t>
      </w:r>
    </w:p>
    <w:p w14:paraId="67DE63EF" w14:textId="77777777" w:rsidR="009B55D7" w:rsidRPr="009B55D7" w:rsidRDefault="009B55D7" w:rsidP="009B55D7">
      <w:pPr>
        <w:pStyle w:val="NewNormal"/>
        <w:rPr>
          <w:lang w:eastAsia="sv-SE"/>
        </w:rPr>
      </w:pPr>
      <w:r w:rsidRPr="009B55D7">
        <w:rPr>
          <w:lang w:eastAsia="sv-SE"/>
        </w:rPr>
        <w:t>horizontal and vertical half power beam width is used to simulate an antenna with many</w:t>
      </w:r>
    </w:p>
    <w:p w14:paraId="59ACB212" w14:textId="77777777" w:rsidR="009B55D7" w:rsidRPr="009B55D7" w:rsidRDefault="009B55D7" w:rsidP="009B55D7">
      <w:pPr>
        <w:pStyle w:val="NewNormal"/>
        <w:rPr>
          <w:lang w:eastAsia="sv-SE"/>
        </w:rPr>
      </w:pPr>
      <w:r w:rsidRPr="009B55D7">
        <w:rPr>
          <w:lang w:eastAsia="sv-SE"/>
        </w:rPr>
        <w:t>beam forming elements. As only PG is studied, and not interference between users, this</w:t>
      </w:r>
    </w:p>
    <w:p w14:paraId="51384C1B" w14:textId="77777777" w:rsidR="009B55D7" w:rsidRPr="009B55D7" w:rsidRDefault="009B55D7" w:rsidP="009B55D7">
      <w:pPr>
        <w:pStyle w:val="NewNormal"/>
        <w:rPr>
          <w:lang w:eastAsia="sv-SE"/>
        </w:rPr>
      </w:pPr>
      <w:r w:rsidRPr="009B55D7">
        <w:rPr>
          <w:lang w:eastAsia="sv-SE"/>
        </w:rPr>
        <w:t>corresponds to being able to steer the beam individually to each user with a high gain.</w:t>
      </w:r>
    </w:p>
    <w:p w14:paraId="77CC9367" w14:textId="77777777" w:rsidR="009B55D7" w:rsidRPr="009B55D7" w:rsidRDefault="009B55D7" w:rsidP="009B55D7">
      <w:pPr>
        <w:pStyle w:val="NewNormal"/>
        <w:rPr>
          <w:lang w:eastAsia="sv-SE"/>
        </w:rPr>
      </w:pPr>
      <w:r w:rsidRPr="009B55D7">
        <w:rPr>
          <w:lang w:eastAsia="sv-SE"/>
        </w:rPr>
        <w:t>To reach the chosen EIRP, a transmit power of 40 W and antenna gain of 19 dBi was</w:t>
      </w:r>
    </w:p>
    <w:p w14:paraId="7E3FD053" w14:textId="77777777" w:rsidR="009B55D7" w:rsidRPr="009B55D7" w:rsidRDefault="009B55D7" w:rsidP="009B55D7">
      <w:pPr>
        <w:pStyle w:val="NewNormal"/>
        <w:rPr>
          <w:lang w:eastAsia="sv-SE"/>
        </w:rPr>
      </w:pPr>
      <w:r w:rsidRPr="009B55D7">
        <w:rPr>
          <w:lang w:eastAsia="sv-SE"/>
        </w:rPr>
        <w:t>assumed. The actual values for a 5G systems will most likely di_er from these, and may</w:t>
      </w:r>
    </w:p>
    <w:p w14:paraId="7127EE5F" w14:textId="77777777" w:rsidR="009B55D7" w:rsidRPr="009B55D7" w:rsidRDefault="009B55D7" w:rsidP="009B55D7">
      <w:pPr>
        <w:pStyle w:val="NewNormal"/>
        <w:rPr>
          <w:lang w:eastAsia="sv-SE"/>
        </w:rPr>
      </w:pPr>
      <w:r w:rsidRPr="009B55D7">
        <w:rPr>
          <w:lang w:eastAsia="sv-SE"/>
        </w:rPr>
        <w:t>also be frequency dependent. However, the EIRP remains the most important measure,</w:t>
      </w:r>
    </w:p>
    <w:p w14:paraId="23F093D8" w14:textId="77777777" w:rsidR="009B55D7" w:rsidRPr="009B55D7" w:rsidRDefault="009B55D7" w:rsidP="009B55D7">
      <w:pPr>
        <w:pStyle w:val="NewNormal"/>
        <w:rPr>
          <w:lang w:eastAsia="sv-SE"/>
        </w:rPr>
      </w:pPr>
      <w:r w:rsidRPr="009B55D7">
        <w:rPr>
          <w:lang w:eastAsia="sv-SE"/>
        </w:rPr>
        <w:t>and it is assumed to be around 65 dBi for 5G systems. To reach an SNR of 0 dB, (2.9)</w:t>
      </w:r>
    </w:p>
    <w:p w14:paraId="5F649D82" w14:textId="77777777" w:rsidR="009B55D7" w:rsidRPr="009B55D7" w:rsidRDefault="009B55D7" w:rsidP="009B55D7">
      <w:pPr>
        <w:pStyle w:val="NewNormal"/>
        <w:rPr>
          <w:lang w:eastAsia="sv-SE"/>
        </w:rPr>
      </w:pPr>
      <w:r w:rsidRPr="009B55D7">
        <w:rPr>
          <w:lang w:eastAsia="sv-SE"/>
        </w:rPr>
        <w:t>gives a minimum PG of -131 dB, which will be de_ned as the threshold for whether a user</w:t>
      </w:r>
    </w:p>
    <w:p w14:paraId="31FB6E7A" w14:textId="77777777" w:rsidR="009B55D7" w:rsidRPr="009B55D7" w:rsidRDefault="009B55D7" w:rsidP="009B55D7">
      <w:pPr>
        <w:pStyle w:val="NewNormal"/>
        <w:rPr>
          <w:lang w:eastAsia="sv-SE"/>
        </w:rPr>
      </w:pPr>
      <w:r w:rsidRPr="009B55D7">
        <w:rPr>
          <w:lang w:eastAsia="sv-SE"/>
        </w:rPr>
        <w:t>is in coverage or not. For this reason, PG will be the measure of performance in this work.</w:t>
      </w:r>
    </w:p>
    <w:p w14:paraId="15CA0787" w14:textId="77777777" w:rsidR="009B55D7" w:rsidRPr="009B55D7" w:rsidRDefault="009B55D7" w:rsidP="009B55D7">
      <w:pPr>
        <w:pStyle w:val="NewNormal"/>
        <w:rPr>
          <w:lang w:eastAsia="sv-SE"/>
        </w:rPr>
      </w:pPr>
      <w:r w:rsidRPr="009B55D7">
        <w:rPr>
          <w:lang w:eastAsia="sv-SE"/>
        </w:rPr>
        <w:t>The simulation parameters are summarized in table 3.1.</w:t>
      </w:r>
    </w:p>
    <w:p w14:paraId="028F8B48" w14:textId="77777777" w:rsidR="009B55D7" w:rsidRPr="009B55D7" w:rsidRDefault="009B55D7" w:rsidP="009B55D7">
      <w:pPr>
        <w:pStyle w:val="NewNormal"/>
        <w:rPr>
          <w:lang w:eastAsia="sv-SE"/>
        </w:rPr>
      </w:pPr>
      <w:r w:rsidRPr="009B55D7">
        <w:rPr>
          <w:lang w:eastAsia="sv-SE"/>
        </w:rPr>
        <w:t>Table 3.1: System parameters.</w:t>
      </w:r>
    </w:p>
    <w:p w14:paraId="57DEF656" w14:textId="77777777" w:rsidR="009B55D7" w:rsidRPr="009B55D7" w:rsidRDefault="009B55D7" w:rsidP="009B55D7">
      <w:pPr>
        <w:pStyle w:val="NewNormal"/>
        <w:rPr>
          <w:lang w:eastAsia="sv-SE"/>
        </w:rPr>
      </w:pPr>
      <w:r w:rsidRPr="009B55D7">
        <w:rPr>
          <w:lang w:eastAsia="sv-SE"/>
        </w:rPr>
        <w:t>Frequency [GHz] 2, 5, 10 and 30</w:t>
      </w:r>
    </w:p>
    <w:p w14:paraId="1F9D2F64" w14:textId="77777777" w:rsidR="009B55D7" w:rsidRPr="009B55D7" w:rsidRDefault="009B55D7" w:rsidP="009B55D7">
      <w:pPr>
        <w:pStyle w:val="NewNormal"/>
        <w:rPr>
          <w:lang w:eastAsia="sv-SE"/>
        </w:rPr>
      </w:pPr>
      <w:r w:rsidRPr="009B55D7">
        <w:rPr>
          <w:lang w:eastAsia="sv-SE"/>
        </w:rPr>
        <w:t>Transmit power, BS [dBm] 46</w:t>
      </w:r>
    </w:p>
    <w:p w14:paraId="6C2FDA41" w14:textId="77777777" w:rsidR="009B55D7" w:rsidRPr="009B55D7" w:rsidRDefault="009B55D7" w:rsidP="009B55D7">
      <w:pPr>
        <w:pStyle w:val="NewNormal"/>
        <w:rPr>
          <w:lang w:eastAsia="sv-SE"/>
        </w:rPr>
      </w:pPr>
      <w:r w:rsidRPr="009B55D7">
        <w:rPr>
          <w:lang w:eastAsia="sv-SE"/>
        </w:rPr>
        <w:t>Antenna gain (BS) [dBi] 19</w:t>
      </w:r>
    </w:p>
    <w:p w14:paraId="02D4E208" w14:textId="77777777" w:rsidR="009B55D7" w:rsidRPr="009B55D7" w:rsidRDefault="009B55D7" w:rsidP="009B55D7">
      <w:pPr>
        <w:pStyle w:val="NewNormal"/>
        <w:rPr>
          <w:lang w:eastAsia="sv-SE"/>
        </w:rPr>
      </w:pPr>
      <w:r w:rsidRPr="009B55D7">
        <w:rPr>
          <w:lang w:eastAsia="sv-SE"/>
        </w:rPr>
        <w:t>Noise _gure, DL [dB] 9</w:t>
      </w:r>
    </w:p>
    <w:p w14:paraId="3BF00E78" w14:textId="77777777" w:rsidR="009B55D7" w:rsidRPr="009B55D7" w:rsidRDefault="009B55D7" w:rsidP="009B55D7">
      <w:pPr>
        <w:pStyle w:val="NewNormal"/>
        <w:rPr>
          <w:lang w:eastAsia="sv-SE"/>
        </w:rPr>
      </w:pPr>
      <w:r w:rsidRPr="009B55D7">
        <w:rPr>
          <w:lang w:eastAsia="sv-SE"/>
        </w:rPr>
        <w:t>EIRP (BS) [dBi] 65</w:t>
      </w:r>
    </w:p>
    <w:p w14:paraId="0367E8F7" w14:textId="77777777" w:rsidR="009B55D7" w:rsidRPr="009B55D7" w:rsidRDefault="009B55D7" w:rsidP="009B55D7">
      <w:pPr>
        <w:pStyle w:val="NewNormal"/>
        <w:rPr>
          <w:lang w:eastAsia="sv-SE"/>
        </w:rPr>
      </w:pPr>
      <w:r w:rsidRPr="009B55D7">
        <w:rPr>
          <w:lang w:eastAsia="sv-SE"/>
        </w:rPr>
        <w:t>Horizontal beam width, BS [deg] 65</w:t>
      </w:r>
    </w:p>
    <w:p w14:paraId="44610E44" w14:textId="77777777" w:rsidR="009B55D7" w:rsidRPr="009B55D7" w:rsidRDefault="009B55D7" w:rsidP="009B55D7">
      <w:pPr>
        <w:pStyle w:val="NewNormal"/>
        <w:rPr>
          <w:lang w:eastAsia="sv-SE"/>
        </w:rPr>
      </w:pPr>
      <w:r w:rsidRPr="009B55D7">
        <w:rPr>
          <w:lang w:eastAsia="sv-SE"/>
        </w:rPr>
        <w:t>Vertical beam width, BS [deg] 65</w:t>
      </w:r>
    </w:p>
    <w:p w14:paraId="60A550A8" w14:textId="5A6D2BEE" w:rsidR="009B55D7" w:rsidRPr="009B55D7" w:rsidRDefault="009B55D7" w:rsidP="009B55D7">
      <w:pPr>
        <w:pStyle w:val="NewNormal"/>
        <w:rPr>
          <w:lang w:eastAsia="sv-SE"/>
        </w:rPr>
      </w:pPr>
      <w:r w:rsidRPr="009B55D7">
        <w:rPr>
          <w:lang w:val="sv-SE" w:eastAsia="sv-SE"/>
        </w:rPr>
        <w:t>3.2 Propagation</w:t>
      </w:r>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inside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55D03AF2" w:rsidR="00756AC4" w:rsidRDefault="00D06215" w:rsidP="00D06215">
      <w:pPr>
        <w:pStyle w:val="NewHeading1"/>
      </w:pPr>
      <w:r>
        <w:t>Conclusion</w:t>
      </w:r>
    </w:p>
    <w:p w14:paraId="5675A95B" w14:textId="575249EE" w:rsidR="001874E4" w:rsidRPr="00270B46" w:rsidRDefault="00270B46" w:rsidP="001874E4">
      <w:pPr>
        <w:autoSpaceDE w:val="0"/>
        <w:autoSpaceDN w:val="0"/>
        <w:adjustRightInd w:val="0"/>
        <w:spacing w:after="0" w:line="240" w:lineRule="auto"/>
        <w:rPr>
          <w:rFonts w:ascii="Dutch801BT-Roman" w:hAnsi="Dutch801BT-Roman" w:cs="Dutch801BT-Roman"/>
          <w:sz w:val="18"/>
          <w:szCs w:val="18"/>
        </w:rPr>
      </w:pPr>
      <w:r>
        <w:rPr>
          <w:lang w:eastAsia="sv-SE"/>
        </w:rPr>
        <w:fldChar w:fldCharType="begin" w:fldLock="1"/>
      </w:r>
      <w:r w:rsidR="00353705">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Pr>
          <w:lang w:eastAsia="sv-SE"/>
        </w:rPr>
        <w:fldChar w:fldCharType="separate"/>
      </w:r>
      <w:r w:rsidRPr="00270B46">
        <w:rPr>
          <w:noProof/>
          <w:lang w:eastAsia="sv-SE"/>
        </w:rPr>
        <w:t>(Yunas et al., 2015)</w:t>
      </w:r>
      <w:r>
        <w:rPr>
          <w:lang w:eastAsia="sv-SE"/>
        </w:rPr>
        <w:fldChar w:fldCharType="end"/>
      </w:r>
      <w:r w:rsidR="001874E4" w:rsidRPr="00270B46">
        <w:rPr>
          <w:rFonts w:ascii="Dutch801BT-Roman" w:hAnsi="Dutch801BT-Roman" w:cs="Dutch801BT-Roman"/>
          <w:sz w:val="18"/>
          <w:szCs w:val="18"/>
        </w:rPr>
        <w:t>In this article, we have studied the performance</w:t>
      </w:r>
    </w:p>
    <w:p w14:paraId="7AEEDDB3" w14:textId="77777777" w:rsidR="001874E4" w:rsidRPr="00270B46" w:rsidRDefault="001874E4" w:rsidP="00EC164E">
      <w:pPr>
        <w:autoSpaceDE w:val="0"/>
        <w:autoSpaceDN w:val="0"/>
        <w:adjustRightInd w:val="0"/>
        <w:spacing w:after="0" w:line="240" w:lineRule="auto"/>
        <w:ind w:firstLine="1304"/>
        <w:rPr>
          <w:rFonts w:ascii="Dutch801BT-Roman" w:hAnsi="Dutch801BT-Roman" w:cs="Dutch801BT-Roman"/>
          <w:sz w:val="18"/>
          <w:szCs w:val="18"/>
        </w:rPr>
      </w:pPr>
      <w:r w:rsidRPr="00270B46">
        <w:rPr>
          <w:rFonts w:ascii="Dutch801BT-Roman" w:hAnsi="Dutch801BT-Roman" w:cs="Dutch801BT-Roman"/>
          <w:sz w:val="18"/>
          <w:szCs w:val="18"/>
        </w:rPr>
        <w:t>of DenseNets from different deployment strategies’</w:t>
      </w:r>
    </w:p>
    <w:p w14:paraId="38BC0D78"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perspectives covering classical macro layer</w:t>
      </w:r>
    </w:p>
    <w:p w14:paraId="215D8EB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densification, the extremely dense indoor femto</w:t>
      </w:r>
    </w:p>
    <w:p w14:paraId="1D39897B"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layer and outdoor dynamic distributed antenna</w:t>
      </w:r>
    </w:p>
    <w:p w14:paraId="435BFC9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system. The macrocell and ultra dense small cell</w:t>
      </w:r>
    </w:p>
    <w:p w14:paraId="3AF5FC9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deployment strategies have been evaluated from</w:t>
      </w:r>
    </w:p>
    <w:p w14:paraId="09E79DC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the cell spectrum efficiency, network spectrum</w:t>
      </w:r>
    </w:p>
    <w:p w14:paraId="159D616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efficiency, and network energy efficiency perspectives</w:t>
      </w:r>
    </w:p>
    <w:p w14:paraId="51AE21B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with an extreme level of densification</w:t>
      </w:r>
    </w:p>
    <w:p w14:paraId="204FD13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under full network load conditions to investigate</w:t>
      </w:r>
    </w:p>
    <w:p w14:paraId="3119976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demonstrate the performance differences</w:t>
      </w:r>
    </w:p>
    <w:p w14:paraId="3DD2FAC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of these solutions when pushed to their</w:t>
      </w:r>
    </w:p>
    <w:p w14:paraId="61EB7763"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capacity limits. The obtained results indicate that</w:t>
      </w:r>
    </w:p>
    <w:p w14:paraId="214FFBA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dedicated indoor solutions with densely deployed</w:t>
      </w:r>
    </w:p>
    <w:p w14:paraId="1476756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femtocells are much more spectrum-efficient</w:t>
      </w:r>
    </w:p>
    <w:p w14:paraId="1F83100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energy-efficient approaches to address the</w:t>
      </w:r>
    </w:p>
    <w:p w14:paraId="020A3F40"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enormous indoor capacity demands compared to</w:t>
      </w:r>
    </w:p>
    <w:p w14:paraId="5E292CE6" w14:textId="77777777" w:rsidR="001874E4" w:rsidRDefault="001874E4" w:rsidP="001874E4">
      <w:pPr>
        <w:autoSpaceDE w:val="0"/>
        <w:autoSpaceDN w:val="0"/>
        <w:adjustRightInd w:val="0"/>
        <w:spacing w:after="0" w:line="240" w:lineRule="auto"/>
        <w:rPr>
          <w:rFonts w:ascii="Dutch801BT-Roman" w:hAnsi="Dutch801BT-Roman" w:cs="Dutch801BT-Roman"/>
          <w:sz w:val="18"/>
          <w:szCs w:val="18"/>
          <w:lang w:val="sv-SE"/>
        </w:rPr>
      </w:pPr>
      <w:r w:rsidRPr="00270B46">
        <w:rPr>
          <w:rFonts w:ascii="Dutch801BT-Roman" w:hAnsi="Dutch801BT-Roman" w:cs="Dutch801BT-Roman"/>
          <w:sz w:val="18"/>
          <w:szCs w:val="18"/>
        </w:rPr>
        <w:t xml:space="preserve">densifying the outdoor macro layer. </w:t>
      </w:r>
      <w:r>
        <w:rPr>
          <w:rFonts w:ascii="Dutch801BT-Roman" w:hAnsi="Dutch801BT-Roman" w:cs="Dutch801BT-Roman"/>
          <w:sz w:val="18"/>
          <w:szCs w:val="18"/>
          <w:lang w:val="sv-SE"/>
        </w:rPr>
        <w:t>Hence, we</w:t>
      </w:r>
    </w:p>
    <w:p w14:paraId="6CAC6BAA"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can conclude that to counter the growing concerns</w:t>
      </w:r>
    </w:p>
    <w:p w14:paraId="2DAB501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of the mobile operators related to the</w:t>
      </w:r>
    </w:p>
    <w:p w14:paraId="202D766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exponentially increasing amounts of mobile data</w:t>
      </w:r>
    </w:p>
    <w:p w14:paraId="0B2314C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toward the 5G era, an appealing solution is to</w:t>
      </w:r>
    </w:p>
    <w:p w14:paraId="5BE19A5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deploy dedicated indoor solutions like femtocells,</w:t>
      </w:r>
    </w:p>
    <w:p w14:paraId="78EBF43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which offer a cost-effective and energy-efficient</w:t>
      </w:r>
    </w:p>
    <w:p w14:paraId="0F03F92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solution for indoor capacity demands. Also,</w:t>
      </w:r>
    </w:p>
    <w:p w14:paraId="267A490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indoor-to-outdoor service provisioning</w:t>
      </w:r>
    </w:p>
    <w:p w14:paraId="3C504EA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the mobile operators can partially</w:t>
      </w:r>
    </w:p>
    <w:p w14:paraId="6FE771CD"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leverage indoor-based femtocells to provide certain</w:t>
      </w:r>
    </w:p>
    <w:p w14:paraId="1D05CAB3"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neighborhood coverage to low-mobility outdoor</w:t>
      </w:r>
    </w:p>
    <w:p w14:paraId="023DE70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users, thereby offloading some of the traffic</w:t>
      </w:r>
    </w:p>
    <w:p w14:paraId="1BD3F12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outdoor layer. This strategy can result</w:t>
      </w:r>
    </w:p>
    <w:p w14:paraId="2CD6115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 significant cost saving for mobile operators.</w:t>
      </w:r>
    </w:p>
    <w:p w14:paraId="2B64611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Finally, from the outdoor service provisioning</w:t>
      </w:r>
    </w:p>
    <w:p w14:paraId="44ECABE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we have introduced and analyzed</w:t>
      </w:r>
    </w:p>
    <w:p w14:paraId="468CB2B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the dynamic outdoor DAS concept, which offers</w:t>
      </w:r>
    </w:p>
    <w:p w14:paraId="1EB1B80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 efficient and capacity-adaptive solution to</w:t>
      </w:r>
    </w:p>
    <w:p w14:paraId="22ECD2C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provide outdoor capacity on demand in urban</w:t>
      </w:r>
    </w:p>
    <w:p w14:paraId="72601DD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areas by dynamically configuring the remote</w:t>
      </w:r>
    </w:p>
    <w:p w14:paraId="6C66E99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antenna units to either act as individual small</w:t>
      </w:r>
    </w:p>
    <w:p w14:paraId="431B861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cells or distributed nodes of a common central</w:t>
      </w:r>
    </w:p>
    <w:p w14:paraId="11F40A8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 One main purpose of this article is to raise</w:t>
      </w:r>
    </w:p>
    <w:p w14:paraId="5A44C5A4"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awareness of the full network-level energy efficiency</w:t>
      </w:r>
    </w:p>
    <w:p w14:paraId="1B5F144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and spectrum efficiency potential of dedicated</w:t>
      </w:r>
    </w:p>
    <w:p w14:paraId="299A7AC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indoor systems, on one side, especially</w:t>
      </w:r>
    </w:p>
    <w:p w14:paraId="266515F6"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with increasing levels of wall penetration losses</w:t>
      </w:r>
    </w:p>
    <w:p w14:paraId="0F0846E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observed recently in modern buildings, and the</w:t>
      </w:r>
    </w:p>
    <w:p w14:paraId="4B94B8C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reconfigurable capacity provisioning prospects of</w:t>
      </w:r>
    </w:p>
    <w:p w14:paraId="238262BF"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dynamic DAS solutions also closely connected to</w:t>
      </w:r>
    </w:p>
    <w:p w14:paraId="307237C6" w14:textId="5C12FDCB" w:rsidR="001874E4" w:rsidRPr="001874E4" w:rsidRDefault="001874E4" w:rsidP="001874E4">
      <w:pPr>
        <w:pStyle w:val="NewNormal"/>
        <w:rPr>
          <w:lang w:eastAsia="sv-SE"/>
        </w:rPr>
      </w:pPr>
      <w:r w:rsidRPr="001874E4">
        <w:rPr>
          <w:rFonts w:ascii="Dutch801BT-Roman" w:hAnsi="Dutch801BT-Roman" w:cs="Dutch801BT-Roman"/>
          <w:sz w:val="18"/>
          <w:szCs w:val="18"/>
        </w:rPr>
        <w:t>the emerging cloud-RAN concepts in the future.</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t>References</w:t>
      </w:r>
      <w:bookmarkEnd w:id="16"/>
      <w:bookmarkEnd w:id="17"/>
      <w:bookmarkEnd w:id="18"/>
    </w:p>
    <w:p w14:paraId="4595C1F8" w14:textId="69D6CE5C" w:rsidR="00F8313C" w:rsidRPr="00F8313C" w:rsidRDefault="005E312D"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rsidRPr="0002260F">
        <w:rPr>
          <w:lang w:val="sv-SE"/>
        </w:rPr>
        <w:instrText xml:space="preserve">ADDIN Mendeley Bibliography CSL_BIBLIOGRAPHY </w:instrText>
      </w:r>
      <w:r>
        <w:fldChar w:fldCharType="separate"/>
      </w:r>
      <w:r w:rsidR="00F8313C" w:rsidRPr="00F8313C">
        <w:rPr>
          <w:rFonts w:ascii="Times New Roman" w:hAnsi="Times New Roman" w:cs="Times New Roman"/>
          <w:noProof/>
          <w:sz w:val="32"/>
          <w:szCs w:val="24"/>
        </w:rPr>
        <w:t>Auer, G., Giannini, V., Gódor, I., Olsson, M., Ali Imran, M., Sabella, D., … Desset, C. (n.d.). How Much Energy is Needed to Run a Wireless Network ?</w:t>
      </w:r>
    </w:p>
    <w:p w14:paraId="1D3F2967"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Cisco Visual Networking Index: Forecast and Methodology Cisco Visual Networking Index: Cisco Visual Networking Index: Forecast and Methodology. (2015). </w:t>
      </w:r>
      <w:r w:rsidRPr="00F8313C">
        <w:rPr>
          <w:rFonts w:ascii="Times New Roman" w:hAnsi="Times New Roman" w:cs="Times New Roman"/>
          <w:i/>
          <w:iCs/>
          <w:noProof/>
          <w:sz w:val="32"/>
          <w:szCs w:val="24"/>
        </w:rPr>
        <w:t>Forecast and Methodology</w:t>
      </w:r>
      <w:r w:rsidRPr="00F8313C">
        <w:rPr>
          <w:rFonts w:ascii="Times New Roman" w:hAnsi="Times New Roman" w:cs="Times New Roman"/>
          <w:noProof/>
          <w:sz w:val="32"/>
          <w:szCs w:val="24"/>
        </w:rPr>
        <w:t>, 2015–2020.</w:t>
      </w:r>
    </w:p>
    <w:p w14:paraId="1B2413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Domenico, A. De, &amp; Petersson, S. (2012). Final Integrated Concept. </w:t>
      </w:r>
      <w:r w:rsidRPr="00F8313C">
        <w:rPr>
          <w:rFonts w:ascii="Times New Roman" w:hAnsi="Times New Roman" w:cs="Times New Roman"/>
          <w:i/>
          <w:iCs/>
          <w:noProof/>
          <w:sz w:val="32"/>
          <w:szCs w:val="24"/>
        </w:rPr>
        <w:t>EARTH Project D.6.4</w:t>
      </w:r>
      <w:r w:rsidRPr="00F8313C">
        <w:rPr>
          <w:rFonts w:ascii="Times New Roman" w:hAnsi="Times New Roman" w:cs="Times New Roman"/>
          <w:noProof/>
          <w:sz w:val="32"/>
          <w:szCs w:val="24"/>
        </w:rPr>
        <w:t>, 1–95. Retrieved from https://bscw.ict-earth.eu/pub/bscw.cgi/d49431/EARTH_WP6_D6.4.pdf</w:t>
      </w:r>
    </w:p>
    <w:p w14:paraId="521B992C"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07CFFF2F"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Falconetti, L., Frenger, P., Kallin, H., &amp; Rimhagen, T. (2012). Energy efficiency in heterogeneous networks. </w:t>
      </w:r>
      <w:r w:rsidRPr="00F8313C">
        <w:rPr>
          <w:rFonts w:ascii="Times New Roman" w:hAnsi="Times New Roman" w:cs="Times New Roman"/>
          <w:i/>
          <w:iCs/>
          <w:noProof/>
          <w:sz w:val="32"/>
          <w:szCs w:val="24"/>
        </w:rPr>
        <w:t>Online Conference on Green Communications (GreenCom), 2012 IEEE</w:t>
      </w:r>
      <w:r w:rsidRPr="00F8313C">
        <w:rPr>
          <w:rFonts w:ascii="Times New Roman" w:hAnsi="Times New Roman" w:cs="Times New Roman"/>
          <w:noProof/>
          <w:sz w:val="32"/>
          <w:szCs w:val="24"/>
        </w:rPr>
        <w:t>, 98–103. https://doi.org/10.1109/GreenCom.2012.6519623</w:t>
      </w:r>
    </w:p>
    <w:p w14:paraId="517D6B84"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Fehske, A. J., Richter, F., &amp; Fettweis, G. P. (n.d.). Energy Efficiency Improvements through Micro Sites in Cellular Mobile Radio Networks.</w:t>
      </w:r>
    </w:p>
    <w:p w14:paraId="53927EB1"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Forssell, H., &amp; Auer, G. (2015). Energy Efficiency of Heterogeneous Networks in, 53–58. https://doi.org/10.1007/s11265-011-0637-3</w:t>
      </w:r>
    </w:p>
    <w:p w14:paraId="3613410A"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49</w:t>
      </w:r>
      <w:r w:rsidRPr="00F8313C">
        <w:rPr>
          <w:rFonts w:ascii="Times New Roman" w:hAnsi="Times New Roman" w:cs="Times New Roman"/>
          <w:noProof/>
          <w:sz w:val="32"/>
          <w:szCs w:val="24"/>
        </w:rPr>
        <w:t>(6), 46–54. https://doi.org/10.1109/MCOM.2011.5783984</w:t>
      </w:r>
    </w:p>
    <w:p w14:paraId="1BB2F65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Landström, S., &amp; Anders, F. (2011). Ericsson Review: Heterogeneous networks-increasing cellular capacity.</w:t>
      </w:r>
    </w:p>
    <w:p w14:paraId="3BA091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Rydén, V. (2016). </w:t>
      </w:r>
      <w:r w:rsidRPr="00F8313C">
        <w:rPr>
          <w:rFonts w:ascii="Times New Roman" w:hAnsi="Times New Roman" w:cs="Times New Roman"/>
          <w:i/>
          <w:iCs/>
          <w:noProof/>
          <w:sz w:val="32"/>
          <w:szCs w:val="24"/>
        </w:rPr>
        <w:t>Outdoor to Indoor Coverage in 5G Networks</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Teknisk- naturvetenskaplig fakultet UTH-enheten</w:t>
      </w:r>
      <w:r w:rsidRPr="00F8313C">
        <w:rPr>
          <w:rFonts w:ascii="Times New Roman" w:hAnsi="Times New Roman" w:cs="Times New Roman"/>
          <w:noProof/>
          <w:sz w:val="32"/>
          <w:szCs w:val="24"/>
        </w:rPr>
        <w:t>. Retrieved from https://uu.diva-portal.org/smash/get/diva2:944408/FULLTEXT01.pdf</w:t>
      </w:r>
    </w:p>
    <w:p w14:paraId="1A099319"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Tombaz, S., Sung, K. W., &amp; Zander, J. (2012). Impact of densification on energy efficiency in wireless access networks. </w:t>
      </w:r>
      <w:r w:rsidRPr="00F8313C">
        <w:rPr>
          <w:rFonts w:ascii="Times New Roman" w:hAnsi="Times New Roman" w:cs="Times New Roman"/>
          <w:i/>
          <w:iCs/>
          <w:noProof/>
          <w:sz w:val="32"/>
          <w:szCs w:val="24"/>
        </w:rPr>
        <w:t>2012 IEEE Globecom Workshops</w:t>
      </w:r>
      <w:r w:rsidRPr="00F8313C">
        <w:rPr>
          <w:rFonts w:ascii="Times New Roman" w:hAnsi="Times New Roman" w:cs="Times New Roman"/>
          <w:noProof/>
          <w:sz w:val="32"/>
          <w:szCs w:val="24"/>
        </w:rPr>
        <w:t>, 57–62. https://doi.org/10.1109/GLOCOMW.2012.6477544</w:t>
      </w:r>
    </w:p>
    <w:p w14:paraId="7C5CF38E"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F8313C">
        <w:rPr>
          <w:rFonts w:ascii="Times New Roman" w:hAnsi="Times New Roman" w:cs="Times New Roman"/>
          <w:noProof/>
          <w:sz w:val="32"/>
          <w:szCs w:val="24"/>
        </w:rPr>
        <w:t xml:space="preserve">Yunas, S., Valkama, M., &amp; Niemelä, J. (2015). Spectral and energy efficiency of ultra-dense networks under different deployment strategies.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53</w:t>
      </w:r>
      <w:r w:rsidRPr="00F8313C">
        <w:rPr>
          <w:rFonts w:ascii="Times New Roman" w:hAnsi="Times New Roman" w:cs="Times New Roman"/>
          <w:noProof/>
          <w:sz w:val="32"/>
          <w:szCs w:val="24"/>
        </w:rPr>
        <w:t>(1), 90–100. https://doi.org/10.1109/MCOM.2015.7010521</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11"/>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C184" w14:textId="77777777" w:rsidR="006B3DC7" w:rsidRDefault="006B3DC7" w:rsidP="004C4A88">
      <w:pPr>
        <w:spacing w:after="0" w:line="240" w:lineRule="auto"/>
      </w:pPr>
      <w:r>
        <w:separator/>
      </w:r>
    </w:p>
    <w:p w14:paraId="6C31B918" w14:textId="77777777" w:rsidR="006B3DC7" w:rsidRDefault="006B3DC7"/>
  </w:endnote>
  <w:endnote w:type="continuationSeparator" w:id="0">
    <w:p w14:paraId="4A96CD3F" w14:textId="77777777" w:rsidR="006B3DC7" w:rsidRDefault="006B3DC7" w:rsidP="004C4A88">
      <w:pPr>
        <w:spacing w:after="0" w:line="240" w:lineRule="auto"/>
      </w:pPr>
      <w:r>
        <w:continuationSeparator/>
      </w:r>
    </w:p>
    <w:p w14:paraId="164CC9B9" w14:textId="77777777" w:rsidR="006B3DC7" w:rsidRDefault="006B3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ReguItal">
    <w:panose1 w:val="00000000000000000000"/>
    <w:charset w:val="00"/>
    <w:family w:val="auto"/>
    <w:notTrueType/>
    <w:pitch w:val="default"/>
    <w:sig w:usb0="00000003" w:usb1="00000000" w:usb2="00000000" w:usb3="00000000" w:csb0="00000001" w:csb1="00000000"/>
  </w:font>
  <w:font w:name="GillAltOneMT">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798DF813" w:rsidR="006B3DC7" w:rsidRDefault="006B3DC7">
        <w:pPr>
          <w:pStyle w:val="Footer"/>
          <w:jc w:val="center"/>
        </w:pPr>
        <w:r>
          <w:fldChar w:fldCharType="begin"/>
        </w:r>
        <w:r>
          <w:instrText xml:space="preserve"> PAGE   \* MERGEFORMAT </w:instrText>
        </w:r>
        <w:r>
          <w:fldChar w:fldCharType="separate"/>
        </w:r>
        <w:r w:rsidR="005F5F61">
          <w:rPr>
            <w:noProof/>
          </w:rPr>
          <w:t>8</w:t>
        </w:r>
        <w:r>
          <w:rPr>
            <w:noProof/>
          </w:rPr>
          <w:fldChar w:fldCharType="end"/>
        </w:r>
      </w:p>
    </w:sdtContent>
  </w:sdt>
  <w:p w14:paraId="31BAECAF" w14:textId="77777777" w:rsidR="006B3DC7" w:rsidRDefault="006B3DC7">
    <w:pPr>
      <w:pStyle w:val="Footer"/>
    </w:pPr>
  </w:p>
  <w:p w14:paraId="6B16B7E2" w14:textId="77777777" w:rsidR="006B3DC7" w:rsidRDefault="006B3D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4FC9" w14:textId="77777777" w:rsidR="006B3DC7" w:rsidRDefault="006B3DC7" w:rsidP="004C4A88">
      <w:pPr>
        <w:spacing w:after="0" w:line="240" w:lineRule="auto"/>
      </w:pPr>
      <w:r>
        <w:separator/>
      </w:r>
    </w:p>
    <w:p w14:paraId="5196C76E" w14:textId="77777777" w:rsidR="006B3DC7" w:rsidRDefault="006B3DC7"/>
  </w:footnote>
  <w:footnote w:type="continuationSeparator" w:id="0">
    <w:p w14:paraId="206DB901" w14:textId="77777777" w:rsidR="006B3DC7" w:rsidRDefault="006B3DC7" w:rsidP="004C4A88">
      <w:pPr>
        <w:spacing w:after="0" w:line="240" w:lineRule="auto"/>
      </w:pPr>
      <w:r>
        <w:continuationSeparator/>
      </w:r>
    </w:p>
    <w:p w14:paraId="2C5F2060" w14:textId="77777777" w:rsidR="006B3DC7" w:rsidRDefault="006B3D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7A31ABA"/>
    <w:multiLevelType w:val="multilevel"/>
    <w:tmpl w:val="247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010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7" w15:restartNumberingAfterBreak="0">
    <w:nsid w:val="7E037A2B"/>
    <w:multiLevelType w:val="multilevel"/>
    <w:tmpl w:val="EADA5BD6"/>
    <w:numStyleLink w:val="H1"/>
  </w:abstractNum>
  <w:num w:numId="1">
    <w:abstractNumId w:val="10"/>
  </w:num>
  <w:num w:numId="2">
    <w:abstractNumId w:val="27"/>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3"/>
  </w:num>
  <w:num w:numId="4">
    <w:abstractNumId w:val="3"/>
  </w:num>
  <w:num w:numId="5">
    <w:abstractNumId w:val="20"/>
  </w:num>
  <w:num w:numId="6">
    <w:abstractNumId w:val="17"/>
  </w:num>
  <w:num w:numId="7">
    <w:abstractNumId w:val="5"/>
  </w:num>
  <w:num w:numId="8">
    <w:abstractNumId w:val="25"/>
  </w:num>
  <w:num w:numId="9">
    <w:abstractNumId w:val="12"/>
  </w:num>
  <w:num w:numId="10">
    <w:abstractNumId w:val="22"/>
  </w:num>
  <w:num w:numId="11">
    <w:abstractNumId w:val="14"/>
  </w:num>
  <w:num w:numId="12">
    <w:abstractNumId w:val="9"/>
  </w:num>
  <w:num w:numId="13">
    <w:abstractNumId w:val="4"/>
  </w:num>
  <w:num w:numId="14">
    <w:abstractNumId w:val="16"/>
  </w:num>
  <w:num w:numId="15">
    <w:abstractNumId w:val="19"/>
  </w:num>
  <w:num w:numId="16">
    <w:abstractNumId w:val="0"/>
  </w:num>
  <w:num w:numId="17">
    <w:abstractNumId w:val="5"/>
    <w:lvlOverride w:ilvl="0">
      <w:startOverride w:val="1"/>
    </w:lvlOverride>
  </w:num>
  <w:num w:numId="18">
    <w:abstractNumId w:val="5"/>
    <w:lvlOverride w:ilvl="0">
      <w:startOverride w:val="1"/>
    </w:lvlOverride>
  </w:num>
  <w:num w:numId="19">
    <w:abstractNumId w:val="7"/>
  </w:num>
  <w:num w:numId="20">
    <w:abstractNumId w:val="6"/>
  </w:num>
  <w:num w:numId="21">
    <w:abstractNumId w:val="13"/>
  </w:num>
  <w:num w:numId="22">
    <w:abstractNumId w:val="15"/>
  </w:num>
  <w:num w:numId="23">
    <w:abstractNumId w:val="8"/>
  </w:num>
  <w:num w:numId="24">
    <w:abstractNumId w:val="2"/>
  </w:num>
  <w:num w:numId="25">
    <w:abstractNumId w:val="18"/>
  </w:num>
  <w:num w:numId="26">
    <w:abstractNumId w:val="11"/>
  </w:num>
  <w:num w:numId="27">
    <w:abstractNumId w:val="27"/>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4"/>
  </w:num>
  <w:num w:numId="29">
    <w:abstractNumId w:val="26"/>
  </w:num>
  <w:num w:numId="30">
    <w:abstractNumId w:val="21"/>
  </w:num>
  <w:num w:numId="3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19FF"/>
    <w:rsid w:val="000220BB"/>
    <w:rsid w:val="0002260F"/>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692E"/>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A55AB"/>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49A3"/>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4E4"/>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0A40"/>
    <w:rsid w:val="00241587"/>
    <w:rsid w:val="002452C5"/>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0B46"/>
    <w:rsid w:val="002711FC"/>
    <w:rsid w:val="0027157E"/>
    <w:rsid w:val="00272ADB"/>
    <w:rsid w:val="00274793"/>
    <w:rsid w:val="00276BC9"/>
    <w:rsid w:val="00276DCD"/>
    <w:rsid w:val="00277F1E"/>
    <w:rsid w:val="00280733"/>
    <w:rsid w:val="00281A60"/>
    <w:rsid w:val="00282643"/>
    <w:rsid w:val="00283CF7"/>
    <w:rsid w:val="00284627"/>
    <w:rsid w:val="00287BDF"/>
    <w:rsid w:val="00291066"/>
    <w:rsid w:val="00295BCF"/>
    <w:rsid w:val="00297249"/>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18B1"/>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6D0A"/>
    <w:rsid w:val="00340580"/>
    <w:rsid w:val="003429A5"/>
    <w:rsid w:val="003436D4"/>
    <w:rsid w:val="00343D05"/>
    <w:rsid w:val="003446B0"/>
    <w:rsid w:val="00345E37"/>
    <w:rsid w:val="00347875"/>
    <w:rsid w:val="00347D5C"/>
    <w:rsid w:val="00350185"/>
    <w:rsid w:val="003509A2"/>
    <w:rsid w:val="00353705"/>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85D74"/>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0F2A"/>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3B1D"/>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68E8"/>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538C"/>
    <w:rsid w:val="005E572E"/>
    <w:rsid w:val="005F122F"/>
    <w:rsid w:val="005F149E"/>
    <w:rsid w:val="005F2A5D"/>
    <w:rsid w:val="005F3585"/>
    <w:rsid w:val="005F3CDB"/>
    <w:rsid w:val="005F4ADF"/>
    <w:rsid w:val="005F5403"/>
    <w:rsid w:val="005F5F61"/>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3DC7"/>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063"/>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28E5"/>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6E"/>
    <w:rsid w:val="007D4E82"/>
    <w:rsid w:val="007D6259"/>
    <w:rsid w:val="007D7FD4"/>
    <w:rsid w:val="007E0EBD"/>
    <w:rsid w:val="007E2501"/>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1D47"/>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582F"/>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46CD"/>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666EE"/>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55D7"/>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27E95"/>
    <w:rsid w:val="00A30A86"/>
    <w:rsid w:val="00A30DE2"/>
    <w:rsid w:val="00A32809"/>
    <w:rsid w:val="00A333A8"/>
    <w:rsid w:val="00A3347C"/>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46"/>
    <w:rsid w:val="00B44995"/>
    <w:rsid w:val="00B4755F"/>
    <w:rsid w:val="00B50B1A"/>
    <w:rsid w:val="00B51496"/>
    <w:rsid w:val="00B5172D"/>
    <w:rsid w:val="00B51E07"/>
    <w:rsid w:val="00B522EF"/>
    <w:rsid w:val="00B525ED"/>
    <w:rsid w:val="00B53807"/>
    <w:rsid w:val="00B541BC"/>
    <w:rsid w:val="00B5475C"/>
    <w:rsid w:val="00B5640B"/>
    <w:rsid w:val="00B56490"/>
    <w:rsid w:val="00B57D06"/>
    <w:rsid w:val="00B60B1E"/>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804"/>
    <w:rsid w:val="00B84B55"/>
    <w:rsid w:val="00B84BD7"/>
    <w:rsid w:val="00B871D0"/>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67D3"/>
    <w:rsid w:val="00BB7578"/>
    <w:rsid w:val="00BB7E93"/>
    <w:rsid w:val="00BC5B1E"/>
    <w:rsid w:val="00BC6356"/>
    <w:rsid w:val="00BC68CD"/>
    <w:rsid w:val="00BC7351"/>
    <w:rsid w:val="00BD32BB"/>
    <w:rsid w:val="00BD3661"/>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5902"/>
    <w:rsid w:val="00C86077"/>
    <w:rsid w:val="00C90264"/>
    <w:rsid w:val="00C92174"/>
    <w:rsid w:val="00C94109"/>
    <w:rsid w:val="00C96290"/>
    <w:rsid w:val="00CA1716"/>
    <w:rsid w:val="00CA180C"/>
    <w:rsid w:val="00CA2173"/>
    <w:rsid w:val="00CA2598"/>
    <w:rsid w:val="00CA4EB7"/>
    <w:rsid w:val="00CA52E6"/>
    <w:rsid w:val="00CA644B"/>
    <w:rsid w:val="00CB1413"/>
    <w:rsid w:val="00CB2129"/>
    <w:rsid w:val="00CB2EC8"/>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D5BD2"/>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5DE1"/>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4627C"/>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0CA6"/>
    <w:rsid w:val="00EB138A"/>
    <w:rsid w:val="00EB1ABF"/>
    <w:rsid w:val="00EB1AC0"/>
    <w:rsid w:val="00EB1D0C"/>
    <w:rsid w:val="00EB2EAC"/>
    <w:rsid w:val="00EB429B"/>
    <w:rsid w:val="00EB5CBA"/>
    <w:rsid w:val="00EB64BB"/>
    <w:rsid w:val="00EB6BAD"/>
    <w:rsid w:val="00EB78DC"/>
    <w:rsid w:val="00EC0A22"/>
    <w:rsid w:val="00EC0D30"/>
    <w:rsid w:val="00EC164E"/>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313C"/>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 w:type="character" w:customStyle="1" w:styleId="apple-converted-space">
    <w:name w:val="apple-converted-space"/>
    <w:basedOn w:val="DefaultParagraphFont"/>
    <w:rsid w:val="001874E4"/>
  </w:style>
  <w:style w:type="character" w:styleId="Hyperlink">
    <w:name w:val="Hyperlink"/>
    <w:basedOn w:val="DefaultParagraphFont"/>
    <w:uiPriority w:val="99"/>
    <w:semiHidden/>
    <w:unhideWhenUsed/>
    <w:rsid w:val="004C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3353">
      <w:bodyDiv w:val="1"/>
      <w:marLeft w:val="0"/>
      <w:marRight w:val="0"/>
      <w:marTop w:val="0"/>
      <w:marBottom w:val="0"/>
      <w:divBdr>
        <w:top w:val="none" w:sz="0" w:space="0" w:color="auto"/>
        <w:left w:val="none" w:sz="0" w:space="0" w:color="auto"/>
        <w:bottom w:val="none" w:sz="0" w:space="0" w:color="auto"/>
        <w:right w:val="none" w:sz="0" w:space="0" w:color="auto"/>
      </w:divBdr>
    </w:div>
    <w:div w:id="17390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B1313B0-2148-42AF-B31A-9546744B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13273</TotalTime>
  <Pages>28</Pages>
  <Words>14476</Words>
  <Characters>76729</Characters>
  <Application>Microsoft Office Word</Application>
  <DocSecurity>0</DocSecurity>
  <Lines>639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39</cp:revision>
  <dcterms:created xsi:type="dcterms:W3CDTF">2016-11-17T09:00:00Z</dcterms:created>
  <dcterms:modified xsi:type="dcterms:W3CDTF">2017-03-04T21:26:00Z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