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numPr>
          <w:ilvl w:val="0"/>
          <w:numId w:val="0"/>
        </w:numPr>
        <w:spacing w:before="480" w:after="0"/>
        <w:rPr/>
      </w:pPr>
      <w:r>
        <w:rPr/>
        <w:t>AdventureWorks Sales Analytics &amp; Predictive Modeling</w:t>
        <w:br/>
        <w:t>(SQL • Tableau • Machine Learning)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1. Introduction</w:t>
      </w:r>
    </w:p>
    <w:p>
      <w:pPr>
        <w:pStyle w:val="Normal"/>
        <w:rPr/>
      </w:pPr>
      <w:r>
        <w:rPr/>
        <w:t>This project focuses on end-to-end sales analytics and predictive modeling using the AdventureWorks dataset. It integrates SQL for data preparation, Tableau for visualization, and Machine Learning for predictive analytics.</w:t>
      </w:r>
    </w:p>
    <w:p>
      <w:pPr>
        <w:pStyle w:val="BodyText"/>
        <w:spacing w:before="0" w:after="200"/>
        <w:rPr/>
      </w:pPr>
      <w:r>
        <w:rPr/>
        <w:t>In today’s data-driven business environment, organizations rely on analytics and machine learning to make informed decisions.</w:t>
        <w:br/>
        <w:t xml:space="preserve">This project focuses on </w:t>
      </w:r>
      <w:r>
        <w:rPr>
          <w:rStyle w:val="Strong"/>
        </w:rPr>
        <w:t>end-to-end sales analytics and predictive modeling</w:t>
      </w:r>
      <w:r>
        <w:rPr/>
        <w:t xml:space="preserve"> using the </w:t>
      </w:r>
      <w:r>
        <w:rPr>
          <w:rStyle w:val="Strong"/>
        </w:rPr>
        <w:t>AdventureWorks dataset</w:t>
      </w:r>
      <w:r>
        <w:rPr/>
        <w:t>.</w:t>
      </w:r>
    </w:p>
    <w:p>
      <w:pPr>
        <w:pStyle w:val="BodyText"/>
        <w:spacing w:before="0" w:after="200"/>
        <w:rPr/>
      </w:pPr>
      <w:r>
        <w:rPr/>
        <w:t xml:space="preserve">The project is divided into </w:t>
      </w:r>
      <w:r>
        <w:rPr>
          <w:rStyle w:val="Strong"/>
        </w:rPr>
        <w:t>three major parts</w:t>
      </w:r>
      <w:r>
        <w:rPr/>
        <w:t>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trong"/>
        </w:rPr>
        <w:t>SQL</w:t>
      </w:r>
      <w:r>
        <w:rPr/>
        <w:t xml:space="preserve"> – Data integration and preparation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trong"/>
        </w:rPr>
        <w:t>Tableau</w:t>
      </w:r>
      <w:r>
        <w:rPr/>
        <w:t xml:space="preserve"> – Interactive dashboards and business insights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trong"/>
        </w:rPr>
        <w:t>Machine Learning</w:t>
      </w:r>
      <w:r>
        <w:rPr/>
        <w:t xml:space="preserve"> – Predictive analytics (forecasting, churn, return risk)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2. Dataset Description</w:t>
      </w:r>
    </w:p>
    <w:p>
      <w:pPr>
        <w:pStyle w:val="Normal"/>
        <w:rPr/>
      </w:pPr>
      <w:r>
        <w:rPr/>
        <w:t>The dataset includes sales data from multiple years along with customers, products, categories, territories, and returns.The AdventureWorks dataset contains historical sales data across multiple years and dimensions.</w:t>
      </w:r>
    </w:p>
    <w:p>
      <w:pPr>
        <w:pStyle w:val="Heading3"/>
        <w:spacing w:before="0" w:after="200"/>
        <w:rPr/>
      </w:pPr>
      <w:r>
        <w:rPr/>
        <w:t>Key Tables Used: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ourceText"/>
        </w:rPr>
        <w:t>sales_2015</w:t>
      </w:r>
      <w:r>
        <w:rPr/>
        <w:t xml:space="preserve">, </w:t>
      </w:r>
      <w:r>
        <w:rPr>
          <w:rStyle w:val="SourceText"/>
        </w:rPr>
        <w:t>sales_2016</w:t>
      </w:r>
      <w:r>
        <w:rPr/>
        <w:t xml:space="preserve">, </w:t>
      </w:r>
      <w:r>
        <w:rPr>
          <w:rStyle w:val="SourceText"/>
        </w:rPr>
        <w:t>sales_2017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ourceText"/>
        </w:rPr>
        <w:t>customers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ourceText"/>
        </w:rPr>
        <w:t>products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ourceText"/>
        </w:rPr>
        <w:t>product_categories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ourceText"/>
        </w:rPr>
        <w:t>product_subcategories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ourceText"/>
        </w:rPr>
        <w:t>returns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ourceText"/>
        </w:rPr>
        <w:t>territories</w:t>
      </w:r>
    </w:p>
    <w:p>
      <w:pPr>
        <w:pStyle w:val="BodyText"/>
        <w:spacing w:before="0" w:after="200"/>
        <w:rPr/>
      </w:pPr>
      <w:r>
        <w:rPr/>
        <w:t>These datasets provide information about: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Orders and quantities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Customers and territories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Products and categories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Returns and profitability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3. SQL – Data Preparation &amp; Integration</w:t>
      </w:r>
    </w:p>
    <w:p>
      <w:pPr>
        <w:pStyle w:val="Heading3"/>
        <w:spacing w:before="0" w:after="200"/>
        <w:rPr/>
      </w:pPr>
      <w:r>
        <w:rPr/>
        <w:t>Objective:</w:t>
      </w:r>
    </w:p>
    <w:p>
      <w:pPr>
        <w:pStyle w:val="BodyText"/>
        <w:spacing w:before="0" w:after="200"/>
        <w:rPr/>
      </w:pPr>
      <w:r>
        <w:rPr/>
        <w:t xml:space="preserve">To create a </w:t>
      </w:r>
      <w:r>
        <w:rPr>
          <w:rStyle w:val="Strong"/>
        </w:rPr>
        <w:t>single unified sales view</w:t>
      </w:r>
      <w:r>
        <w:rPr/>
        <w:t xml:space="preserve"> for analysis and visualization.</w:t>
      </w:r>
    </w:p>
    <w:p>
      <w:pPr>
        <w:pStyle w:val="Heading3"/>
        <w:spacing w:before="0" w:after="200"/>
        <w:rPr/>
      </w:pPr>
      <w:r>
        <w:rPr/>
        <w:t>Key Steps: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 xml:space="preserve">Combined yearly sales tables using </w:t>
      </w:r>
      <w:r>
        <w:rPr>
          <w:rStyle w:val="SourceText"/>
        </w:rPr>
        <w:t>UNION ALL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 xml:space="preserve">Created a database view </w:t>
      </w:r>
      <w:r>
        <w:rPr>
          <w:rStyle w:val="SourceText"/>
        </w:rPr>
        <w:t>all_sales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Ensured consistent schema across all years</w:t>
      </w:r>
    </w:p>
    <w:p>
      <w:pPr>
        <w:pStyle w:val="Heading3"/>
        <w:spacing w:before="0" w:after="200"/>
        <w:rPr/>
      </w:pPr>
      <w:r>
        <w:rPr/>
        <w:t>SQL View Creation:</w:t>
      </w:r>
    </w:p>
    <w:p>
      <w:pPr>
        <w:pStyle w:val="PreformattedText"/>
        <w:bidi w:val="0"/>
        <w:spacing w:before="0" w:after="200"/>
        <w:ind w:hanging="0" w:start="0" w:end="0"/>
        <w:rPr/>
      </w:pPr>
      <w:r>
        <w:rPr>
          <w:rStyle w:val="SourceText"/>
        </w:rPr>
        <w:t>CREATE OR REPLACE VIEW all_sales AS</w:t>
      </w:r>
    </w:p>
    <w:p>
      <w:pPr>
        <w:pStyle w:val="PreformattedText"/>
        <w:bidi w:val="0"/>
        <w:spacing w:before="0" w:after="200"/>
        <w:rPr/>
      </w:pPr>
      <w:r>
        <w:rPr>
          <w:rStyle w:val="SourceText"/>
        </w:rPr>
        <w:t>SELECT * FROM sales_2015</w:t>
      </w:r>
    </w:p>
    <w:p>
      <w:pPr>
        <w:pStyle w:val="PreformattedText"/>
        <w:bidi w:val="0"/>
        <w:spacing w:before="0" w:after="200"/>
        <w:rPr/>
      </w:pPr>
      <w:r>
        <w:rPr>
          <w:rStyle w:val="SourceText"/>
        </w:rPr>
        <w:t>UNION ALL</w:t>
      </w:r>
    </w:p>
    <w:p>
      <w:pPr>
        <w:pStyle w:val="PreformattedText"/>
        <w:bidi w:val="0"/>
        <w:spacing w:before="0" w:after="200"/>
        <w:rPr/>
      </w:pPr>
      <w:r>
        <w:rPr>
          <w:rStyle w:val="SourceText"/>
        </w:rPr>
        <w:t>SELECT * FROM sales_2016</w:t>
      </w:r>
    </w:p>
    <w:p>
      <w:pPr>
        <w:pStyle w:val="PreformattedText"/>
        <w:bidi w:val="0"/>
        <w:spacing w:before="0" w:after="200"/>
        <w:rPr/>
      </w:pPr>
      <w:r>
        <w:rPr>
          <w:rStyle w:val="SourceText"/>
        </w:rPr>
        <w:t>UNION ALL</w:t>
      </w:r>
    </w:p>
    <w:p>
      <w:pPr>
        <w:pStyle w:val="PreformattedText"/>
        <w:bidi w:val="0"/>
        <w:spacing w:before="0" w:after="200"/>
        <w:rPr/>
      </w:pPr>
      <w:r>
        <w:rPr>
          <w:rStyle w:val="SourceText"/>
        </w:rPr>
        <w:t>SELECT * FROM sales_2017;</w:t>
      </w:r>
    </w:p>
    <w:p>
      <w:pPr>
        <w:pStyle w:val="Heading3"/>
        <w:spacing w:before="0" w:after="200"/>
        <w:rPr/>
      </w:pPr>
      <w:r>
        <w:rPr/>
        <w:t>Outcome: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Centralized dataset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Reduced duplication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Ready for BI and ML use</w:t>
      </w:r>
    </w:p>
    <w:p>
      <w:pPr>
        <w:pStyle w:val="BodyText"/>
        <w:spacing w:before="0" w:after="200"/>
        <w:rPr/>
      </w:pPr>
      <w:r>
        <w:rPr/>
      </w:r>
    </w:p>
    <w:p>
      <w:pPr>
        <w:pStyle w:val="BodyText"/>
        <w:spacing w:before="0" w:after="200"/>
        <w:rPr/>
      </w:pPr>
      <w:r>
        <w:rPr/>
        <w:t xml:space="preserve">📸 </w:t>
      </w:r>
      <w:r>
        <w:rPr>
          <w:rStyle w:val="Strong"/>
        </w:rPr>
        <w:t>Screenshot Placement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trong"/>
        </w:rPr>
        <w:t>Screenshot 1:</w:t>
      </w: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15890" cy="325945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890" cy="3259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SQL View Creation Query</w:t>
      </w:r>
    </w:p>
    <w:p>
      <w:pPr>
        <w:pStyle w:val="BodyText"/>
        <w:numPr>
          <w:ilvl w:val="0"/>
          <w:numId w:val="0"/>
        </w:numPr>
        <w:spacing w:before="0" w:after="200"/>
        <w:ind w:hanging="0" w:start="0"/>
        <w:rPr>
          <w:rStyle w:val="Strong"/>
        </w:rPr>
      </w:pPr>
      <w:r>
        <w:rPr/>
      </w:r>
    </w:p>
    <w:p>
      <w:pPr>
        <w:pStyle w:val="BodyText"/>
        <w:numPr>
          <w:ilvl w:val="0"/>
          <w:numId w:val="0"/>
        </w:numPr>
        <w:spacing w:before="0" w:after="200"/>
        <w:ind w:hanging="0" w:start="0"/>
        <w:rPr>
          <w:rStyle w:val="Strong"/>
        </w:rPr>
      </w:pPr>
      <w:r>
        <w:rPr/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trong"/>
        </w:rPr>
        <w:t>S</w:t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15890" cy="325945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890" cy="3259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</w:rPr>
        <w:t>creenshot 2:</w:t>
      </w:r>
      <w:r>
        <w:rPr/>
        <w:t xml:space="preserve"> Sample Output of </w:t>
      </w:r>
      <w:r>
        <w:rPr>
          <w:rStyle w:val="SourceText"/>
        </w:rPr>
        <w:t>SELECT * FROM all_sales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4. Tableau – Business Intelligence Dashboards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  <w:t>Dashboard 1: Revenue &amp; Growth Overview</w:t>
      </w:r>
    </w:p>
    <w:p>
      <w:pPr>
        <w:pStyle w:val="Heading3"/>
        <w:spacing w:before="0" w:after="200"/>
        <w:rPr/>
      </w:pPr>
      <w:r>
        <w:rPr/>
        <w:t>KPIs &amp; Visuals: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trong"/>
        </w:rPr>
        <w:t>Total Revenue KPI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trong"/>
        </w:rPr>
        <w:t>Revenue Trend (Year-wise)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trong"/>
        </w:rPr>
        <w:t>Revenue by Product Category</w:t>
      </w:r>
    </w:p>
    <w:p>
      <w:pPr>
        <w:pStyle w:val="Heading3"/>
        <w:spacing w:before="0" w:after="200"/>
        <w:rPr/>
      </w:pPr>
      <w:r>
        <w:rPr/>
        <w:t>Insights: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Revenue increased significantly from 2015 to 2016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Slight stabilization observed in 2017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Bikes and Components are top revenue-generating categories</w:t>
      </w:r>
    </w:p>
    <w:p>
      <w:pPr>
        <w:pStyle w:val="BodyText"/>
        <w:spacing w:before="0" w:after="200"/>
        <w:rPr/>
      </w:pPr>
      <w:r>
        <w:rPr/>
        <w:t xml:space="preserve">📸 </w:t>
      </w:r>
      <w:r>
        <w:rPr>
          <w:rStyle w:val="Strong"/>
        </w:rPr>
        <w:t>Screenshot Placement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50837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08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</w:rPr>
        <w:t xml:space="preserve"> </w:t>
      </w:r>
      <w:r>
        <w:rPr>
          <w:rStyle w:val="Strong"/>
        </w:rPr>
        <w:t>Dashboard 1 – Revenue &amp; Growth Overview</w:t>
      </w:r>
    </w:p>
    <w:p>
      <w:pPr>
        <w:pStyle w:val="BodyText"/>
        <w:numPr>
          <w:ilvl w:val="0"/>
          <w:numId w:val="0"/>
        </w:numPr>
        <w:spacing w:before="0" w:after="200"/>
        <w:ind w:hanging="0" w:start="777"/>
        <w:rPr>
          <w:sz w:val="30"/>
          <w:szCs w:val="30"/>
        </w:rPr>
      </w:pPr>
      <w:r>
        <w:rPr>
          <w:b/>
          <w:bCs/>
          <w:sz w:val="30"/>
          <w:szCs w:val="30"/>
        </w:rPr>
        <w:t>Dashboard 2 – Product &amp; Category Insights</w:t>
      </w:r>
    </w:p>
    <w:p>
      <w:pPr>
        <w:pStyle w:val="Heading3"/>
        <w:spacing w:before="0" w:after="200"/>
        <w:rPr/>
      </w:pPr>
      <w:r>
        <w:rPr/>
        <w:t>Visuals: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Top Categories by Revenue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Top 10 Products by Revenue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Return Rate by Category</w:t>
      </w:r>
    </w:p>
    <w:p>
      <w:pPr>
        <w:pStyle w:val="Heading3"/>
        <w:spacing w:before="0" w:after="200"/>
        <w:rPr/>
      </w:pPr>
      <w:r>
        <w:rPr/>
        <w:t>Insights: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Certain products consistently outperform others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Components show higher return rates compared to Clothing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High-return products require quality or logistics review</w:t>
      </w:r>
    </w:p>
    <w:p>
      <w:pPr>
        <w:pStyle w:val="BodyText"/>
        <w:spacing w:before="0" w:after="200"/>
        <w:rPr/>
      </w:pPr>
      <w:r>
        <w:rPr/>
        <w:t xml:space="preserve">📸 </w:t>
      </w:r>
      <w:r>
        <w:rPr>
          <w:rStyle w:val="Strong"/>
        </w:rPr>
        <w:t>Screenshot Placement</w:t>
      </w:r>
    </w:p>
    <w:p>
      <w:pPr>
        <w:pStyle w:val="BodyText"/>
        <w:numPr>
          <w:ilvl w:val="0"/>
          <w:numId w:val="37"/>
        </w:numPr>
        <w:spacing w:before="0" w:after="200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50710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07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6"/>
          <w:szCs w:val="26"/>
        </w:rPr>
        <w:t>Dashboard 2 – Product &amp; Category Insights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Dashboard 3: Geographic Sales &amp; Profitability</w:t>
      </w:r>
    </w:p>
    <w:p>
      <w:pPr>
        <w:pStyle w:val="Heading3"/>
        <w:spacing w:before="0" w:after="200"/>
        <w:rPr/>
      </w:pPr>
      <w:r>
        <w:rPr/>
        <w:t>Visuals: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Revenue by Country (Map)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Top Regions by Revenue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Profit Margin by Territory</w:t>
      </w:r>
    </w:p>
    <w:p>
      <w:pPr>
        <w:pStyle w:val="Heading3"/>
        <w:spacing w:before="0" w:after="200"/>
        <w:rPr/>
      </w:pPr>
      <w:r>
        <w:rPr/>
        <w:t>Insights: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North America contributes the highest revenue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Some territories show high margins despite lower sales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Profitability varies significantly by region</w:t>
      </w:r>
    </w:p>
    <w:p>
      <w:pPr>
        <w:pStyle w:val="BodyText"/>
        <w:spacing w:before="0" w:after="200"/>
        <w:rPr/>
      </w:pPr>
      <w:r>
        <w:rPr/>
        <w:t xml:space="preserve">📸 </w:t>
      </w:r>
      <w:r>
        <w:rPr>
          <w:rStyle w:val="Strong"/>
        </w:rPr>
        <w:t>Screenshot Placement</w:t>
      </w:r>
    </w:p>
    <w:p>
      <w:pPr>
        <w:pStyle w:val="BodyText"/>
        <w:spacing w:before="0" w:after="200"/>
        <w:rPr>
          <w:rStyle w:val="Strong"/>
        </w:rPr>
      </w:pPr>
      <w:r>
        <w:rPr/>
      </w:r>
    </w:p>
    <w:p>
      <w:pPr>
        <w:pStyle w:val="BodyText"/>
        <w:numPr>
          <w:ilvl w:val="0"/>
          <w:numId w:val="0"/>
        </w:numPr>
        <w:spacing w:before="0" w:after="200"/>
        <w:ind w:hanging="0" w:start="0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15890" cy="332676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890" cy="3326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  <w:r>
        <w:rPr>
          <w:b/>
          <w:bCs/>
        </w:rPr>
        <w:t>Dashboard 3</w:t>
      </w:r>
      <w:r>
        <w:rPr/>
        <w:t xml:space="preserve"> </w:t>
      </w:r>
      <w:r>
        <w:rPr>
          <w:b/>
          <w:bCs/>
        </w:rPr>
        <w:t xml:space="preserve">– Geographic Sales </w:t>
      </w: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BodyText"/>
        <w:spacing w:before="0" w:after="200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52742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2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                              </w:t>
      </w:r>
      <w:r>
        <w:rPr>
          <w:b/>
          <w:bCs/>
        </w:rPr>
        <w:t>Dashboard4:</w:t>
      </w:r>
      <w:r>
        <w:rPr>
          <w:b/>
          <w:bCs/>
        </w:rPr>
        <w:t>Profitability</w:t>
      </w:r>
    </w:p>
    <w:p>
      <w:pPr>
        <w:pStyle w:val="Normal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5. Machine Learning – Predictive Analytics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Revenue Forecasting:</w:t>
      </w:r>
    </w:p>
    <w:p>
      <w:pPr>
        <w:pStyle w:val="Heading3"/>
        <w:spacing w:before="0" w:after="200"/>
        <w:rPr/>
      </w:pPr>
      <w:r>
        <w:rPr/>
        <w:t>Approach: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Aggregated monthly revenue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 xml:space="preserve">Used </w:t>
      </w:r>
      <w:r>
        <w:rPr>
          <w:rStyle w:val="Strong"/>
        </w:rPr>
        <w:t>ARIMA (1,1,1)</w:t>
      </w:r>
      <w:r>
        <w:rPr/>
        <w:t xml:space="preserve"> model from </w:t>
      </w:r>
      <w:r>
        <w:rPr>
          <w:rStyle w:val="SourceText"/>
        </w:rPr>
        <w:t>statsmodels</w:t>
      </w:r>
    </w:p>
    <w:p>
      <w:pPr>
        <w:pStyle w:val="Heading3"/>
        <w:spacing w:before="0" w:after="200"/>
        <w:rPr/>
      </w:pPr>
      <w:r>
        <w:rPr/>
        <w:t>Output: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Monthly revenue trend visualized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ARIMA model summary generated</w:t>
      </w:r>
    </w:p>
    <w:p>
      <w:pPr>
        <w:pStyle w:val="Heading3"/>
        <w:spacing w:before="0" w:after="200"/>
        <w:rPr/>
      </w:pPr>
      <w:r>
        <w:rPr/>
        <w:t>Business Value: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Helps forecast next quarter revenue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Supports budgeting and demand planning</w:t>
      </w:r>
    </w:p>
    <w:p>
      <w:pPr>
        <w:pStyle w:val="BodyText"/>
        <w:numPr>
          <w:ilvl w:val="0"/>
          <w:numId w:val="0"/>
        </w:numPr>
        <w:spacing w:before="0" w:after="200"/>
        <w:ind w:hanging="0" w:start="0"/>
        <w:jc w:val="center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46575" cy="380111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575" cy="3801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</w:rPr>
        <w:t xml:space="preserve"> </w:t>
      </w:r>
      <w:r>
        <w:rPr/>
        <w:t xml:space="preserve">             </w:t>
      </w:r>
      <w:r>
        <w:rPr>
          <w:b/>
          <w:bCs/>
        </w:rPr>
        <w:t>Monthly Revenue Trend Plot</w:t>
      </w:r>
    </w:p>
    <w:p>
      <w:pPr>
        <w:pStyle w:val="BodyText"/>
        <w:numPr>
          <w:ilvl w:val="0"/>
          <w:numId w:val="0"/>
        </w:numPr>
        <w:spacing w:before="0" w:after="200"/>
        <w:ind w:hanging="0" w:start="0"/>
        <w:rPr>
          <w:rStyle w:val="Strong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605155</wp:posOffset>
            </wp:positionH>
            <wp:positionV relativeFrom="paragraph">
              <wp:posOffset>274320</wp:posOffset>
            </wp:positionV>
            <wp:extent cx="4577715" cy="3236595"/>
            <wp:effectExtent l="0" t="0" r="0" b="0"/>
            <wp:wrapSquare wrapText="largest"/>
            <wp:docPr id="8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715" cy="3236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0"/>
        </w:numPr>
        <w:spacing w:before="0" w:after="200"/>
        <w:ind w:hanging="0" w:start="0"/>
        <w:rPr>
          <w:rStyle w:val="Strong"/>
        </w:rPr>
      </w:pPr>
      <w:r>
        <w:rPr/>
      </w:r>
    </w:p>
    <w:p>
      <w:pPr>
        <w:pStyle w:val="BodyText"/>
        <w:numPr>
          <w:ilvl w:val="0"/>
          <w:numId w:val="0"/>
        </w:numPr>
        <w:spacing w:before="0" w:after="200"/>
        <w:ind w:hanging="0" w:start="0"/>
        <w:rPr>
          <w:rStyle w:val="Strong"/>
        </w:rPr>
      </w:pPr>
      <w:r>
        <w:rPr/>
      </w:r>
    </w:p>
    <w:p>
      <w:pPr>
        <w:pStyle w:val="BodyText"/>
        <w:spacing w:before="0" w:after="200"/>
        <w:rPr>
          <w:rStyle w:val="Strong"/>
        </w:rPr>
      </w:pPr>
      <w:r>
        <w:rPr/>
      </w:r>
    </w:p>
    <w:p>
      <w:pPr>
        <w:pStyle w:val="BodyText"/>
        <w:numPr>
          <w:ilvl w:val="0"/>
          <w:numId w:val="0"/>
        </w:numPr>
        <w:spacing w:before="0" w:after="200"/>
        <w:ind w:hanging="0" w:start="0"/>
        <w:rPr>
          <w:rStyle w:val="Strong"/>
        </w:rPr>
      </w:pPr>
      <w:r>
        <w:rPr/>
      </w:r>
    </w:p>
    <w:p>
      <w:pPr>
        <w:pStyle w:val="BodyText"/>
        <w:numPr>
          <w:ilvl w:val="0"/>
          <w:numId w:val="0"/>
        </w:numPr>
        <w:spacing w:before="0" w:after="200"/>
        <w:ind w:hanging="0" w:start="0"/>
        <w:jc w:val="center"/>
        <w:rPr/>
      </w:pPr>
      <w:r>
        <w:rPr>
          <w:b/>
          <w:bCs/>
        </w:rPr>
        <w:t xml:space="preserve"> </w:t>
      </w:r>
      <w:r>
        <w:rPr>
          <w:b/>
          <w:bCs/>
        </w:rPr>
        <w:t>Model Summary Output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Churn Prediction:</w:t>
      </w:r>
    </w:p>
    <w:p>
      <w:pPr>
        <w:pStyle w:val="Heading3"/>
        <w:spacing w:before="0" w:after="200"/>
        <w:rPr/>
      </w:pPr>
      <w:r>
        <w:rPr/>
        <w:t>Feature Engineering: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Total Revenue per customer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Total Orders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Total Quantity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Months since last order</w:t>
      </w:r>
    </w:p>
    <w:p>
      <w:pPr>
        <w:pStyle w:val="Heading3"/>
        <w:spacing w:before="0" w:after="200"/>
        <w:rPr/>
      </w:pPr>
      <w:r>
        <w:rPr/>
        <w:t>Target Variable: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ourceText"/>
        </w:rPr>
        <w:t>Churn = 1</w:t>
      </w:r>
      <w:r>
        <w:rPr/>
        <w:t xml:space="preserve"> if inactive for more than 6 months</w:t>
      </w:r>
    </w:p>
    <w:p>
      <w:pPr>
        <w:pStyle w:val="Heading3"/>
        <w:spacing w:before="0" w:after="200"/>
        <w:rPr/>
      </w:pPr>
      <w:r>
        <w:rPr/>
        <w:t>Model Used: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trong"/>
        </w:rPr>
        <w:t>Logistic Regression</w:t>
      </w:r>
    </w:p>
    <w:p>
      <w:pPr>
        <w:pStyle w:val="Heading3"/>
        <w:spacing w:before="0" w:after="200"/>
        <w:rPr/>
      </w:pPr>
      <w:r>
        <w:rPr/>
        <w:t>Results: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 xml:space="preserve">Accuracy ≈ </w:t>
      </w:r>
      <w:r>
        <w:rPr>
          <w:rStyle w:val="Strong"/>
        </w:rPr>
        <w:t>60%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High recall for non-churn customers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-71755</wp:posOffset>
            </wp:positionH>
            <wp:positionV relativeFrom="paragraph">
              <wp:posOffset>335280</wp:posOffset>
            </wp:positionV>
            <wp:extent cx="5155565" cy="3170555"/>
            <wp:effectExtent l="0" t="0" r="0" b="0"/>
            <wp:wrapSquare wrapText="largest"/>
            <wp:docPr id="9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565" cy="317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Model highlights customers at churn risk</w:t>
      </w:r>
    </w:p>
    <w:p>
      <w:pPr>
        <w:pStyle w:val="BodyText"/>
        <w:spacing w:before="0" w:after="200"/>
        <w:rPr/>
      </w:pPr>
      <w:r>
        <w:rPr/>
      </w:r>
    </w:p>
    <w:p>
      <w:pPr>
        <w:pStyle w:val="BodyText"/>
        <w:numPr>
          <w:ilvl w:val="0"/>
          <w:numId w:val="0"/>
        </w:numPr>
        <w:spacing w:before="0" w:after="200"/>
        <w:ind w:hanging="0" w:start="0"/>
        <w:jc w:val="start"/>
        <w:rPr>
          <w:b/>
          <w:bCs/>
        </w:rPr>
      </w:pPr>
      <w:r>
        <w:rPr>
          <w:b/>
          <w:bCs/>
        </w:rPr>
        <w:t>Churn Model Results (Accuracy, Confusion Matrix)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High Return Risk Products:</w:t>
      </w:r>
    </w:p>
    <w:p>
      <w:pPr>
        <w:pStyle w:val="Heading3"/>
        <w:spacing w:before="0" w:after="200"/>
        <w:rPr/>
      </w:pPr>
      <w:r>
        <w:rPr/>
        <w:t>Objective:</w:t>
      </w:r>
    </w:p>
    <w:p>
      <w:pPr>
        <w:pStyle w:val="BodyText"/>
        <w:spacing w:before="0" w:after="200"/>
        <w:rPr/>
      </w:pPr>
      <w:r>
        <w:rPr/>
        <w:t>Identify products with above-average return likelihood.</w:t>
      </w:r>
    </w:p>
    <w:p>
      <w:pPr>
        <w:pStyle w:val="Heading3"/>
        <w:spacing w:before="0" w:after="200"/>
        <w:rPr/>
      </w:pPr>
      <w:r>
        <w:rPr/>
        <w:t>Method: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Calculated return rate per product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Flagged products exceeding threshold</w:t>
      </w:r>
    </w:p>
    <w:p>
      <w:pPr>
        <w:pStyle w:val="Heading3"/>
        <w:spacing w:before="0" w:after="200"/>
        <w:rPr/>
      </w:pPr>
      <w:r>
        <w:rPr/>
        <w:t>Business Value: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Helps reduce losses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Supports quality control and supplier evaluation</w:t>
      </w:r>
    </w:p>
    <w:p>
      <w:pPr>
        <w:pStyle w:val="BodyText"/>
        <w:numPr>
          <w:ilvl w:val="0"/>
          <w:numId w:val="0"/>
        </w:numPr>
        <w:spacing w:before="0" w:after="200"/>
        <w:ind w:hanging="0" w:start="0"/>
        <w:jc w:val="start"/>
        <w:rPr>
          <w:b/>
          <w:bCs/>
        </w:rPr>
      </w:pPr>
      <w:r>
        <w:rPr>
          <w:b/>
          <w:bCs/>
        </w:rPr>
        <w:t xml:space="preserve">                                 </w:t>
      </w:r>
      <w:r>
        <w:rPr>
          <w:b/>
          <w:bCs/>
        </w:rPr>
        <w:t>H</w:t>
      </w: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15890" cy="430720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890" cy="4307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igh Return Risk Products Output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6. Business Insights &amp; Recommendations</w:t>
      </w:r>
    </w:p>
    <w:p>
      <w:pPr>
        <w:pStyle w:val="Heading3"/>
        <w:spacing w:before="0" w:after="200"/>
        <w:rPr/>
      </w:pPr>
      <w:r>
        <w:rPr/>
        <w:t>Key Insights: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Revenue growth peaked in 2016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Bikes and Components dominate sales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Certain territories yield higher profit margins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Churn risk exists among low-frequency customers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High return products need corrective action</w:t>
      </w:r>
    </w:p>
    <w:p>
      <w:pPr>
        <w:pStyle w:val="Heading3"/>
        <w:spacing w:before="0" w:after="200"/>
        <w:rPr/>
      </w:pPr>
      <w:r>
        <w:rPr/>
        <w:t>Recommendations: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Focus marketing on high-margin territories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Improve quality checks for high-return categories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Launch retention campaigns for churn-risk customers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Use forecasting for inventory planning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7. Conclusion</w:t>
      </w:r>
    </w:p>
    <w:p>
      <w:pPr>
        <w:pStyle w:val="BodyText"/>
        <w:spacing w:before="0" w:after="200"/>
        <w:rPr/>
      </w:pPr>
      <w:r>
        <w:rPr/>
        <w:t xml:space="preserve">This project demonstrates a complete </w:t>
      </w:r>
      <w:r>
        <w:rPr>
          <w:rStyle w:val="Strong"/>
        </w:rPr>
        <w:t>analytics lifecycle</w:t>
      </w:r>
      <w:r>
        <w:rPr/>
        <w:t>: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trong"/>
        </w:rPr>
        <w:t>SQL</w:t>
      </w:r>
      <w:r>
        <w:rPr/>
        <w:t xml:space="preserve"> for data integration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trong"/>
        </w:rPr>
        <w:t>Tableau</w:t>
      </w:r>
      <w:r>
        <w:rPr/>
        <w:t xml:space="preserve"> for visualization and decision support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>
          <w:rStyle w:val="Strong"/>
        </w:rPr>
        <w:t>Machine Learning</w:t>
      </w:r>
      <w:r>
        <w:rPr/>
        <w:t xml:space="preserve"> for predictive insights</w:t>
      </w:r>
    </w:p>
    <w:p>
      <w:pPr>
        <w:pStyle w:val="BodyText"/>
        <w:spacing w:before="0" w:after="200"/>
        <w:rPr/>
      </w:pPr>
      <w:r>
        <w:rPr/>
        <w:t xml:space="preserve">The solution provides actionable intelligence to improve </w:t>
      </w:r>
      <w:r>
        <w:rPr>
          <w:rStyle w:val="Strong"/>
        </w:rPr>
        <w:t>revenue growth, customer retention, and operational efficiency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77"/>
        </w:tabs>
        <w:ind w:start="777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37"/>
        </w:tabs>
        <w:ind w:start="1137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97"/>
        </w:tabs>
        <w:ind w:start="1497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57"/>
        </w:tabs>
        <w:ind w:start="1857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17"/>
        </w:tabs>
        <w:ind w:start="2217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77"/>
        </w:tabs>
        <w:ind w:start="2577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37"/>
        </w:tabs>
        <w:ind w:start="2937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97"/>
        </w:tabs>
        <w:ind w:start="3297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57"/>
        </w:tabs>
        <w:ind w:start="3657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w="http://schemas.openxmlformats.org/wordprocessingml/2006/main">
  <w:zoom w:percent="5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Tahoma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Tahoma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Tahoma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Tahoma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Tahoma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Tahoma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Tahoma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Tahoma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Tahoma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Tahoma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Tahoma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Tahoma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LibreOffice/25.8.4.2$MacOSX_AARCH64 LibreOffice_project/290daaa01b999472f0c7a3890eb6a550fd74c6df</Application>
  <AppVersion>15.0000</AppVersion>
  <Pages>11</Pages>
  <Words>717</Words>
  <Characters>4225</Characters>
  <CharactersWithSpaces>4818</CharactersWithSpaces>
  <Paragraphs>141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2026-01-22T11:14:32Z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