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75C1" w14:textId="77777777" w:rsidR="003C486E" w:rsidRDefault="00C4009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3BB84354" wp14:editId="26FBB41A">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008E4289" w14:textId="77777777" w:rsidR="003C486E" w:rsidRDefault="003C486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6218E" w14:paraId="28E8CDF1" w14:textId="77777777" w:rsidTr="00501307">
        <w:trPr>
          <w:jc w:val="center"/>
        </w:trPr>
        <w:tc>
          <w:tcPr>
            <w:tcW w:w="4508" w:type="dxa"/>
          </w:tcPr>
          <w:p w14:paraId="6C9B37F1" w14:textId="77777777" w:rsidR="0076218E" w:rsidRDefault="0076218E" w:rsidP="0076218E">
            <w:pPr>
              <w:rPr>
                <w:rFonts w:ascii="Arial" w:eastAsia="Arial" w:hAnsi="Arial" w:cs="Arial"/>
              </w:rPr>
            </w:pPr>
            <w:r>
              <w:rPr>
                <w:rFonts w:ascii="Arial" w:eastAsia="Arial" w:hAnsi="Arial" w:cs="Arial"/>
              </w:rPr>
              <w:t>Date</w:t>
            </w:r>
          </w:p>
        </w:tc>
        <w:tc>
          <w:tcPr>
            <w:tcW w:w="4843" w:type="dxa"/>
            <w:vAlign w:val="center"/>
          </w:tcPr>
          <w:p w14:paraId="19BDFEE8" w14:textId="365E7DBB" w:rsidR="0076218E" w:rsidRDefault="0076218E" w:rsidP="0076218E">
            <w:pPr>
              <w:rPr>
                <w:rFonts w:ascii="Arial" w:eastAsia="Arial" w:hAnsi="Arial" w:cs="Arial"/>
              </w:rPr>
            </w:pPr>
            <w:r>
              <w:t>21 September 2026</w:t>
            </w:r>
          </w:p>
        </w:tc>
      </w:tr>
      <w:tr w:rsidR="0076218E" w14:paraId="3E422C30" w14:textId="77777777">
        <w:trPr>
          <w:jc w:val="center"/>
        </w:trPr>
        <w:tc>
          <w:tcPr>
            <w:tcW w:w="4508" w:type="dxa"/>
          </w:tcPr>
          <w:p w14:paraId="06317138" w14:textId="77777777" w:rsidR="0076218E" w:rsidRDefault="0076218E" w:rsidP="0076218E">
            <w:pPr>
              <w:rPr>
                <w:rFonts w:ascii="Arial" w:eastAsia="Arial" w:hAnsi="Arial" w:cs="Arial"/>
              </w:rPr>
            </w:pPr>
            <w:r>
              <w:rPr>
                <w:rFonts w:ascii="Arial" w:eastAsia="Arial" w:hAnsi="Arial" w:cs="Arial"/>
              </w:rPr>
              <w:t>Team ID</w:t>
            </w:r>
          </w:p>
        </w:tc>
        <w:tc>
          <w:tcPr>
            <w:tcW w:w="4843" w:type="dxa"/>
          </w:tcPr>
          <w:p w14:paraId="31D11C94" w14:textId="7ADADDD8" w:rsidR="0076218E" w:rsidRDefault="0076218E" w:rsidP="0076218E">
            <w:pPr>
              <w:rPr>
                <w:rFonts w:ascii="Arial" w:eastAsia="Arial" w:hAnsi="Arial" w:cs="Arial"/>
              </w:rPr>
            </w:pPr>
            <w:r>
              <w:rPr>
                <w:rFonts w:ascii="Arial" w:eastAsia="Arial" w:hAnsi="Arial" w:cs="Arial"/>
              </w:rPr>
              <w:t>MCA</w:t>
            </w:r>
          </w:p>
        </w:tc>
      </w:tr>
      <w:tr w:rsidR="0076218E" w14:paraId="4C07518E" w14:textId="77777777">
        <w:trPr>
          <w:jc w:val="center"/>
        </w:trPr>
        <w:tc>
          <w:tcPr>
            <w:tcW w:w="4508" w:type="dxa"/>
          </w:tcPr>
          <w:p w14:paraId="0BA5FFCA" w14:textId="77777777" w:rsidR="0076218E" w:rsidRDefault="0076218E" w:rsidP="0076218E">
            <w:pPr>
              <w:rPr>
                <w:rFonts w:ascii="Arial" w:eastAsia="Arial" w:hAnsi="Arial" w:cs="Arial"/>
              </w:rPr>
            </w:pPr>
            <w:r>
              <w:rPr>
                <w:rFonts w:ascii="Arial" w:eastAsia="Arial" w:hAnsi="Arial" w:cs="Arial"/>
              </w:rPr>
              <w:t>Project Name</w:t>
            </w:r>
          </w:p>
        </w:tc>
        <w:tc>
          <w:tcPr>
            <w:tcW w:w="4843" w:type="dxa"/>
          </w:tcPr>
          <w:p w14:paraId="7A528D65" w14:textId="0E621123" w:rsidR="0076218E" w:rsidRDefault="0076218E" w:rsidP="0076218E">
            <w:pPr>
              <w:rPr>
                <w:rFonts w:ascii="Arial" w:eastAsia="Arial" w:hAnsi="Arial" w:cs="Arial"/>
              </w:rPr>
            </w:pPr>
            <w:r>
              <w:rPr>
                <w:rFonts w:ascii="Arial" w:eastAsia="Arial" w:hAnsi="Arial" w:cs="Arial"/>
              </w:rPr>
              <w:t>Strategic Employee Attrition Intelligence Board</w:t>
            </w:r>
          </w:p>
        </w:tc>
      </w:tr>
      <w:tr w:rsidR="0076218E" w14:paraId="32FF1CFC" w14:textId="77777777">
        <w:trPr>
          <w:jc w:val="center"/>
        </w:trPr>
        <w:tc>
          <w:tcPr>
            <w:tcW w:w="4508" w:type="dxa"/>
          </w:tcPr>
          <w:p w14:paraId="4FD083C9" w14:textId="77777777" w:rsidR="0076218E" w:rsidRDefault="0076218E" w:rsidP="0076218E">
            <w:pPr>
              <w:rPr>
                <w:rFonts w:ascii="Arial" w:eastAsia="Arial" w:hAnsi="Arial" w:cs="Arial"/>
              </w:rPr>
            </w:pPr>
            <w:r>
              <w:rPr>
                <w:rFonts w:ascii="Arial" w:eastAsia="Arial" w:hAnsi="Arial" w:cs="Arial"/>
              </w:rPr>
              <w:t>Maximum Marks</w:t>
            </w:r>
          </w:p>
        </w:tc>
        <w:tc>
          <w:tcPr>
            <w:tcW w:w="4843" w:type="dxa"/>
          </w:tcPr>
          <w:p w14:paraId="0D5C8FA3" w14:textId="77777777" w:rsidR="0076218E" w:rsidRDefault="0076218E" w:rsidP="0076218E">
            <w:pPr>
              <w:rPr>
                <w:rFonts w:ascii="Arial" w:eastAsia="Arial" w:hAnsi="Arial" w:cs="Arial"/>
              </w:rPr>
            </w:pPr>
            <w:r>
              <w:rPr>
                <w:rFonts w:ascii="Arial" w:eastAsia="Arial" w:hAnsi="Arial" w:cs="Arial"/>
              </w:rPr>
              <w:t>5 Marks</w:t>
            </w:r>
          </w:p>
        </w:tc>
      </w:tr>
    </w:tbl>
    <w:p w14:paraId="0007AEF1" w14:textId="77777777" w:rsidR="003C486E" w:rsidRDefault="003C486E">
      <w:pPr>
        <w:rPr>
          <w:rFonts w:ascii="Cambria" w:eastAsia="Cambria" w:hAnsi="Cambria" w:cs="Cambria"/>
          <w:color w:val="000000"/>
          <w:sz w:val="24"/>
          <w:szCs w:val="24"/>
          <w:highlight w:val="white"/>
        </w:rPr>
      </w:pPr>
    </w:p>
    <w:p w14:paraId="41CEFA4A" w14:textId="77777777" w:rsidR="003C486E" w:rsidRDefault="00C40090">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3C64BF34" w14:textId="77777777" w:rsidR="003C486E" w:rsidRDefault="00C40090">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30A63C8" w14:textId="5B0212BE" w:rsidR="00D015F8" w:rsidRDefault="00D015F8">
      <w:pPr>
        <w:pBdr>
          <w:top w:val="nil"/>
          <w:left w:val="nil"/>
          <w:bottom w:val="nil"/>
          <w:right w:val="nil"/>
          <w:between w:val="nil"/>
        </w:pBdr>
        <w:spacing w:after="200" w:line="240" w:lineRule="auto"/>
        <w:ind w:left="284"/>
        <w:jc w:val="both"/>
      </w:pPr>
      <w:r w:rsidRPr="00D015F8">
        <w:rPr>
          <w:noProof/>
        </w:rPr>
        <w:drawing>
          <wp:inline distT="0" distB="0" distL="0" distR="0" wp14:anchorId="7995FB94" wp14:editId="2A48E152">
            <wp:extent cx="5731510" cy="3241675"/>
            <wp:effectExtent l="0" t="0" r="2540" b="0"/>
            <wp:docPr id="14618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78258" name=""/>
                    <pic:cNvPicPr/>
                  </pic:nvPicPr>
                  <pic:blipFill>
                    <a:blip r:embed="rId7"/>
                    <a:stretch>
                      <a:fillRect/>
                    </a:stretch>
                  </pic:blipFill>
                  <pic:spPr>
                    <a:xfrm>
                      <a:off x="0" y="0"/>
                      <a:ext cx="5731510" cy="3241675"/>
                    </a:xfrm>
                    <a:prstGeom prst="rect">
                      <a:avLst/>
                    </a:prstGeom>
                  </pic:spPr>
                </pic:pic>
              </a:graphicData>
            </a:graphic>
          </wp:inline>
        </w:drawing>
      </w:r>
    </w:p>
    <w:p w14:paraId="1DC911AD"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Observations Drawn from the Power BI Report</w:t>
      </w:r>
    </w:p>
    <w:p w14:paraId="45B7E4C7" w14:textId="77777777" w:rsidR="00D015F8" w:rsidRPr="00D015F8" w:rsidRDefault="00D015F8" w:rsidP="00D015F8">
      <w:pPr>
        <w:pBdr>
          <w:top w:val="nil"/>
          <w:left w:val="nil"/>
          <w:bottom w:val="nil"/>
          <w:right w:val="nil"/>
          <w:between w:val="nil"/>
        </w:pBdr>
        <w:spacing w:after="200" w:line="240" w:lineRule="auto"/>
        <w:ind w:left="284"/>
        <w:jc w:val="both"/>
      </w:pPr>
      <w:r w:rsidRPr="00D015F8">
        <w:t xml:space="preserve">Observations from the </w:t>
      </w:r>
      <w:r w:rsidRPr="00D015F8">
        <w:rPr>
          <w:b/>
          <w:bCs/>
        </w:rPr>
        <w:t>Strategic Employee Attrition Intelligence Dashboard</w:t>
      </w:r>
      <w:r w:rsidRPr="00D015F8">
        <w:t xml:space="preserve"> provide valuable insights into employee turnover patterns and the factors associated with attrition.</w:t>
      </w:r>
    </w:p>
    <w:p w14:paraId="3AD07259"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1. Attrition Overview</w:t>
      </w:r>
    </w:p>
    <w:p w14:paraId="69BF81D1" w14:textId="77777777" w:rsidR="00D015F8" w:rsidRPr="00D015F8" w:rsidRDefault="00D015F8" w:rsidP="00D015F8">
      <w:pPr>
        <w:pBdr>
          <w:top w:val="nil"/>
          <w:left w:val="nil"/>
          <w:bottom w:val="nil"/>
          <w:right w:val="nil"/>
          <w:between w:val="nil"/>
        </w:pBdr>
        <w:spacing w:after="200" w:line="240" w:lineRule="auto"/>
        <w:ind w:left="284"/>
        <w:jc w:val="both"/>
      </w:pPr>
      <w:r w:rsidRPr="00D015F8">
        <w:t xml:space="preserve">● </w:t>
      </w:r>
      <w:proofErr w:type="spellStart"/>
      <w:r w:rsidRPr="00D015F8">
        <w:t>Analyze</w:t>
      </w:r>
      <w:proofErr w:type="spellEnd"/>
      <w:r w:rsidRPr="00D015F8">
        <w:t xml:space="preserve"> key KPIs such as </w:t>
      </w:r>
      <w:r w:rsidRPr="00D015F8">
        <w:rPr>
          <w:b/>
          <w:bCs/>
        </w:rPr>
        <w:t>total employees, attrition count, and attrition rate</w:t>
      </w:r>
      <w:r w:rsidRPr="00D015F8">
        <w:t xml:space="preserve"> to understand the overall employee turnover in the organization.</w:t>
      </w:r>
    </w:p>
    <w:p w14:paraId="72E425AF"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2. Attrition Rate Comparisons</w:t>
      </w:r>
    </w:p>
    <w:p w14:paraId="3586A6F5" w14:textId="77777777" w:rsidR="00D015F8" w:rsidRPr="00D015F8" w:rsidRDefault="00D015F8" w:rsidP="00D015F8">
      <w:pPr>
        <w:pBdr>
          <w:top w:val="nil"/>
          <w:left w:val="nil"/>
          <w:bottom w:val="nil"/>
          <w:right w:val="nil"/>
          <w:between w:val="nil"/>
        </w:pBdr>
        <w:spacing w:after="200" w:line="240" w:lineRule="auto"/>
        <w:ind w:left="284"/>
        <w:jc w:val="both"/>
      </w:pPr>
      <w:r w:rsidRPr="00D015F8">
        <w:lastRenderedPageBreak/>
        <w:t xml:space="preserve">● Compare </w:t>
      </w:r>
      <w:r w:rsidRPr="00D015F8">
        <w:rPr>
          <w:b/>
          <w:bCs/>
        </w:rPr>
        <w:t>attrition rates across departments and job roles</w:t>
      </w:r>
      <w:r w:rsidRPr="00D015F8">
        <w:t xml:space="preserve"> to identify areas with differences in employee turnover.</w:t>
      </w:r>
    </w:p>
    <w:p w14:paraId="09BFCC90"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3. Work Mode Analysis</w:t>
      </w:r>
    </w:p>
    <w:p w14:paraId="1E1775B3" w14:textId="77777777" w:rsidR="00D015F8" w:rsidRPr="00D015F8" w:rsidRDefault="00D015F8" w:rsidP="00D015F8">
      <w:pPr>
        <w:pBdr>
          <w:top w:val="nil"/>
          <w:left w:val="nil"/>
          <w:bottom w:val="nil"/>
          <w:right w:val="nil"/>
          <w:between w:val="nil"/>
        </w:pBdr>
        <w:spacing w:after="200" w:line="240" w:lineRule="auto"/>
        <w:ind w:left="284"/>
        <w:jc w:val="both"/>
      </w:pPr>
      <w:r w:rsidRPr="00D015F8">
        <w:t xml:space="preserve">● Examine employee attrition across different </w:t>
      </w:r>
      <w:r w:rsidRPr="00D015F8">
        <w:rPr>
          <w:b/>
          <w:bCs/>
        </w:rPr>
        <w:t>work modes</w:t>
      </w:r>
      <w:r w:rsidRPr="00D015F8">
        <w:t xml:space="preserve"> to understand how work arrangements are associated with employee turnover.</w:t>
      </w:r>
    </w:p>
    <w:p w14:paraId="050B0F26"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4. AI Tool Usage and Attrition</w:t>
      </w:r>
    </w:p>
    <w:p w14:paraId="1450E459" w14:textId="77777777" w:rsidR="00D015F8" w:rsidRPr="00D015F8" w:rsidRDefault="00D015F8" w:rsidP="00D015F8">
      <w:pPr>
        <w:pBdr>
          <w:top w:val="nil"/>
          <w:left w:val="nil"/>
          <w:bottom w:val="nil"/>
          <w:right w:val="nil"/>
          <w:between w:val="nil"/>
        </w:pBdr>
        <w:spacing w:after="200" w:line="240" w:lineRule="auto"/>
        <w:ind w:left="284"/>
        <w:jc w:val="both"/>
      </w:pPr>
      <w:r w:rsidRPr="00D015F8">
        <w:t xml:space="preserve">● </w:t>
      </w:r>
      <w:proofErr w:type="spellStart"/>
      <w:r w:rsidRPr="00D015F8">
        <w:t>Analyze</w:t>
      </w:r>
      <w:proofErr w:type="spellEnd"/>
      <w:r w:rsidRPr="00D015F8">
        <w:t xml:space="preserve"> </w:t>
      </w:r>
      <w:r w:rsidRPr="00D015F8">
        <w:rPr>
          <w:b/>
          <w:bCs/>
        </w:rPr>
        <w:t>AI tool usage in relation to employee attrition</w:t>
      </w:r>
      <w:r w:rsidRPr="00D015F8">
        <w:t xml:space="preserve"> to identify patterns between technology adoption and employee turnover.</w:t>
      </w:r>
    </w:p>
    <w:p w14:paraId="7E54DF01" w14:textId="77777777" w:rsidR="00D015F8" w:rsidRPr="00D015F8" w:rsidRDefault="00D015F8" w:rsidP="00D015F8">
      <w:pPr>
        <w:pBdr>
          <w:top w:val="nil"/>
          <w:left w:val="nil"/>
          <w:bottom w:val="nil"/>
          <w:right w:val="nil"/>
          <w:between w:val="nil"/>
        </w:pBdr>
        <w:spacing w:after="200" w:line="240" w:lineRule="auto"/>
        <w:ind w:left="284"/>
        <w:jc w:val="both"/>
        <w:rPr>
          <w:b/>
          <w:bCs/>
        </w:rPr>
      </w:pPr>
      <w:r w:rsidRPr="00D015F8">
        <w:rPr>
          <w:b/>
          <w:bCs/>
        </w:rPr>
        <w:t>5. Employee Wellbeing and Attrition</w:t>
      </w:r>
    </w:p>
    <w:p w14:paraId="52E1C961" w14:textId="77777777" w:rsidR="008B2470" w:rsidRDefault="00D015F8" w:rsidP="008B2470">
      <w:pPr>
        <w:pBdr>
          <w:top w:val="nil"/>
          <w:left w:val="nil"/>
          <w:bottom w:val="nil"/>
          <w:right w:val="nil"/>
          <w:between w:val="nil"/>
        </w:pBdr>
        <w:spacing w:after="200" w:line="240" w:lineRule="auto"/>
        <w:ind w:left="284"/>
        <w:jc w:val="both"/>
      </w:pPr>
      <w:r w:rsidRPr="00D015F8">
        <w:t xml:space="preserve">● Compare </w:t>
      </w:r>
      <w:r w:rsidRPr="00D015F8">
        <w:rPr>
          <w:b/>
          <w:bCs/>
        </w:rPr>
        <w:t>burnout, engagement, and work-life balance</w:t>
      </w:r>
      <w:r w:rsidRPr="00D015F8">
        <w:t xml:space="preserve"> across employees based on their attri</w:t>
      </w:r>
      <w:r w:rsidR="008B2470">
        <w:t>tion.</w:t>
      </w:r>
    </w:p>
    <w:p w14:paraId="43D0315D" w14:textId="77777777" w:rsidR="008B2470" w:rsidRDefault="008B2470" w:rsidP="008B2470">
      <w:pPr>
        <w:pBdr>
          <w:top w:val="nil"/>
          <w:left w:val="nil"/>
          <w:bottom w:val="nil"/>
          <w:right w:val="nil"/>
          <w:between w:val="nil"/>
        </w:pBdr>
        <w:spacing w:after="200" w:line="240" w:lineRule="auto"/>
        <w:ind w:left="284"/>
        <w:jc w:val="both"/>
      </w:pPr>
    </w:p>
    <w:p w14:paraId="1015CE77" w14:textId="08DAF47B" w:rsidR="003C486E" w:rsidRPr="008B2470" w:rsidRDefault="00454B51" w:rsidP="008B2470">
      <w:pPr>
        <w:pBdr>
          <w:top w:val="nil"/>
          <w:left w:val="nil"/>
          <w:bottom w:val="nil"/>
          <w:right w:val="nil"/>
          <w:between w:val="nil"/>
        </w:pBdr>
        <w:spacing w:after="200" w:line="240" w:lineRule="auto"/>
        <w:jc w:val="both"/>
      </w:pPr>
      <w:r>
        <w:rPr>
          <w:rFonts w:ascii="Times New Roman" w:eastAsia="Times New Roman" w:hAnsi="Times New Roman" w:cs="Times New Roman"/>
          <w:b/>
          <w:bCs/>
          <w:color w:val="4472C4"/>
          <w:sz w:val="24"/>
          <w:szCs w:val="24"/>
        </w:rPr>
        <w:t>E</w:t>
      </w:r>
      <w:r w:rsidR="00C40090">
        <w:rPr>
          <w:rFonts w:ascii="Times New Roman" w:eastAsia="Times New Roman" w:hAnsi="Times New Roman" w:cs="Times New Roman"/>
          <w:b/>
          <w:bCs/>
          <w:color w:val="4472C4"/>
          <w:sz w:val="24"/>
          <w:szCs w:val="24"/>
        </w:rPr>
        <w:t>xample:</w:t>
      </w:r>
    </w:p>
    <w:p w14:paraId="7ACFBF80"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Attrition Risk Across Salary Growth Bands</w:t>
      </w:r>
    </w:p>
    <w:p w14:paraId="0EF28EEF"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bar chart shows that higher salary hikes correlate directly with lower turnover. Employees receiving a </w:t>
      </w:r>
      <w:r w:rsidRPr="00D015F8">
        <w:rPr>
          <w:rFonts w:ascii="Arial" w:eastAsia="Arial" w:hAnsi="Arial" w:cs="Arial"/>
          <w:b/>
          <w:bCs/>
          <w:color w:val="000000"/>
          <w:sz w:val="20"/>
          <w:szCs w:val="20"/>
        </w:rPr>
        <w:t>0–5% hike experience the highest attrition rate at 0.30</w:t>
      </w:r>
      <w:r w:rsidRPr="00D015F8">
        <w:rPr>
          <w:rFonts w:ascii="Arial" w:eastAsia="Arial" w:hAnsi="Arial" w:cs="Arial"/>
          <w:color w:val="000000"/>
          <w:sz w:val="20"/>
          <w:szCs w:val="20"/>
        </w:rPr>
        <w:t>, while those with a 21%+ hike have the lowest risk at 0.09.</w:t>
      </w:r>
    </w:p>
    <w:p w14:paraId="0A621D00"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Attrition Patterns Across Educational Backgrounds</w:t>
      </w:r>
    </w:p>
    <w:p w14:paraId="70FF48FC"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scatter plot maps employee counts against attrition rates based on their educational levels. It helps HR leaders quickly identify which </w:t>
      </w:r>
      <w:r w:rsidRPr="00D015F8">
        <w:rPr>
          <w:rFonts w:ascii="Arial" w:eastAsia="Arial" w:hAnsi="Arial" w:cs="Arial"/>
          <w:b/>
          <w:bCs/>
          <w:color w:val="000000"/>
          <w:sz w:val="20"/>
          <w:szCs w:val="20"/>
        </w:rPr>
        <w:t>academic cohorts represent the highest volume of staff</w:t>
      </w:r>
      <w:r w:rsidRPr="00D015F8">
        <w:rPr>
          <w:rFonts w:ascii="Arial" w:eastAsia="Arial" w:hAnsi="Arial" w:cs="Arial"/>
          <w:color w:val="000000"/>
          <w:sz w:val="20"/>
          <w:szCs w:val="20"/>
        </w:rPr>
        <w:t xml:space="preserve"> and how their specific departure rates compare.</w:t>
      </w:r>
    </w:p>
    <w:p w14:paraId="0C9FF066"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Burnout Risk Across Different Work Models</w:t>
      </w:r>
    </w:p>
    <w:p w14:paraId="6ED62E7A"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stacked bar chart evaluates how workload fatigue impacts retention across Onsite, Hybrid, and Remote setups. It reveals that </w:t>
      </w:r>
      <w:r w:rsidRPr="00D015F8">
        <w:rPr>
          <w:rFonts w:ascii="Arial" w:eastAsia="Arial" w:hAnsi="Arial" w:cs="Arial"/>
          <w:b/>
          <w:bCs/>
          <w:color w:val="000000"/>
          <w:sz w:val="20"/>
          <w:szCs w:val="20"/>
        </w:rPr>
        <w:t>Onsite workers experience the highest proportion of "Very High" burnout risk</w:t>
      </w:r>
      <w:r w:rsidRPr="00D015F8">
        <w:rPr>
          <w:rFonts w:ascii="Arial" w:eastAsia="Arial" w:hAnsi="Arial" w:cs="Arial"/>
          <w:color w:val="000000"/>
          <w:sz w:val="20"/>
          <w:szCs w:val="20"/>
        </w:rPr>
        <w:t>, closely followed by Hybrid employees.</w:t>
      </w:r>
    </w:p>
    <w:p w14:paraId="29C1EBB8"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Employee Attrition Across Tenure Journey</w:t>
      </w:r>
    </w:p>
    <w:p w14:paraId="0F7CACD1"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line graph tracks employee departures relative to their total years at the company. It displays a volatile but relatively stable pattern during the first 15 years, followed by a </w:t>
      </w:r>
      <w:r w:rsidRPr="00D015F8">
        <w:rPr>
          <w:rFonts w:ascii="Arial" w:eastAsia="Arial" w:hAnsi="Arial" w:cs="Arial"/>
          <w:b/>
          <w:bCs/>
          <w:color w:val="000000"/>
          <w:sz w:val="20"/>
          <w:szCs w:val="20"/>
        </w:rPr>
        <w:t>sharp, dramatic increase in attrition as employees approach their 20-year milestone</w:t>
      </w:r>
      <w:r w:rsidRPr="00D015F8">
        <w:rPr>
          <w:rFonts w:ascii="Arial" w:eastAsia="Arial" w:hAnsi="Arial" w:cs="Arial"/>
          <w:color w:val="000000"/>
          <w:sz w:val="20"/>
          <w:szCs w:val="20"/>
        </w:rPr>
        <w:t>.</w:t>
      </w:r>
    </w:p>
    <w:p w14:paraId="3CFE7F87"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Attrition Rate by Workplace Model</w:t>
      </w:r>
    </w:p>
    <w:p w14:paraId="0A6F4154"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horizontal bar chart compares overall turnover rates by operational environment. </w:t>
      </w:r>
      <w:r w:rsidRPr="00D015F8">
        <w:rPr>
          <w:rFonts w:ascii="Arial" w:eastAsia="Arial" w:hAnsi="Arial" w:cs="Arial"/>
          <w:b/>
          <w:bCs/>
          <w:color w:val="000000"/>
          <w:sz w:val="20"/>
          <w:szCs w:val="20"/>
        </w:rPr>
        <w:t>Onsite working models lead the company in turnover with a 0.21 attrition rate</w:t>
      </w:r>
      <w:r w:rsidRPr="00D015F8">
        <w:rPr>
          <w:rFonts w:ascii="Arial" w:eastAsia="Arial" w:hAnsi="Arial" w:cs="Arial"/>
          <w:color w:val="000000"/>
          <w:sz w:val="20"/>
          <w:szCs w:val="20"/>
        </w:rPr>
        <w:t>, while remote arrangements prove the most stable at 0.15.</w:t>
      </w:r>
    </w:p>
    <w:p w14:paraId="6929DA7A" w14:textId="77777777" w:rsidR="00D015F8" w:rsidRPr="00D015F8" w:rsidRDefault="00D015F8" w:rsidP="00D015F8">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D015F8">
        <w:rPr>
          <w:rFonts w:ascii="Arial" w:eastAsia="Arial" w:hAnsi="Arial" w:cs="Arial"/>
          <w:b/>
          <w:bCs/>
          <w:color w:val="000000"/>
          <w:sz w:val="20"/>
          <w:szCs w:val="20"/>
        </w:rPr>
        <w:t>Attrition Trends Across Career Levels</w:t>
      </w:r>
    </w:p>
    <w:p w14:paraId="05AF658C"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line graph illustrates employee turnover across five distinct job seniority tiers. Attrition peaks early at </w:t>
      </w:r>
      <w:r w:rsidRPr="00D015F8">
        <w:rPr>
          <w:rFonts w:ascii="Arial" w:eastAsia="Arial" w:hAnsi="Arial" w:cs="Arial"/>
          <w:b/>
          <w:bCs/>
          <w:color w:val="000000"/>
          <w:sz w:val="20"/>
          <w:szCs w:val="20"/>
        </w:rPr>
        <w:t>Level 1 with a rate of 0.208</w:t>
      </w:r>
      <w:r w:rsidRPr="00D015F8">
        <w:rPr>
          <w:rFonts w:ascii="Arial" w:eastAsia="Arial" w:hAnsi="Arial" w:cs="Arial"/>
          <w:color w:val="000000"/>
          <w:sz w:val="20"/>
          <w:szCs w:val="20"/>
        </w:rPr>
        <w:t>, steadily drops to a low of 0.166 at Level 3, and reaches its absolute lowest point at Level 5 (0.153).</w:t>
      </w:r>
    </w:p>
    <w:p w14:paraId="34D75C90" w14:textId="59EC58EC" w:rsid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noProof/>
          <w:color w:val="000000"/>
          <w:sz w:val="20"/>
          <w:szCs w:val="20"/>
        </w:rPr>
        <w:lastRenderedPageBreak/>
        <w:drawing>
          <wp:inline distT="0" distB="0" distL="0" distR="0" wp14:anchorId="5B1C4D65" wp14:editId="214FB89A">
            <wp:extent cx="5731510" cy="3251835"/>
            <wp:effectExtent l="0" t="0" r="2540" b="5715"/>
            <wp:docPr id="60666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8067" name=""/>
                    <pic:cNvPicPr/>
                  </pic:nvPicPr>
                  <pic:blipFill>
                    <a:blip r:embed="rId8"/>
                    <a:stretch>
                      <a:fillRect/>
                    </a:stretch>
                  </pic:blipFill>
                  <pic:spPr>
                    <a:xfrm>
                      <a:off x="0" y="0"/>
                      <a:ext cx="5731510" cy="3251835"/>
                    </a:xfrm>
                    <a:prstGeom prst="rect">
                      <a:avLst/>
                    </a:prstGeom>
                  </pic:spPr>
                </pic:pic>
              </a:graphicData>
            </a:graphic>
          </wp:inline>
        </w:drawing>
      </w:r>
    </w:p>
    <w:p w14:paraId="1365E945" w14:textId="77777777" w:rsid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p>
    <w:p w14:paraId="4C662BB5"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Attrition Risk by Overtime Intensity</w:t>
      </w:r>
    </w:p>
    <w:p w14:paraId="06A7AF3A"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horizontal bar chart highlights a strong link between heavy overtime hours and staff departures. Employees working </w:t>
      </w:r>
      <w:r w:rsidRPr="00D015F8">
        <w:rPr>
          <w:rFonts w:ascii="Arial" w:eastAsia="Arial" w:hAnsi="Arial" w:cs="Arial"/>
          <w:b/>
          <w:bCs/>
          <w:color w:val="000000"/>
          <w:sz w:val="20"/>
          <w:szCs w:val="20"/>
        </w:rPr>
        <w:t>21–30 hours of overtime have a massive 0.54 attrition rate</w:t>
      </w:r>
      <w:r w:rsidRPr="00D015F8">
        <w:rPr>
          <w:rFonts w:ascii="Arial" w:eastAsia="Arial" w:hAnsi="Arial" w:cs="Arial"/>
          <w:color w:val="000000"/>
          <w:sz w:val="20"/>
          <w:szCs w:val="20"/>
        </w:rPr>
        <w:t>, while those keeping overtime under 5 hours are the most stable at 0.12.</w:t>
      </w:r>
    </w:p>
    <w:p w14:paraId="69F9E9D5"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Attrition Risk Across Performance Levels</w:t>
      </w:r>
    </w:p>
    <w:p w14:paraId="338C7F33"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vertical bar chart tracks turnover against individual performance ratings ranging from 2 to 5. It shows that </w:t>
      </w:r>
      <w:r w:rsidRPr="00D015F8">
        <w:rPr>
          <w:rFonts w:ascii="Arial" w:eastAsia="Arial" w:hAnsi="Arial" w:cs="Arial"/>
          <w:b/>
          <w:bCs/>
          <w:color w:val="000000"/>
          <w:sz w:val="20"/>
          <w:szCs w:val="20"/>
        </w:rPr>
        <w:t>lower performers leave at the highest rate (0.29)</w:t>
      </w:r>
      <w:r w:rsidRPr="00D015F8">
        <w:rPr>
          <w:rFonts w:ascii="Arial" w:eastAsia="Arial" w:hAnsi="Arial" w:cs="Arial"/>
          <w:color w:val="000000"/>
          <w:sz w:val="20"/>
          <w:szCs w:val="20"/>
        </w:rPr>
        <w:t>, while top-tier performers with a rating of 5 are highly retained with an attrition rate of just 0.08.</w:t>
      </w:r>
    </w:p>
    <w:p w14:paraId="2FF893CE"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Attrition Risk by Training Investment</w:t>
      </w:r>
    </w:p>
    <w:p w14:paraId="6E4B1C3A"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Despite the title's reference to training, this line graph actually measures attrition across different </w:t>
      </w:r>
      <w:r w:rsidRPr="00D015F8">
        <w:rPr>
          <w:rFonts w:ascii="Arial" w:eastAsia="Arial" w:hAnsi="Arial" w:cs="Arial"/>
          <w:b/>
          <w:bCs/>
          <w:color w:val="000000"/>
          <w:sz w:val="20"/>
          <w:szCs w:val="20"/>
        </w:rPr>
        <w:t>burnout score bands</w:t>
      </w:r>
      <w:r w:rsidRPr="00D015F8">
        <w:rPr>
          <w:rFonts w:ascii="Arial" w:eastAsia="Arial" w:hAnsi="Arial" w:cs="Arial"/>
          <w:color w:val="000000"/>
          <w:sz w:val="20"/>
          <w:szCs w:val="20"/>
        </w:rPr>
        <w:t xml:space="preserve">. It shows a linear trend where attrition plummets from a peak of </w:t>
      </w:r>
      <w:r w:rsidRPr="00D015F8">
        <w:rPr>
          <w:rFonts w:ascii="Arial" w:eastAsia="Arial" w:hAnsi="Arial" w:cs="Arial"/>
          <w:b/>
          <w:bCs/>
          <w:color w:val="000000"/>
          <w:sz w:val="20"/>
          <w:szCs w:val="20"/>
        </w:rPr>
        <w:t>0.54 for employees experiencing "Very High" burnout</w:t>
      </w:r>
      <w:r w:rsidRPr="00D015F8">
        <w:rPr>
          <w:rFonts w:ascii="Arial" w:eastAsia="Arial" w:hAnsi="Arial" w:cs="Arial"/>
          <w:color w:val="000000"/>
          <w:sz w:val="20"/>
          <w:szCs w:val="20"/>
        </w:rPr>
        <w:t xml:space="preserve"> down to a mere 0.05 for those with "Low" burnout.</w:t>
      </w:r>
    </w:p>
    <w:p w14:paraId="5286C778"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Attrition Patterns Across Career Stages</w:t>
      </w:r>
    </w:p>
    <w:p w14:paraId="179F1DBD"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line chart tracks how employee turnover fluctuates by age from 20 to over 60 years old. Attrition rates remain relatively volatile but steady through middle age, followed by a </w:t>
      </w:r>
      <w:r w:rsidRPr="00D015F8">
        <w:rPr>
          <w:rFonts w:ascii="Arial" w:eastAsia="Arial" w:hAnsi="Arial" w:cs="Arial"/>
          <w:b/>
          <w:bCs/>
          <w:color w:val="000000"/>
          <w:sz w:val="20"/>
          <w:szCs w:val="20"/>
        </w:rPr>
        <w:t>dramatic spike and subsequent drop as employees near retirement age around 60</w:t>
      </w:r>
      <w:r w:rsidRPr="00D015F8">
        <w:rPr>
          <w:rFonts w:ascii="Arial" w:eastAsia="Arial" w:hAnsi="Arial" w:cs="Arial"/>
          <w:color w:val="000000"/>
          <w:sz w:val="20"/>
          <w:szCs w:val="20"/>
        </w:rPr>
        <w:t>.</w:t>
      </w:r>
    </w:p>
    <w:p w14:paraId="4E4498A7"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Employee Retention by Marital Status</w:t>
      </w:r>
    </w:p>
    <w:p w14:paraId="38A112F7"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stacked horizontal bar chart visualizes retention counts ("No" vs. "Yes" to attrition) grouped by marital status. It shows that the </w:t>
      </w:r>
      <w:r w:rsidRPr="00D015F8">
        <w:rPr>
          <w:rFonts w:ascii="Arial" w:eastAsia="Arial" w:hAnsi="Arial" w:cs="Arial"/>
          <w:b/>
          <w:bCs/>
          <w:color w:val="000000"/>
          <w:sz w:val="20"/>
          <w:szCs w:val="20"/>
        </w:rPr>
        <w:t>Married cohort represents the largest volume of employees</w:t>
      </w:r>
      <w:r w:rsidRPr="00D015F8">
        <w:rPr>
          <w:rFonts w:ascii="Arial" w:eastAsia="Arial" w:hAnsi="Arial" w:cs="Arial"/>
          <w:color w:val="000000"/>
          <w:sz w:val="20"/>
          <w:szCs w:val="20"/>
        </w:rPr>
        <w:t>, while the Divorced group is the smallest segment in the dataset.</w:t>
      </w:r>
    </w:p>
    <w:p w14:paraId="16614E79" w14:textId="77777777" w:rsidR="00D015F8" w:rsidRPr="008B2470" w:rsidRDefault="00D015F8" w:rsidP="008B2470">
      <w:pPr>
        <w:pStyle w:val="ListParagraph"/>
        <w:numPr>
          <w:ilvl w:val="0"/>
          <w:numId w:val="8"/>
        </w:numPr>
        <w:pBdr>
          <w:top w:val="nil"/>
          <w:left w:val="nil"/>
          <w:bottom w:val="nil"/>
          <w:right w:val="nil"/>
          <w:between w:val="nil"/>
        </w:pBdr>
        <w:spacing w:after="200" w:line="240" w:lineRule="auto"/>
        <w:rPr>
          <w:rFonts w:ascii="Arial" w:eastAsia="Arial" w:hAnsi="Arial" w:cs="Arial"/>
          <w:b/>
          <w:bCs/>
          <w:color w:val="000000"/>
          <w:sz w:val="20"/>
          <w:szCs w:val="20"/>
        </w:rPr>
      </w:pPr>
      <w:r w:rsidRPr="008B2470">
        <w:rPr>
          <w:rFonts w:ascii="Arial" w:eastAsia="Arial" w:hAnsi="Arial" w:cs="Arial"/>
          <w:b/>
          <w:bCs/>
          <w:color w:val="000000"/>
          <w:sz w:val="20"/>
          <w:szCs w:val="20"/>
        </w:rPr>
        <w:t>Department Wise Attrition Rate</w:t>
      </w:r>
    </w:p>
    <w:p w14:paraId="2E0C2909" w14:textId="77777777" w:rsidR="00D015F8" w:rsidRPr="00D015F8" w:rsidRDefault="00D015F8" w:rsidP="00D015F8">
      <w:pPr>
        <w:pBdr>
          <w:top w:val="nil"/>
          <w:left w:val="nil"/>
          <w:bottom w:val="nil"/>
          <w:right w:val="nil"/>
          <w:between w:val="nil"/>
        </w:pBdr>
        <w:spacing w:after="200" w:line="240" w:lineRule="auto"/>
        <w:rPr>
          <w:rFonts w:ascii="Arial" w:eastAsia="Arial" w:hAnsi="Arial" w:cs="Arial"/>
          <w:color w:val="000000"/>
          <w:sz w:val="20"/>
          <w:szCs w:val="20"/>
        </w:rPr>
      </w:pPr>
      <w:r w:rsidRPr="00D015F8">
        <w:rPr>
          <w:rFonts w:ascii="Arial" w:eastAsia="Arial" w:hAnsi="Arial" w:cs="Arial"/>
          <w:color w:val="000000"/>
          <w:sz w:val="20"/>
          <w:szCs w:val="20"/>
        </w:rPr>
        <w:t xml:space="preserve">This donut chart displays the breakdown of the company's overall </w:t>
      </w:r>
      <w:r w:rsidRPr="00D015F8">
        <w:rPr>
          <w:rFonts w:ascii="Arial" w:eastAsia="Arial" w:hAnsi="Arial" w:cs="Arial"/>
          <w:b/>
          <w:bCs/>
          <w:color w:val="000000"/>
          <w:sz w:val="20"/>
          <w:szCs w:val="20"/>
        </w:rPr>
        <w:t>0.18 attrition rate</w:t>
      </w:r>
      <w:r w:rsidRPr="00D015F8">
        <w:rPr>
          <w:rFonts w:ascii="Arial" w:eastAsia="Arial" w:hAnsi="Arial" w:cs="Arial"/>
          <w:color w:val="000000"/>
          <w:sz w:val="20"/>
          <w:szCs w:val="20"/>
        </w:rPr>
        <w:t xml:space="preserve"> across different business units. The highest share of departures comes from </w:t>
      </w:r>
      <w:r w:rsidRPr="00D015F8">
        <w:rPr>
          <w:rFonts w:ascii="Arial" w:eastAsia="Arial" w:hAnsi="Arial" w:cs="Arial"/>
          <w:b/>
          <w:bCs/>
          <w:color w:val="000000"/>
          <w:sz w:val="20"/>
          <w:szCs w:val="20"/>
        </w:rPr>
        <w:t>Sales (16.51%)</w:t>
      </w:r>
      <w:r w:rsidRPr="00D015F8">
        <w:rPr>
          <w:rFonts w:ascii="Arial" w:eastAsia="Arial" w:hAnsi="Arial" w:cs="Arial"/>
          <w:color w:val="000000"/>
          <w:sz w:val="20"/>
          <w:szCs w:val="20"/>
        </w:rPr>
        <w:t>, closely followed by Customer Support, while smaller segments make up the remaining percentage slices.</w:t>
      </w:r>
    </w:p>
    <w:p w14:paraId="238F1723" w14:textId="77777777" w:rsidR="00D015F8" w:rsidRPr="00D015F8" w:rsidRDefault="00E058FE" w:rsidP="00D015F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lastRenderedPageBreak/>
        <w:pict w14:anchorId="7276A35D">
          <v:rect id="_x0000_i1025" style="width:0;height:1.5pt" o:hralign="center" o:hrstd="t" o:hr="t" fillcolor="#a0a0a0" stroked="f"/>
        </w:pict>
      </w:r>
    </w:p>
    <w:sectPr w:rsidR="00D015F8" w:rsidRPr="00D015F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91CE298-82CC-4B90-9AFE-FC73BF8B4E6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356B0818-C848-498A-A60B-C57249C142C4}"/>
    <w:embedBold r:id="rId3" w:fontKey="{0A724652-2DB7-4B7D-B0A5-988BE47A7089}"/>
  </w:font>
  <w:font w:name="Georgia">
    <w:panose1 w:val="02040502050405020303"/>
    <w:charset w:val="00"/>
    <w:family w:val="roman"/>
    <w:pitch w:val="variable"/>
    <w:sig w:usb0="00000287" w:usb1="00000000" w:usb2="00000000" w:usb3="00000000" w:csb0="0000009F" w:csb1="00000000"/>
    <w:embedItalic r:id="rId4" w:fontKey="{6BD75F75-E59E-453A-BF9E-91C0D7163E21}"/>
  </w:font>
  <w:font w:name="Cambria">
    <w:panose1 w:val="02040503050406030204"/>
    <w:charset w:val="00"/>
    <w:family w:val="roman"/>
    <w:pitch w:val="variable"/>
    <w:sig w:usb0="E00006FF" w:usb1="420024FF" w:usb2="02000000" w:usb3="00000000" w:csb0="0000019F" w:csb1="00000000"/>
    <w:embedRegular r:id="rId5" w:fontKey="{F7BF7A82-E5EB-4F67-857F-A3624F92D69B}"/>
    <w:embedBold r:id="rId6" w:fontKey="{99C84474-97C8-4662-B0F0-FA61AAAC275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3A227B51-4DD0-4DA0-B619-5E8D77F0B1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6C7"/>
    <w:multiLevelType w:val="multilevel"/>
    <w:tmpl w:val="F79817F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961B05"/>
    <w:multiLevelType w:val="multilevel"/>
    <w:tmpl w:val="A4B09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FC457C"/>
    <w:multiLevelType w:val="multilevel"/>
    <w:tmpl w:val="03344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FEA4839"/>
    <w:multiLevelType w:val="multilevel"/>
    <w:tmpl w:val="C9B49C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086C53"/>
    <w:multiLevelType w:val="multilevel"/>
    <w:tmpl w:val="169CE3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6583368"/>
    <w:multiLevelType w:val="multilevel"/>
    <w:tmpl w:val="BB5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74CE1"/>
    <w:multiLevelType w:val="hybridMultilevel"/>
    <w:tmpl w:val="6AF83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A60227"/>
    <w:multiLevelType w:val="multilevel"/>
    <w:tmpl w:val="61B61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0BC3883"/>
    <w:multiLevelType w:val="multilevel"/>
    <w:tmpl w:val="7FA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658992">
    <w:abstractNumId w:val="2"/>
  </w:num>
  <w:num w:numId="2" w16cid:durableId="899369129">
    <w:abstractNumId w:val="3"/>
  </w:num>
  <w:num w:numId="3" w16cid:durableId="46611283">
    <w:abstractNumId w:val="1"/>
  </w:num>
  <w:num w:numId="4" w16cid:durableId="2137605088">
    <w:abstractNumId w:val="4"/>
  </w:num>
  <w:num w:numId="5" w16cid:durableId="2116092748">
    <w:abstractNumId w:val="7"/>
  </w:num>
  <w:num w:numId="6" w16cid:durableId="1944604432">
    <w:abstractNumId w:val="0"/>
  </w:num>
  <w:num w:numId="7" w16cid:durableId="196083792">
    <w:abstractNumId w:val="5"/>
  </w:num>
  <w:num w:numId="8" w16cid:durableId="929704291">
    <w:abstractNumId w:val="6"/>
  </w:num>
  <w:num w:numId="9" w16cid:durableId="135146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86E"/>
    <w:rsid w:val="003C486E"/>
    <w:rsid w:val="00454B51"/>
    <w:rsid w:val="0075075E"/>
    <w:rsid w:val="0076218E"/>
    <w:rsid w:val="00860ECF"/>
    <w:rsid w:val="008B2470"/>
    <w:rsid w:val="00C40090"/>
    <w:rsid w:val="00D01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3A9D"/>
  <w15:docId w15:val="{8CB8D371-B967-4F51-9FE6-D15FF974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 Sharmila</cp:lastModifiedBy>
  <cp:revision>3</cp:revision>
  <dcterms:created xsi:type="dcterms:W3CDTF">2026-09-18T21:59:00Z</dcterms:created>
  <dcterms:modified xsi:type="dcterms:W3CDTF">2026-09-19T23:43:00Z</dcterms:modified>
</cp:coreProperties>
</file>