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Editorial Writing Portfolio</w:t>
      </w:r>
    </w:p>
    <w:p>
      <w:pPr>
        <w:jc w:val="left"/>
      </w:pPr>
      <w:r>
        <w:rPr>
          <w:b/>
          <w:color w:val="5A6670"/>
          <w:sz w:val="20"/>
        </w:rPr>
        <w:t>Three original samples for the Perplexity Senior Editor application</w:t>
      </w:r>
    </w:p>
    <w:p>
      <w:r>
        <w:rPr>
          <w:i/>
          <w:color w:val="5A6670"/>
          <w:sz w:val="18"/>
        </w:rPr>
        <w:t>Original application writing sample  |  Sharmila Rammohan</w:t>
      </w:r>
    </w:p>
    <w:p>
      <w:r>
        <w:t>This portfolio demonstrates product storytelling, technical explanation, and hands-on editorial judgment. The work draws on my experience leading technical-content teams, building editorial standards, editing complex material, and designing AI-assisted content-quality systems. None of the samples was commissioned by or previously published for Perplexity.</w:t>
      </w:r>
    </w:p>
    <w:p>
      <w:pPr>
        <w:pStyle w:val="Heading1"/>
      </w:pPr>
      <w:r>
        <w:t>Contents</w:t>
      </w:r>
    </w:p>
    <w:p>
      <w:r>
        <w:t>1  A Better Answer Starts Before the Prompt</w:t>
        <w:br/>
        <w:t>Product launch narrative showing restraint, product clarity, and reader-centered storytelling.</w:t>
      </w:r>
    </w:p>
    <w:p>
      <w:r>
        <w:t>2  Retrieval Is Not the Same as Knowing</w:t>
        <w:br/>
        <w:t>Technical explainer translating retrieval architecture and evaluation into accessible prose.</w:t>
      </w:r>
    </w:p>
    <w:p>
      <w:r>
        <w:t>3  Editorial Judgment in Practice</w:t>
        <w:br/>
        <w:t>A developmental and line-editing demonstration with revision rationale and publication checks.</w:t>
      </w:r>
    </w:p>
    <w:p>
      <w:pPr>
        <w:sectPr>
          <w:footerReference w:type="default" r:id="rId9"/>
          <w:pgSz w:w="12240" w:h="15840"/>
          <w:pgMar w:top="893" w:right="1181" w:bottom="835" w:left="1181" w:header="720" w:footer="720" w:gutter="0"/>
          <w:cols w:space="720"/>
          <w:docGrid w:linePitch="360"/>
        </w:sectPr>
      </w:pPr>
    </w:p>
    <w:p>
      <w:pPr>
        <w:pStyle w:val="Title"/>
      </w:pPr>
      <w:r>
        <w:t>A Better Answer Starts Before the Prompt</w:t>
      </w:r>
    </w:p>
    <w:p>
      <w:pPr>
        <w:jc w:val="left"/>
      </w:pPr>
      <w:r>
        <w:rPr>
          <w:b/>
          <w:color w:val="5A6670"/>
          <w:sz w:val="20"/>
        </w:rPr>
        <w:t>Product launch narrative  |  Audience: customers, partners, and industry readers</w:t>
      </w:r>
    </w:p>
    <w:p>
      <w:r>
        <w:rPr>
          <w:i/>
          <w:color w:val="5A6670"/>
          <w:sz w:val="18"/>
        </w:rPr>
        <w:t>Original application writing sample  |  Sharmila Rammohan</w:t>
      </w:r>
    </w:p>
    <w:p>
      <w:r>
        <w:t>The most visible part of an AI answer is the sentence on the screen. The most important part is everything that happened before it.</w:t>
      </w:r>
    </w:p>
    <w:p>
      <w:r>
        <w:t>A useful answer depends on a chain of choices: which sources the system can access, how it decides what is relevant, how it distinguishes current information from stale material, and how clearly it shows uncertainty. A fluent response can hide a weak chain. A trustworthy product makes that chain stronger—and easier to inspect.</w:t>
      </w:r>
    </w:p>
    <w:p>
      <w:pPr>
        <w:pStyle w:val="Heading1"/>
      </w:pPr>
      <w:r>
        <w:t>Introducing Answer Evidence</w:t>
      </w:r>
    </w:p>
    <w:p>
      <w:r>
        <w:t>Answer Evidence is a new layer for AI-assisted research that helps people see why an answer deserves confidence. It connects each material claim to supporting sources, highlights disagreement among those sources, and makes freshness visible at the point of use.</w:t>
      </w:r>
    </w:p>
    <w:p>
      <w:r>
        <w:t>The goal is not to turn every question into a research project. It is to let a reader move quickly when the evidence is straightforward and slow down when the stakes, ambiguity, or source quality demand it.</w:t>
      </w:r>
    </w:p>
    <w:p>
      <w:pPr>
        <w:pStyle w:val="Heading1"/>
      </w:pPr>
      <w:r>
        <w:t>What changes for the reader</w:t>
      </w:r>
    </w:p>
    <w:p>
      <w:r>
        <w:t>Claims, not just paragraphs, become inspectable. A citation at the end of a long response may support only part of what precedes it. Answer Evidence maps support to the specific claim it informs, reducing the work required to verify an answer.</w:t>
      </w:r>
    </w:p>
    <w:p>
      <w:r>
        <w:t>Conflicting evidence becomes part of the answer. When credible sources disagree, the product does not flatten them into false consensus. It summarizes the disagreement, identifies the basis for each position, and states what remains unresolved.</w:t>
      </w:r>
    </w:p>
    <w:p>
      <w:r>
        <w:t>Freshness becomes a visible property. For time-sensitive questions, readers can see when source material was published or last updated and whether newer evidence may change the conclusion.</w:t>
      </w:r>
    </w:p>
    <w:p>
      <w:pPr>
        <w:pStyle w:val="Heading1"/>
      </w:pPr>
      <w:r>
        <w:t>Designed for speed and scrutiny</w:t>
      </w:r>
    </w:p>
    <w:p>
      <w:r>
        <w:t>Most people do not want more interface. They want fewer reasons to doubt the answer. The design therefore reveals evidence progressively: a concise response first, claim-level support when requested, and deeper source context for readers who need to investigate.</w:t>
      </w:r>
    </w:p>
    <w:p>
      <w:r>
        <w:t>This approach also improves the system behind the screen. Unsupported claims, weak sources, and contradictory evidence become measurable failure modes rather than vague quality concerns. Product teams can evaluate them, trace them to the knowledge and retrieval pipeline, and decide what to fix next.</w:t>
      </w:r>
    </w:p>
    <w:p>
      <w:pPr>
        <w:pStyle w:val="Heading1"/>
      </w:pPr>
      <w:r>
        <w:t>The standard is useful truth</w:t>
      </w:r>
    </w:p>
    <w:p>
      <w:r>
        <w:t>AI products earn trust by being useful when the answer is clear and candid when it is not. They should help a reader reach a sound conclusion, not merely produce a convincing one.</w:t>
      </w:r>
    </w:p>
    <w:p>
      <w:r>
        <w:t>Answer Evidence moves that standard closer to the product experience. It makes rigor practical: fast enough for everyday questions, inspectable enough for consequential ones, and honest about the boundary between what the system knows and what the evidence can support.</w:t>
      </w:r>
    </w:p>
    <w:p>
      <w:pPr>
        <w:sectPr>
          <w:pgSz w:w="12240" w:h="15840"/>
          <w:pgMar w:top="893" w:right="1181" w:bottom="835" w:left="1181" w:header="720" w:footer="720" w:gutter="0"/>
          <w:cols w:space="720"/>
          <w:docGrid w:linePitch="360"/>
        </w:sectPr>
      </w:pPr>
    </w:p>
    <w:p>
      <w:pPr>
        <w:pStyle w:val="Title"/>
      </w:pPr>
      <w:r>
        <w:t>Retrieval Is Not the Same as Knowing</w:t>
      </w:r>
    </w:p>
    <w:p>
      <w:pPr>
        <w:spacing w:after="60" w:line="240" w:lineRule="auto"/>
        <w:jc w:val="left"/>
      </w:pPr>
      <w:r>
        <w:rPr>
          <w:b/>
          <w:color w:val="5A6670"/>
          <w:sz w:val="18"/>
        </w:rPr>
        <w:t>Technical explainer  |  Audience: product, engineering, content, and informed public readers</w:t>
      </w:r>
    </w:p>
    <w:p>
      <w:pPr>
        <w:spacing w:after="60" w:line="240" w:lineRule="auto"/>
      </w:pPr>
      <w:r>
        <w:rPr>
          <w:i/>
          <w:color w:val="5A6670"/>
          <w:sz w:val="18"/>
        </w:rPr>
        <w:t>Original application writing sample  |  Sharmila Rammohan</w:t>
      </w:r>
    </w:p>
    <w:p>
      <w:pPr>
        <w:spacing w:after="60" w:line="240" w:lineRule="auto"/>
      </w:pPr>
      <w:r>
        <w:rPr>
          <w:sz w:val="18"/>
        </w:rPr>
        <w:t>Retrieval-augmented generation gives a language model access to external information. It does not guarantee that the resulting answer is current, complete, or true. That distinction matters because retrieval can improve an answer while also making it look more authoritative than the evidence warrants.</w:t>
      </w:r>
    </w:p>
    <w:p>
      <w:pPr>
        <w:pStyle w:val="Heading1"/>
        <w:spacing w:before="100" w:after="60"/>
      </w:pPr>
      <w:r>
        <w:rPr>
          <w:sz w:val="26"/>
        </w:rPr>
        <w:t>What retrieval actually does</w:t>
      </w:r>
    </w:p>
    <w:p>
      <w:pPr>
        <w:spacing w:after="60" w:line="240" w:lineRule="auto"/>
      </w:pPr>
      <w:r>
        <w:rPr>
          <w:sz w:val="18"/>
        </w:rPr>
        <w:t>A retrieval system converts a question into a search request, selects candidate material, ranks it, and places a limited set of passages into the model’s context. The model then generates an answer from that context and from patterns learned during training. Every stage can introduce error.</w:t>
      </w:r>
    </w:p>
    <w:p>
      <w:pPr>
        <w:pStyle w:val="Heading1"/>
        <w:spacing w:before="100" w:after="60"/>
      </w:pPr>
      <w:r>
        <w:rPr>
          <w:sz w:val="26"/>
        </w:rPr>
        <w:t>Four places the answer can fail</w:t>
      </w:r>
    </w:p>
    <w:p>
      <w:pPr>
        <w:spacing w:after="60" w:line="240" w:lineRule="auto"/>
      </w:pPr>
      <w:r>
        <w:rPr>
          <w:sz w:val="18"/>
        </w:rPr>
        <w:t>1. The source set is wrong. If the knowledge base is incomplete, outdated, duplicated, or poorly governed, strong retrieval cannot recover information that is absent or untrustworthy.</w:t>
      </w:r>
    </w:p>
    <w:p>
      <w:pPr>
        <w:spacing w:after="60" w:line="240" w:lineRule="auto"/>
      </w:pPr>
      <w:r>
        <w:rPr>
          <w:sz w:val="18"/>
        </w:rPr>
        <w:t>2. The search misses the relevant evidence. Vocabulary differences, weak metadata, poor chunking, or an underspecified question can push the best passage below the retrieval cutoff.</w:t>
      </w:r>
    </w:p>
    <w:p>
      <w:pPr>
        <w:spacing w:after="60" w:line="240" w:lineRule="auto"/>
      </w:pPr>
      <w:r>
        <w:rPr>
          <w:sz w:val="18"/>
        </w:rPr>
        <w:t>3. The context is relevant but insufficient. A passage may mention the topic without supporting the claim the model makes. Relevance is necessary; entailment is stricter.</w:t>
      </w:r>
    </w:p>
    <w:p>
      <w:pPr>
        <w:spacing w:after="60" w:line="240" w:lineRule="auto"/>
      </w:pPr>
      <w:r>
        <w:rPr>
          <w:sz w:val="18"/>
        </w:rPr>
        <w:t>4. The model misuses good evidence. It may merge incompatible sources, overstate a qualified finding, omit an important condition, or attach a citation to a claim the source does not establish.</w:t>
      </w:r>
    </w:p>
    <w:p>
      <w:pPr>
        <w:pStyle w:val="Heading1"/>
        <w:spacing w:before="100" w:after="60"/>
      </w:pPr>
      <w:r>
        <w:rPr>
          <w:sz w:val="26"/>
        </w:rPr>
        <w:t>Evaluation must follow the same chain</w:t>
      </w:r>
    </w:p>
    <w:p>
      <w:pPr>
        <w:spacing w:after="60" w:line="240" w:lineRule="auto"/>
      </w:pPr>
      <w:r>
        <w:rPr>
          <w:sz w:val="18"/>
        </w:rPr>
        <w:t>A single “answer quality” score hides the source of failure. Better evaluation separates the stages: source authority and freshness; retrieval recall and ranking; claim-level support; factual consistency; answer usefulness; and citation correctness. Human review remains important when the question is ambiguous, the evidence conflicts, or the cost of error is high.</w:t>
      </w:r>
    </w:p>
    <w:p>
      <w:pPr>
        <w:pStyle w:val="Heading1"/>
        <w:spacing w:before="100" w:after="60"/>
      </w:pPr>
      <w:r>
        <w:rPr>
          <w:sz w:val="26"/>
        </w:rPr>
        <w:t>What content teams contribute</w:t>
      </w:r>
    </w:p>
    <w:p>
      <w:pPr>
        <w:spacing w:after="60" w:line="240" w:lineRule="auto"/>
      </w:pPr>
      <w:r>
        <w:rPr>
          <w:sz w:val="18"/>
        </w:rPr>
        <w:t>The knowledge layer is not a warehouse of pages. It is a maintained system of authoritative sources, ownership, metadata, relationships, lifecycle rules, and review signals. Taxonomy helps the system interpret concepts consistently. Metadata supports filtering and freshness. Source mapping identifies which material can support which kinds of claims. Clear content structure improves both retrieval and the reader’s ability to verify the answer.</w:t>
      </w:r>
    </w:p>
    <w:p>
      <w:pPr>
        <w:pStyle w:val="Heading1"/>
        <w:spacing w:before="100" w:after="60"/>
      </w:pPr>
      <w:r>
        <w:rPr>
          <w:sz w:val="26"/>
        </w:rPr>
        <w:t>A practical standard</w:t>
      </w:r>
    </w:p>
    <w:p>
      <w:pPr>
        <w:spacing w:after="60" w:line="240" w:lineRule="auto"/>
      </w:pPr>
      <w:r>
        <w:rPr>
          <w:sz w:val="18"/>
        </w:rPr>
        <w:t>A retrieval-backed answer should pass three tests: the system found the right evidence; the evidence supports the material claims; and the response represents the evidence without hiding uncertainty. If any one fails, the answer may still sound excellent. It is not yet dependable.</w:t>
      </w:r>
    </w:p>
    <w:p>
      <w:pPr>
        <w:pStyle w:val="Heading1"/>
        <w:spacing w:before="100" w:after="60"/>
      </w:pPr>
      <w:r>
        <w:rPr>
          <w:sz w:val="26"/>
        </w:rPr>
        <w:t>References</w:t>
      </w:r>
    </w:p>
    <w:p>
      <w:pPr>
        <w:spacing w:after="60" w:line="240" w:lineRule="auto"/>
      </w:pPr>
      <w:r>
        <w:rPr>
          <w:sz w:val="18"/>
        </w:rPr>
        <w:t>Lewis, P. et al. (2020). Retrieval-Augmented Generation for Knowledge-Intensive NLP Tasks. Advances in Neural Information Processing Systems 33.</w:t>
      </w:r>
    </w:p>
    <w:p>
      <w:pPr>
        <w:spacing w:after="60" w:line="240" w:lineRule="auto"/>
      </w:pPr>
      <w:r>
        <w:rPr>
          <w:sz w:val="18"/>
        </w:rPr>
        <w:t>NIST (2024). Artificial Intelligence Risk Management Framework Generative Artificial Intelligence Profile. NIST AI 600-1.</w:t>
      </w:r>
    </w:p>
    <w:p>
      <w:pPr>
        <w:spacing w:after="60" w:line="240" w:lineRule="auto"/>
      </w:pPr>
      <w:r>
        <w:rPr>
          <w:sz w:val="18"/>
        </w:rPr>
        <w:t>Ji, Z. et al. (2023). Survey of Hallucination in Natural Language Generation. ACM Computing Surveys, 55(12).</w:t>
      </w:r>
    </w:p>
    <w:p>
      <w:pPr>
        <w:sectPr>
          <w:pgSz w:w="12240" w:h="15840"/>
          <w:pgMar w:top="893" w:right="1181" w:bottom="835" w:left="1181" w:header="720" w:footer="720" w:gutter="0"/>
          <w:cols w:space="720"/>
          <w:docGrid w:linePitch="360"/>
        </w:sectPr>
      </w:pPr>
    </w:p>
    <w:p>
      <w:pPr>
        <w:pStyle w:val="Title"/>
      </w:pPr>
      <w:r>
        <w:t>Editorial Judgment in Practice</w:t>
      </w:r>
    </w:p>
    <w:p>
      <w:pPr>
        <w:jc w:val="left"/>
      </w:pPr>
      <w:r>
        <w:rPr>
          <w:b/>
          <w:color w:val="5A6670"/>
          <w:sz w:val="20"/>
        </w:rPr>
        <w:t>Developmental and line editing demonstration  |  From weak launch copy to a credible product narrative</w:t>
      </w:r>
    </w:p>
    <w:p>
      <w:r>
        <w:rPr>
          <w:i/>
          <w:color w:val="5A6670"/>
          <w:sz w:val="18"/>
        </w:rPr>
        <w:t>Original application writing sample  |  Sharmila Rammohan</w:t>
      </w:r>
    </w:p>
    <w:p>
      <w:pPr>
        <w:pStyle w:val="Heading1"/>
      </w:pPr>
      <w:r>
        <w:t>Editorial brief</w:t>
      </w:r>
    </w:p>
    <w:p>
      <w:r>
        <w:t>The source draft below is intentionally flawed. The assignment is to announce an AI research feature to a broad audience without unsupported superlatives, vague promises, or buried product value. The revision must preserve the core idea while improving the argument, evidence, voice, and pace.</w:t>
      </w:r>
    </w:p>
    <w:p>
      <w:pPr>
        <w:pStyle w:val="Heading1"/>
      </w:pPr>
      <w:r>
        <w:t>Source draft</w:t>
      </w:r>
    </w:p>
    <w:p>
      <w:r>
        <w:rPr>
          <w:i/>
          <w:color w:val="5A6670"/>
        </w:rPr>
        <w:t>Our revolutionary new research experience changes everything about how users discover truth online. Powered by the most advanced artificial intelligence, it instantly analyzes the entire internet to provide perfectly accurate answers for everyone. Unlike legacy search products, it understands exactly what you mean and eliminates hours of manual research. The product includes citations, multiple modes, personalization, collaboration, and many other powerful capabilities. We believe it represents the future of knowledge and will transform work for students, professionals, researchers, and all users worldwide.</w:t>
      </w:r>
    </w:p>
    <w:p>
      <w:pPr>
        <w:pStyle w:val="Heading1"/>
      </w:pPr>
      <w:r>
        <w:t>Publication ready revision</w:t>
      </w:r>
    </w:p>
    <w:p>
      <w:r>
        <w:t>Research rarely fails because information is unavailable. It fails because the reader has to sort strong evidence from weak evidence, reconcile conflicting claims, and decide when the search is complete.</w:t>
      </w:r>
    </w:p>
    <w:p>
      <w:r>
        <w:t>The new research experience helps with that work. It breaks a complex question into a set of searches, compares sources, and produces a concise synthesis with citations that readers can inspect. When credible sources disagree, the answer shows the disagreement instead of smoothing it away.</w:t>
      </w:r>
    </w:p>
    <w:p>
      <w:r>
        <w:t>The product is designed for questions that require more than a quick fact: comparing policy proposals, understanding a technical field, preparing for a decision, or finding the evidence behind a claim. Readers remain responsible for judgment. The system makes that judgment easier to exercise by showing its sources and the limits of the available evidence.</w:t>
      </w:r>
    </w:p>
    <w:p>
      <w:r>
        <w:t>A faster answer is valuable. A faster path to understanding is better.</w:t>
      </w:r>
    </w:p>
    <w:p>
      <w:r>
        <w:br w:type="page"/>
      </w:r>
    </w:p>
    <w:p>
      <w:pPr>
        <w:pStyle w:val="Heading1"/>
      </w:pPr>
      <w:r>
        <w:t>What changed and why</w:t>
      </w:r>
    </w:p>
    <w:tbl>
      <w:tblPr>
        <w:tblW w:type="auto" w:w="0"/>
        <w:tblLayout w:type="fixed"/>
        <w:tblLook w:firstColumn="1" w:firstRow="1" w:lastColumn="0" w:lastRow="0" w:noHBand="0" w:noVBand="1" w:val="04A0"/>
      </w:tblPr>
      <w:tblGrid>
        <w:gridCol w:w="3293"/>
        <w:gridCol w:w="3293"/>
        <w:gridCol w:w="3293"/>
      </w:tblGrid>
      <w:tr>
        <w:tc>
          <w:tcPr>
            <w:tcW w:type="dxa" w:w="1656"/>
            <w:shd w:fill="17324D"/>
            <w:tcMar>
              <w:top w:w="110" w:type="dxa"/>
              <w:start w:w="120" w:type="dxa"/>
              <w:bottom w:w="110" w:type="dxa"/>
              <w:end w:w="120" w:type="dxa"/>
            </w:tcMar>
            <w:vAlign w:val="center"/>
          </w:tcPr>
          <w:p>
            <w:r>
              <w:rPr>
                <w:b/>
                <w:color w:val="FFFFFF"/>
                <w:sz w:val="18"/>
              </w:rPr>
              <w:t>Editorial decision</w:t>
            </w:r>
          </w:p>
        </w:tc>
        <w:tc>
          <w:tcPr>
            <w:tcW w:type="dxa" w:w="3672"/>
            <w:shd w:fill="17324D"/>
            <w:tcMar>
              <w:top w:w="110" w:type="dxa"/>
              <w:start w:w="120" w:type="dxa"/>
              <w:bottom w:w="110" w:type="dxa"/>
              <w:end w:w="120" w:type="dxa"/>
            </w:tcMar>
            <w:vAlign w:val="center"/>
          </w:tcPr>
          <w:p>
            <w:r>
              <w:rPr>
                <w:b/>
                <w:color w:val="FFFFFF"/>
                <w:sz w:val="18"/>
              </w:rPr>
              <w:t>Revision</w:t>
            </w:r>
          </w:p>
        </w:tc>
        <w:tc>
          <w:tcPr>
            <w:tcW w:type="dxa" w:w="3672"/>
            <w:shd w:fill="17324D"/>
            <w:tcMar>
              <w:top w:w="110" w:type="dxa"/>
              <w:start w:w="120" w:type="dxa"/>
              <w:bottom w:w="110" w:type="dxa"/>
              <w:end w:w="120" w:type="dxa"/>
            </w:tcMar>
            <w:vAlign w:val="center"/>
          </w:tcPr>
          <w:p>
            <w:r>
              <w:rPr>
                <w:b/>
                <w:color w:val="FFFFFF"/>
                <w:sz w:val="18"/>
              </w:rPr>
              <w:t>Reason</w:t>
            </w:r>
          </w:p>
        </w:tc>
      </w:tr>
      <w:tr>
        <w:tc>
          <w:tcPr>
            <w:tcW w:type="dxa" w:w="1656"/>
            <w:tcMar>
              <w:top w:w="110" w:type="dxa"/>
              <w:start w:w="120" w:type="dxa"/>
              <w:bottom w:w="110" w:type="dxa"/>
              <w:end w:w="120" w:type="dxa"/>
            </w:tcMar>
            <w:vAlign w:val="center"/>
          </w:tcPr>
          <w:p>
            <w:r>
              <w:rPr>
                <w:rFonts w:ascii="Aptos" w:hAnsi="Aptos"/>
                <w:color w:val="202830"/>
                <w:sz w:val="17"/>
              </w:rPr>
              <w:t>Argument</w:t>
            </w:r>
          </w:p>
        </w:tc>
        <w:tc>
          <w:tcPr>
            <w:tcW w:type="dxa" w:w="3672"/>
            <w:tcMar>
              <w:top w:w="110" w:type="dxa"/>
              <w:start w:w="120" w:type="dxa"/>
              <w:bottom w:w="110" w:type="dxa"/>
              <w:end w:w="120" w:type="dxa"/>
            </w:tcMar>
            <w:vAlign w:val="center"/>
          </w:tcPr>
          <w:p>
            <w:r>
              <w:rPr>
                <w:rFonts w:ascii="Aptos" w:hAnsi="Aptos"/>
                <w:color w:val="202830"/>
                <w:sz w:val="17"/>
              </w:rPr>
              <w:t>Led with the user problem, then introduced the feature as a response.</w:t>
            </w:r>
          </w:p>
        </w:tc>
        <w:tc>
          <w:tcPr>
            <w:tcW w:type="dxa" w:w="3672"/>
            <w:tcMar>
              <w:top w:w="110" w:type="dxa"/>
              <w:start w:w="120" w:type="dxa"/>
              <w:bottom w:w="110" w:type="dxa"/>
              <w:end w:w="120" w:type="dxa"/>
            </w:tcMar>
            <w:vAlign w:val="center"/>
          </w:tcPr>
          <w:p>
            <w:r>
              <w:rPr>
                <w:rFonts w:ascii="Aptos" w:hAnsi="Aptos"/>
                <w:color w:val="202830"/>
                <w:sz w:val="17"/>
              </w:rPr>
              <w:t>The draft began with the company’s enthusiasm rather than the reader’s need.</w:t>
            </w:r>
          </w:p>
        </w:tc>
      </w:tr>
      <w:tr>
        <w:tc>
          <w:tcPr>
            <w:tcW w:type="dxa" w:w="1656"/>
            <w:tcMar>
              <w:top w:w="110" w:type="dxa"/>
              <w:start w:w="120" w:type="dxa"/>
              <w:bottom w:w="110" w:type="dxa"/>
              <w:end w:w="120" w:type="dxa"/>
            </w:tcMar>
            <w:vAlign w:val="center"/>
            <w:shd w:fill="EDF3F7"/>
          </w:tcPr>
          <w:p>
            <w:r>
              <w:rPr>
                <w:rFonts w:ascii="Aptos" w:hAnsi="Aptos"/>
                <w:color w:val="202830"/>
                <w:sz w:val="17"/>
              </w:rPr>
              <w:t>Accuracy</w:t>
            </w:r>
          </w:p>
        </w:tc>
        <w:tc>
          <w:tcPr>
            <w:tcW w:type="dxa" w:w="3672"/>
            <w:tcMar>
              <w:top w:w="110" w:type="dxa"/>
              <w:start w:w="120" w:type="dxa"/>
              <w:bottom w:w="110" w:type="dxa"/>
              <w:end w:w="120" w:type="dxa"/>
            </w:tcMar>
            <w:vAlign w:val="center"/>
            <w:shd w:fill="EDF3F7"/>
          </w:tcPr>
          <w:p>
            <w:r>
              <w:rPr>
                <w:rFonts w:ascii="Aptos" w:hAnsi="Aptos"/>
                <w:color w:val="202830"/>
                <w:sz w:val="17"/>
              </w:rPr>
              <w:t>Removed “entire internet,” “perfectly accurate,” and “understands exactly.”</w:t>
            </w:r>
          </w:p>
        </w:tc>
        <w:tc>
          <w:tcPr>
            <w:tcW w:type="dxa" w:w="3672"/>
            <w:tcMar>
              <w:top w:w="110" w:type="dxa"/>
              <w:start w:w="120" w:type="dxa"/>
              <w:bottom w:w="110" w:type="dxa"/>
              <w:end w:w="120" w:type="dxa"/>
            </w:tcMar>
            <w:vAlign w:val="center"/>
            <w:shd w:fill="EDF3F7"/>
          </w:tcPr>
          <w:p>
            <w:r>
              <w:rPr>
                <w:rFonts w:ascii="Aptos" w:hAnsi="Aptos"/>
                <w:color w:val="202830"/>
                <w:sz w:val="17"/>
              </w:rPr>
              <w:t>The claims are unprovable and create unnecessary trust risk.</w:t>
            </w:r>
          </w:p>
        </w:tc>
      </w:tr>
      <w:tr>
        <w:tc>
          <w:tcPr>
            <w:tcW w:type="dxa" w:w="1656"/>
            <w:tcMar>
              <w:top w:w="110" w:type="dxa"/>
              <w:start w:w="120" w:type="dxa"/>
              <w:bottom w:w="110" w:type="dxa"/>
              <w:end w:w="120" w:type="dxa"/>
            </w:tcMar>
            <w:vAlign w:val="center"/>
          </w:tcPr>
          <w:p>
            <w:r>
              <w:rPr>
                <w:rFonts w:ascii="Aptos" w:hAnsi="Aptos"/>
                <w:color w:val="202830"/>
                <w:sz w:val="17"/>
              </w:rPr>
              <w:t>Structure</w:t>
            </w:r>
          </w:p>
        </w:tc>
        <w:tc>
          <w:tcPr>
            <w:tcW w:type="dxa" w:w="3672"/>
            <w:tcMar>
              <w:top w:w="110" w:type="dxa"/>
              <w:start w:w="120" w:type="dxa"/>
              <w:bottom w:w="110" w:type="dxa"/>
              <w:end w:w="120" w:type="dxa"/>
            </w:tcMar>
            <w:vAlign w:val="center"/>
          </w:tcPr>
          <w:p>
            <w:r>
              <w:rPr>
                <w:rFonts w:ascii="Aptos" w:hAnsi="Aptos"/>
                <w:color w:val="202830"/>
                <w:sz w:val="17"/>
              </w:rPr>
              <w:t>Selected three meaningful capabilities and connected each to a user outcome.</w:t>
            </w:r>
          </w:p>
        </w:tc>
        <w:tc>
          <w:tcPr>
            <w:tcW w:type="dxa" w:w="3672"/>
            <w:tcMar>
              <w:top w:w="110" w:type="dxa"/>
              <w:start w:w="120" w:type="dxa"/>
              <w:bottom w:w="110" w:type="dxa"/>
              <w:end w:w="120" w:type="dxa"/>
            </w:tcMar>
            <w:vAlign w:val="center"/>
          </w:tcPr>
          <w:p>
            <w:r>
              <w:rPr>
                <w:rFonts w:ascii="Aptos" w:hAnsi="Aptos"/>
                <w:color w:val="202830"/>
                <w:sz w:val="17"/>
              </w:rPr>
              <w:t>A feature inventory weakens the narrative and obscures the product’s purpose.</w:t>
            </w:r>
          </w:p>
        </w:tc>
      </w:tr>
      <w:tr>
        <w:tc>
          <w:tcPr>
            <w:tcW w:type="dxa" w:w="1656"/>
            <w:tcMar>
              <w:top w:w="110" w:type="dxa"/>
              <w:start w:w="120" w:type="dxa"/>
              <w:bottom w:w="110" w:type="dxa"/>
              <w:end w:w="120" w:type="dxa"/>
            </w:tcMar>
            <w:vAlign w:val="center"/>
            <w:shd w:fill="EDF3F7"/>
          </w:tcPr>
          <w:p>
            <w:r>
              <w:rPr>
                <w:rFonts w:ascii="Aptos" w:hAnsi="Aptos"/>
                <w:color w:val="202830"/>
                <w:sz w:val="17"/>
              </w:rPr>
              <w:t>Voice</w:t>
            </w:r>
          </w:p>
        </w:tc>
        <w:tc>
          <w:tcPr>
            <w:tcW w:type="dxa" w:w="3672"/>
            <w:tcMar>
              <w:top w:w="110" w:type="dxa"/>
              <w:start w:w="120" w:type="dxa"/>
              <w:bottom w:w="110" w:type="dxa"/>
              <w:end w:w="120" w:type="dxa"/>
            </w:tcMar>
            <w:vAlign w:val="center"/>
            <w:shd w:fill="EDF3F7"/>
          </w:tcPr>
          <w:p>
            <w:r>
              <w:rPr>
                <w:rFonts w:ascii="Aptos" w:hAnsi="Aptos"/>
                <w:color w:val="202830"/>
                <w:sz w:val="17"/>
              </w:rPr>
              <w:t>Replaced hype with confident, concrete language.</w:t>
            </w:r>
          </w:p>
        </w:tc>
        <w:tc>
          <w:tcPr>
            <w:tcW w:type="dxa" w:w="3672"/>
            <w:tcMar>
              <w:top w:w="110" w:type="dxa"/>
              <w:start w:w="120" w:type="dxa"/>
              <w:bottom w:w="110" w:type="dxa"/>
              <w:end w:w="120" w:type="dxa"/>
            </w:tcMar>
            <w:vAlign w:val="center"/>
            <w:shd w:fill="EDF3F7"/>
          </w:tcPr>
          <w:p>
            <w:r>
              <w:rPr>
                <w:rFonts w:ascii="Aptos" w:hAnsi="Aptos"/>
                <w:color w:val="202830"/>
                <w:sz w:val="17"/>
              </w:rPr>
              <w:t>Authority comes from precision, not volume.</w:t>
            </w:r>
          </w:p>
        </w:tc>
      </w:tr>
      <w:tr>
        <w:tc>
          <w:tcPr>
            <w:tcW w:type="dxa" w:w="1656"/>
            <w:tcMar>
              <w:top w:w="110" w:type="dxa"/>
              <w:start w:w="120" w:type="dxa"/>
              <w:bottom w:w="110" w:type="dxa"/>
              <w:end w:w="120" w:type="dxa"/>
            </w:tcMar>
            <w:vAlign w:val="center"/>
          </w:tcPr>
          <w:p>
            <w:r>
              <w:rPr>
                <w:rFonts w:ascii="Aptos" w:hAnsi="Aptos"/>
                <w:color w:val="202830"/>
                <w:sz w:val="17"/>
              </w:rPr>
              <w:t>Audience</w:t>
            </w:r>
          </w:p>
        </w:tc>
        <w:tc>
          <w:tcPr>
            <w:tcW w:type="dxa" w:w="3672"/>
            <w:tcMar>
              <w:top w:w="110" w:type="dxa"/>
              <w:start w:w="120" w:type="dxa"/>
              <w:bottom w:w="110" w:type="dxa"/>
              <w:end w:w="120" w:type="dxa"/>
            </w:tcMar>
            <w:vAlign w:val="center"/>
          </w:tcPr>
          <w:p>
            <w:r>
              <w:rPr>
                <w:rFonts w:ascii="Aptos" w:hAnsi="Aptos"/>
                <w:color w:val="202830"/>
                <w:sz w:val="17"/>
              </w:rPr>
              <w:t>Named representative high-consideration tasks without claiming universal fit.</w:t>
            </w:r>
          </w:p>
        </w:tc>
        <w:tc>
          <w:tcPr>
            <w:tcW w:type="dxa" w:w="3672"/>
            <w:tcMar>
              <w:top w:w="110" w:type="dxa"/>
              <w:start w:w="120" w:type="dxa"/>
              <w:bottom w:w="110" w:type="dxa"/>
              <w:end w:w="120" w:type="dxa"/>
            </w:tcMar>
            <w:vAlign w:val="center"/>
          </w:tcPr>
          <w:p>
            <w:r>
              <w:rPr>
                <w:rFonts w:ascii="Aptos" w:hAnsi="Aptos"/>
                <w:color w:val="202830"/>
                <w:sz w:val="17"/>
              </w:rPr>
              <w:t>Specific use cases help readers recognize value while preserving credibility.</w:t>
            </w:r>
          </w:p>
        </w:tc>
      </w:tr>
      <w:tr>
        <w:tc>
          <w:tcPr>
            <w:tcW w:type="dxa" w:w="1656"/>
            <w:tcMar>
              <w:top w:w="110" w:type="dxa"/>
              <w:start w:w="120" w:type="dxa"/>
              <w:bottom w:w="110" w:type="dxa"/>
              <w:end w:w="120" w:type="dxa"/>
            </w:tcMar>
            <w:vAlign w:val="center"/>
            <w:shd w:fill="EDF3F7"/>
          </w:tcPr>
          <w:p>
            <w:r>
              <w:rPr>
                <w:rFonts w:ascii="Aptos" w:hAnsi="Aptos"/>
                <w:color w:val="202830"/>
                <w:sz w:val="17"/>
              </w:rPr>
              <w:t>Responsible AI</w:t>
            </w:r>
          </w:p>
        </w:tc>
        <w:tc>
          <w:tcPr>
            <w:tcW w:type="dxa" w:w="3672"/>
            <w:tcMar>
              <w:top w:w="110" w:type="dxa"/>
              <w:start w:w="120" w:type="dxa"/>
              <w:bottom w:w="110" w:type="dxa"/>
              <w:end w:w="120" w:type="dxa"/>
            </w:tcMar>
            <w:vAlign w:val="center"/>
            <w:shd w:fill="EDF3F7"/>
          </w:tcPr>
          <w:p>
            <w:r>
              <w:rPr>
                <w:rFonts w:ascii="Aptos" w:hAnsi="Aptos"/>
                <w:color w:val="202830"/>
                <w:sz w:val="17"/>
              </w:rPr>
              <w:t>Made source inspection, disagreement, limits, and human judgment explicit.</w:t>
            </w:r>
          </w:p>
        </w:tc>
        <w:tc>
          <w:tcPr>
            <w:tcW w:type="dxa" w:w="3672"/>
            <w:tcMar>
              <w:top w:w="110" w:type="dxa"/>
              <w:start w:w="120" w:type="dxa"/>
              <w:bottom w:w="110" w:type="dxa"/>
              <w:end w:w="120" w:type="dxa"/>
            </w:tcMar>
            <w:vAlign w:val="center"/>
            <w:shd w:fill="EDF3F7"/>
          </w:tcPr>
          <w:p>
            <w:r>
              <w:rPr>
                <w:rFonts w:ascii="Aptos" w:hAnsi="Aptos"/>
                <w:color w:val="202830"/>
                <w:sz w:val="17"/>
              </w:rPr>
              <w:t>A research product should not imply that synthesis replaces verification.</w:t>
            </w:r>
          </w:p>
        </w:tc>
      </w:tr>
    </w:tbl>
    <w:p>
      <w:pPr>
        <w:pStyle w:val="Heading1"/>
      </w:pPr>
      <w:r>
        <w:t>Line editing examples</w:t>
      </w:r>
    </w:p>
    <w:p>
      <w:r>
        <w:t>“Changes everything about how users discover truth online” became “helps with that work.” The revision narrows the promise to what the product can plausibly do.</w:t>
      </w:r>
    </w:p>
    <w:p>
      <w:r>
        <w:t>“Many other powerful capabilities” was deleted. If a capability does not advance the argument, naming it adds noise rather than value.</w:t>
      </w:r>
    </w:p>
    <w:p>
      <w:r>
        <w:t>The final sentence compresses the product thesis into a distinction readers can remember: speed matters, but understanding is the outcome.</w:t>
      </w:r>
    </w:p>
    <w:p>
      <w:pPr>
        <w:pStyle w:val="Heading1"/>
      </w:pPr>
      <w:r>
        <w:t>Prepublication checks</w:t>
      </w:r>
    </w:p>
    <w:p>
      <w:pPr>
        <w:pStyle w:val="ListBullet"/>
      </w:pPr>
      <w:r>
        <w:t>Verify every product behavior against the current release build.</w:t>
      </w:r>
    </w:p>
    <w:p>
      <w:pPr>
        <w:pStyle w:val="ListBullet"/>
      </w:pPr>
      <w:r>
        <w:t>Confirm that cited sources open to the passage supporting each material claim.</w:t>
      </w:r>
    </w:p>
    <w:p>
      <w:pPr>
        <w:pStyle w:val="ListBullet"/>
      </w:pPr>
      <w:r>
        <w:t>Test language about disagreement and limitations with product and legal reviewers.</w:t>
      </w:r>
    </w:p>
    <w:p>
      <w:pPr>
        <w:pStyle w:val="ListBullet"/>
      </w:pPr>
      <w:r>
        <w:t>Check headline, metadata, accessibility, links, and rendering in the CMS.</w:t>
      </w:r>
    </w:p>
    <w:p>
      <w:pPr>
        <w:pStyle w:val="ListBullet"/>
      </w:pPr>
      <w:r>
        <w:t>Run a final read for tone, repetition, grammar, and unsupported implication.</w:t>
      </w:r>
    </w:p>
    <w:sectPr w:rsidR="00FC693F" w:rsidRPr="0006063C" w:rsidSect="00034616">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670"/>
        <w:sz w:val="16"/>
      </w:rPr>
      <w:t>Sharmila Rammohan  •  Writing Sample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ptos" w:hAnsi="Aptos"/>
      <w:color w:val="20283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00" w:after="100"/>
      <w:outlineLvl w:val="1"/>
    </w:pPr>
    <w:rPr>
      <w:rFonts w:asciiTheme="majorHAnsi" w:eastAsiaTheme="majorEastAsia" w:hAnsiTheme="majorHAnsi" w:cstheme="majorBidi" w:ascii="Aptos Display" w:hAnsi="Aptos Display"/>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