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Editorial Judgment in Practice</w:t>
      </w:r>
    </w:p>
    <w:p>
      <w:pPr>
        <w:jc w:val="left"/>
      </w:pPr>
      <w:r>
        <w:rPr>
          <w:b/>
          <w:color w:val="5A6670"/>
          <w:sz w:val="20"/>
        </w:rPr>
        <w:t>Developmental and line editing demonstration  |  From weak launch copy to a credible product narrative</w:t>
      </w:r>
    </w:p>
    <w:p>
      <w:r>
        <w:rPr>
          <w:i/>
          <w:color w:val="5A6670"/>
          <w:sz w:val="18"/>
        </w:rPr>
        <w:t>Original application writing sample  |  Sharmila Das</w:t>
      </w:r>
    </w:p>
    <w:p>
      <w:pPr>
        <w:pStyle w:val="Heading1"/>
      </w:pPr>
      <w:r>
        <w:t>Editorial brief</w:t>
      </w:r>
    </w:p>
    <w:p>
      <w:r>
        <w:t>The source draft below is intentionally flawed. The assignment is to announce an AI research feature to a broad audience without unsupported superlatives, vague promises, or buried product value. The revision must preserve the core idea while improving the argument, evidence, voice, and pace.</w:t>
      </w:r>
    </w:p>
    <w:p>
      <w:pPr>
        <w:pStyle w:val="Heading1"/>
      </w:pPr>
      <w:r>
        <w:t>Source draft</w:t>
      </w:r>
    </w:p>
    <w:p>
      <w:r>
        <w:rPr>
          <w:i/>
          <w:color w:val="5A6670"/>
        </w:rPr>
        <w:t>Our revolutionary new research experience changes everything about how users discover truth online. Powered by the most advanced artificial intelligence, it instantly analyzes the entire internet to provide perfectly accurate answers for everyone. Unlike legacy search products, it understands exactly what you mean and eliminates hours of manual research. The product includes citations, multiple modes, personalization, collaboration, and many other powerful capabilities. We believe it represents the future of knowledge and will transform work for students, professionals, researchers, and all users worldwide.</w:t>
      </w:r>
    </w:p>
    <w:p>
      <w:pPr>
        <w:pStyle w:val="Heading1"/>
      </w:pPr>
      <w:r>
        <w:t>Publication ready revision</w:t>
      </w:r>
    </w:p>
    <w:p>
      <w:r>
        <w:t>Research rarely fails because information is unavailable. It fails because the reader has to sort strong evidence from weak evidence, reconcile conflicting claims, and decide when the search is complete.</w:t>
      </w:r>
    </w:p>
    <w:p>
      <w:r>
        <w:t>The new research experience helps with that work. It breaks a complex question into a set of searches, compares sources, and produces a concise synthesis with citations that readers can inspect. When credible sources disagree, the answer shows the disagreement instead of smoothing it away.</w:t>
      </w:r>
    </w:p>
    <w:p>
      <w:r>
        <w:t>The product is designed for questions that require more than a quick fact: comparing policy proposals, understanding a technical field, preparing for a decision, or finding the evidence behind a claim. Readers remain responsible for judgment. The system makes that judgment easier to exercise by showing its sources and the limits of the available evidence.</w:t>
      </w:r>
    </w:p>
    <w:p>
      <w:r>
        <w:t>A faster answer is valuable. A faster path to understanding is better.</w:t>
      </w:r>
    </w:p>
    <w:p>
      <w:r>
        <w:br w:type="page"/>
      </w:r>
    </w:p>
    <w:p>
      <w:pPr>
        <w:pStyle w:val="Heading1"/>
      </w:pPr>
      <w:r>
        <w:t>What changed and why</w:t>
      </w:r>
    </w:p>
    <w:tbl>
      <w:tblPr>
        <w:tblW w:type="auto" w:w="0"/>
        <w:tblLayout w:type="fixed"/>
        <w:tblLook w:firstColumn="1" w:firstRow="1" w:lastColumn="0" w:lastRow="0" w:noHBand="0" w:noVBand="1" w:val="04A0"/>
      </w:tblPr>
      <w:tblGrid>
        <w:gridCol w:w="3293"/>
        <w:gridCol w:w="3293"/>
        <w:gridCol w:w="3293"/>
      </w:tblGrid>
      <w:tr>
        <w:tc>
          <w:tcPr>
            <w:tcW w:type="dxa" w:w="1656"/>
            <w:shd w:fill="17324D"/>
            <w:tcMar>
              <w:top w:w="110" w:type="dxa"/>
              <w:start w:w="120" w:type="dxa"/>
              <w:bottom w:w="110" w:type="dxa"/>
              <w:end w:w="120" w:type="dxa"/>
            </w:tcMar>
            <w:vAlign w:val="center"/>
          </w:tcPr>
          <w:p>
            <w:r>
              <w:rPr>
                <w:b/>
                <w:color w:val="FFFFFF"/>
                <w:sz w:val="18"/>
              </w:rPr>
              <w:t>Editorial decision</w:t>
            </w:r>
          </w:p>
        </w:tc>
        <w:tc>
          <w:tcPr>
            <w:tcW w:type="dxa" w:w="3672"/>
            <w:shd w:fill="17324D"/>
            <w:tcMar>
              <w:top w:w="110" w:type="dxa"/>
              <w:start w:w="120" w:type="dxa"/>
              <w:bottom w:w="110" w:type="dxa"/>
              <w:end w:w="120" w:type="dxa"/>
            </w:tcMar>
            <w:vAlign w:val="center"/>
          </w:tcPr>
          <w:p>
            <w:r>
              <w:rPr>
                <w:b/>
                <w:color w:val="FFFFFF"/>
                <w:sz w:val="18"/>
              </w:rPr>
              <w:t>Revision</w:t>
            </w:r>
          </w:p>
        </w:tc>
        <w:tc>
          <w:tcPr>
            <w:tcW w:type="dxa" w:w="3672"/>
            <w:shd w:fill="17324D"/>
            <w:tcMar>
              <w:top w:w="110" w:type="dxa"/>
              <w:start w:w="120" w:type="dxa"/>
              <w:bottom w:w="110" w:type="dxa"/>
              <w:end w:w="120" w:type="dxa"/>
            </w:tcMar>
            <w:vAlign w:val="center"/>
          </w:tcPr>
          <w:p>
            <w:r>
              <w:rPr>
                <w:b/>
                <w:color w:val="FFFFFF"/>
                <w:sz w:val="18"/>
              </w:rPr>
              <w:t>Reason</w:t>
            </w:r>
          </w:p>
        </w:tc>
      </w:tr>
      <w:tr>
        <w:tc>
          <w:tcPr>
            <w:tcW w:type="dxa" w:w="1656"/>
            <w:tcMar>
              <w:top w:w="110" w:type="dxa"/>
              <w:start w:w="120" w:type="dxa"/>
              <w:bottom w:w="110" w:type="dxa"/>
              <w:end w:w="120" w:type="dxa"/>
            </w:tcMar>
            <w:vAlign w:val="center"/>
          </w:tcPr>
          <w:p>
            <w:r>
              <w:rPr>
                <w:rFonts w:ascii="Aptos" w:hAnsi="Aptos"/>
                <w:color w:val="202830"/>
                <w:sz w:val="17"/>
              </w:rPr>
              <w:t>Argument</w:t>
            </w:r>
          </w:p>
        </w:tc>
        <w:tc>
          <w:tcPr>
            <w:tcW w:type="dxa" w:w="3672"/>
            <w:tcMar>
              <w:top w:w="110" w:type="dxa"/>
              <w:start w:w="120" w:type="dxa"/>
              <w:bottom w:w="110" w:type="dxa"/>
              <w:end w:w="120" w:type="dxa"/>
            </w:tcMar>
            <w:vAlign w:val="center"/>
          </w:tcPr>
          <w:p>
            <w:r>
              <w:rPr>
                <w:rFonts w:ascii="Aptos" w:hAnsi="Aptos"/>
                <w:color w:val="202830"/>
                <w:sz w:val="17"/>
              </w:rPr>
              <w:t>Led with the user problem, then introduced the feature as a response.</w:t>
            </w:r>
          </w:p>
        </w:tc>
        <w:tc>
          <w:tcPr>
            <w:tcW w:type="dxa" w:w="3672"/>
            <w:tcMar>
              <w:top w:w="110" w:type="dxa"/>
              <w:start w:w="120" w:type="dxa"/>
              <w:bottom w:w="110" w:type="dxa"/>
              <w:end w:w="120" w:type="dxa"/>
            </w:tcMar>
            <w:vAlign w:val="center"/>
          </w:tcPr>
          <w:p>
            <w:r>
              <w:rPr>
                <w:rFonts w:ascii="Aptos" w:hAnsi="Aptos"/>
                <w:color w:val="202830"/>
                <w:sz w:val="17"/>
              </w:rPr>
              <w:t>The draft began with the company’s enthusiasm rather than the reader’s need.</w:t>
            </w:r>
          </w:p>
        </w:tc>
      </w:tr>
      <w:tr>
        <w:tc>
          <w:tcPr>
            <w:tcW w:type="dxa" w:w="1656"/>
            <w:tcMar>
              <w:top w:w="110" w:type="dxa"/>
              <w:start w:w="120" w:type="dxa"/>
              <w:bottom w:w="110" w:type="dxa"/>
              <w:end w:w="120" w:type="dxa"/>
            </w:tcMar>
            <w:vAlign w:val="center"/>
            <w:shd w:fill="EDF3F7"/>
          </w:tcPr>
          <w:p>
            <w:r>
              <w:rPr>
                <w:rFonts w:ascii="Aptos" w:hAnsi="Aptos"/>
                <w:color w:val="202830"/>
                <w:sz w:val="17"/>
              </w:rPr>
              <w:t>Accuracy</w:t>
            </w:r>
          </w:p>
        </w:tc>
        <w:tc>
          <w:tcPr>
            <w:tcW w:type="dxa" w:w="3672"/>
            <w:tcMar>
              <w:top w:w="110" w:type="dxa"/>
              <w:start w:w="120" w:type="dxa"/>
              <w:bottom w:w="110" w:type="dxa"/>
              <w:end w:w="120" w:type="dxa"/>
            </w:tcMar>
            <w:vAlign w:val="center"/>
            <w:shd w:fill="EDF3F7"/>
          </w:tcPr>
          <w:p>
            <w:r>
              <w:rPr>
                <w:rFonts w:ascii="Aptos" w:hAnsi="Aptos"/>
                <w:color w:val="202830"/>
                <w:sz w:val="17"/>
              </w:rPr>
              <w:t>Removed “entire internet,” “perfectly accurate,” and “understands exactly.”</w:t>
            </w:r>
          </w:p>
        </w:tc>
        <w:tc>
          <w:tcPr>
            <w:tcW w:type="dxa" w:w="3672"/>
            <w:tcMar>
              <w:top w:w="110" w:type="dxa"/>
              <w:start w:w="120" w:type="dxa"/>
              <w:bottom w:w="110" w:type="dxa"/>
              <w:end w:w="120" w:type="dxa"/>
            </w:tcMar>
            <w:vAlign w:val="center"/>
            <w:shd w:fill="EDF3F7"/>
          </w:tcPr>
          <w:p>
            <w:r>
              <w:rPr>
                <w:rFonts w:ascii="Aptos" w:hAnsi="Aptos"/>
                <w:color w:val="202830"/>
                <w:sz w:val="17"/>
              </w:rPr>
              <w:t>The claims are unprovable and create unnecessary trust risk.</w:t>
            </w:r>
          </w:p>
        </w:tc>
      </w:tr>
      <w:tr>
        <w:tc>
          <w:tcPr>
            <w:tcW w:type="dxa" w:w="1656"/>
            <w:tcMar>
              <w:top w:w="110" w:type="dxa"/>
              <w:start w:w="120" w:type="dxa"/>
              <w:bottom w:w="110" w:type="dxa"/>
              <w:end w:w="120" w:type="dxa"/>
            </w:tcMar>
            <w:vAlign w:val="center"/>
          </w:tcPr>
          <w:p>
            <w:r>
              <w:rPr>
                <w:rFonts w:ascii="Aptos" w:hAnsi="Aptos"/>
                <w:color w:val="202830"/>
                <w:sz w:val="17"/>
              </w:rPr>
              <w:t>Structure</w:t>
            </w:r>
          </w:p>
        </w:tc>
        <w:tc>
          <w:tcPr>
            <w:tcW w:type="dxa" w:w="3672"/>
            <w:tcMar>
              <w:top w:w="110" w:type="dxa"/>
              <w:start w:w="120" w:type="dxa"/>
              <w:bottom w:w="110" w:type="dxa"/>
              <w:end w:w="120" w:type="dxa"/>
            </w:tcMar>
            <w:vAlign w:val="center"/>
          </w:tcPr>
          <w:p>
            <w:r>
              <w:rPr>
                <w:rFonts w:ascii="Aptos" w:hAnsi="Aptos"/>
                <w:color w:val="202830"/>
                <w:sz w:val="17"/>
              </w:rPr>
              <w:t>Selected three meaningful capabilities and connected each to a user outcome.</w:t>
            </w:r>
          </w:p>
        </w:tc>
        <w:tc>
          <w:tcPr>
            <w:tcW w:type="dxa" w:w="3672"/>
            <w:tcMar>
              <w:top w:w="110" w:type="dxa"/>
              <w:start w:w="120" w:type="dxa"/>
              <w:bottom w:w="110" w:type="dxa"/>
              <w:end w:w="120" w:type="dxa"/>
            </w:tcMar>
            <w:vAlign w:val="center"/>
          </w:tcPr>
          <w:p>
            <w:r>
              <w:rPr>
                <w:rFonts w:ascii="Aptos" w:hAnsi="Aptos"/>
                <w:color w:val="202830"/>
                <w:sz w:val="17"/>
              </w:rPr>
              <w:t>A feature inventory weakens the narrative and obscures the product’s purpose.</w:t>
            </w:r>
          </w:p>
        </w:tc>
      </w:tr>
      <w:tr>
        <w:tc>
          <w:tcPr>
            <w:tcW w:type="dxa" w:w="1656"/>
            <w:tcMar>
              <w:top w:w="110" w:type="dxa"/>
              <w:start w:w="120" w:type="dxa"/>
              <w:bottom w:w="110" w:type="dxa"/>
              <w:end w:w="120" w:type="dxa"/>
            </w:tcMar>
            <w:vAlign w:val="center"/>
            <w:shd w:fill="EDF3F7"/>
          </w:tcPr>
          <w:p>
            <w:r>
              <w:rPr>
                <w:rFonts w:ascii="Aptos" w:hAnsi="Aptos"/>
                <w:color w:val="202830"/>
                <w:sz w:val="17"/>
              </w:rPr>
              <w:t>Voice</w:t>
            </w:r>
          </w:p>
        </w:tc>
        <w:tc>
          <w:tcPr>
            <w:tcW w:type="dxa" w:w="3672"/>
            <w:tcMar>
              <w:top w:w="110" w:type="dxa"/>
              <w:start w:w="120" w:type="dxa"/>
              <w:bottom w:w="110" w:type="dxa"/>
              <w:end w:w="120" w:type="dxa"/>
            </w:tcMar>
            <w:vAlign w:val="center"/>
            <w:shd w:fill="EDF3F7"/>
          </w:tcPr>
          <w:p>
            <w:r>
              <w:rPr>
                <w:rFonts w:ascii="Aptos" w:hAnsi="Aptos"/>
                <w:color w:val="202830"/>
                <w:sz w:val="17"/>
              </w:rPr>
              <w:t>Replaced hype with confident, concrete language.</w:t>
            </w:r>
          </w:p>
        </w:tc>
        <w:tc>
          <w:tcPr>
            <w:tcW w:type="dxa" w:w="3672"/>
            <w:tcMar>
              <w:top w:w="110" w:type="dxa"/>
              <w:start w:w="120" w:type="dxa"/>
              <w:bottom w:w="110" w:type="dxa"/>
              <w:end w:w="120" w:type="dxa"/>
            </w:tcMar>
            <w:vAlign w:val="center"/>
            <w:shd w:fill="EDF3F7"/>
          </w:tcPr>
          <w:p>
            <w:r>
              <w:rPr>
                <w:rFonts w:ascii="Aptos" w:hAnsi="Aptos"/>
                <w:color w:val="202830"/>
                <w:sz w:val="17"/>
              </w:rPr>
              <w:t>Authority comes from precision, not volume.</w:t>
            </w:r>
          </w:p>
        </w:tc>
      </w:tr>
      <w:tr>
        <w:tc>
          <w:tcPr>
            <w:tcW w:type="dxa" w:w="1656"/>
            <w:tcMar>
              <w:top w:w="110" w:type="dxa"/>
              <w:start w:w="120" w:type="dxa"/>
              <w:bottom w:w="110" w:type="dxa"/>
              <w:end w:w="120" w:type="dxa"/>
            </w:tcMar>
            <w:vAlign w:val="center"/>
          </w:tcPr>
          <w:p>
            <w:r>
              <w:rPr>
                <w:rFonts w:ascii="Aptos" w:hAnsi="Aptos"/>
                <w:color w:val="202830"/>
                <w:sz w:val="17"/>
              </w:rPr>
              <w:t>Audience</w:t>
            </w:r>
          </w:p>
        </w:tc>
        <w:tc>
          <w:tcPr>
            <w:tcW w:type="dxa" w:w="3672"/>
            <w:tcMar>
              <w:top w:w="110" w:type="dxa"/>
              <w:start w:w="120" w:type="dxa"/>
              <w:bottom w:w="110" w:type="dxa"/>
              <w:end w:w="120" w:type="dxa"/>
            </w:tcMar>
            <w:vAlign w:val="center"/>
          </w:tcPr>
          <w:p>
            <w:r>
              <w:rPr>
                <w:rFonts w:ascii="Aptos" w:hAnsi="Aptos"/>
                <w:color w:val="202830"/>
                <w:sz w:val="17"/>
              </w:rPr>
              <w:t>Named representative high-consideration tasks without claiming universal fit.</w:t>
            </w:r>
          </w:p>
        </w:tc>
        <w:tc>
          <w:tcPr>
            <w:tcW w:type="dxa" w:w="3672"/>
            <w:tcMar>
              <w:top w:w="110" w:type="dxa"/>
              <w:start w:w="120" w:type="dxa"/>
              <w:bottom w:w="110" w:type="dxa"/>
              <w:end w:w="120" w:type="dxa"/>
            </w:tcMar>
            <w:vAlign w:val="center"/>
          </w:tcPr>
          <w:p>
            <w:r>
              <w:rPr>
                <w:rFonts w:ascii="Aptos" w:hAnsi="Aptos"/>
                <w:color w:val="202830"/>
                <w:sz w:val="17"/>
              </w:rPr>
              <w:t>Specific use cases help readers recognize value while preserving credibility.</w:t>
            </w:r>
          </w:p>
        </w:tc>
      </w:tr>
      <w:tr>
        <w:tc>
          <w:tcPr>
            <w:tcW w:type="dxa" w:w="1656"/>
            <w:tcMar>
              <w:top w:w="110" w:type="dxa"/>
              <w:start w:w="120" w:type="dxa"/>
              <w:bottom w:w="110" w:type="dxa"/>
              <w:end w:w="120" w:type="dxa"/>
            </w:tcMar>
            <w:vAlign w:val="center"/>
            <w:shd w:fill="EDF3F7"/>
          </w:tcPr>
          <w:p>
            <w:r>
              <w:rPr>
                <w:rFonts w:ascii="Aptos" w:hAnsi="Aptos"/>
                <w:color w:val="202830"/>
                <w:sz w:val="17"/>
              </w:rPr>
              <w:t>Responsible AI</w:t>
            </w:r>
          </w:p>
        </w:tc>
        <w:tc>
          <w:tcPr>
            <w:tcW w:type="dxa" w:w="3672"/>
            <w:tcMar>
              <w:top w:w="110" w:type="dxa"/>
              <w:start w:w="120" w:type="dxa"/>
              <w:bottom w:w="110" w:type="dxa"/>
              <w:end w:w="120" w:type="dxa"/>
            </w:tcMar>
            <w:vAlign w:val="center"/>
            <w:shd w:fill="EDF3F7"/>
          </w:tcPr>
          <w:p>
            <w:r>
              <w:rPr>
                <w:rFonts w:ascii="Aptos" w:hAnsi="Aptos"/>
                <w:color w:val="202830"/>
                <w:sz w:val="17"/>
              </w:rPr>
              <w:t>Made source inspection, disagreement, limits, and human judgment explicit.</w:t>
            </w:r>
          </w:p>
        </w:tc>
        <w:tc>
          <w:tcPr>
            <w:tcW w:type="dxa" w:w="3672"/>
            <w:tcMar>
              <w:top w:w="110" w:type="dxa"/>
              <w:start w:w="120" w:type="dxa"/>
              <w:bottom w:w="110" w:type="dxa"/>
              <w:end w:w="120" w:type="dxa"/>
            </w:tcMar>
            <w:vAlign w:val="center"/>
            <w:shd w:fill="EDF3F7"/>
          </w:tcPr>
          <w:p>
            <w:r>
              <w:rPr>
                <w:rFonts w:ascii="Aptos" w:hAnsi="Aptos"/>
                <w:color w:val="202830"/>
                <w:sz w:val="17"/>
              </w:rPr>
              <w:t>A research product should not imply that synthesis replaces verification.</w:t>
            </w:r>
          </w:p>
        </w:tc>
      </w:tr>
    </w:tbl>
    <w:p>
      <w:pPr>
        <w:pStyle w:val="Heading1"/>
      </w:pPr>
      <w:r>
        <w:t>Line editing examples</w:t>
      </w:r>
    </w:p>
    <w:p>
      <w:r>
        <w:t>“Changes everything about how users discover truth online” became “helps with that work.” The revision narrows the promise to what the product can plausibly do.</w:t>
      </w:r>
    </w:p>
    <w:p>
      <w:r>
        <w:t>“Many other powerful capabilities” was deleted. If a capability does not advance the argument, naming it adds noise rather than value.</w:t>
      </w:r>
    </w:p>
    <w:p>
      <w:r>
        <w:t>The final sentence compresses the product thesis into a distinction readers can remember: speed matters, but understanding is the outcome.</w:t>
      </w:r>
    </w:p>
    <w:p>
      <w:pPr>
        <w:pStyle w:val="Heading1"/>
      </w:pPr>
      <w:r>
        <w:t>Prepublication checks</w:t>
      </w:r>
    </w:p>
    <w:p>
      <w:pPr>
        <w:pStyle w:val="ListBullet"/>
      </w:pPr>
      <w:r>
        <w:t>Verify every product behavior against the current release build.</w:t>
      </w:r>
    </w:p>
    <w:p>
      <w:pPr>
        <w:pStyle w:val="ListBullet"/>
      </w:pPr>
      <w:r>
        <w:t>Confirm that cited sources open to the passage supporting each material claim.</w:t>
      </w:r>
    </w:p>
    <w:p>
      <w:pPr>
        <w:pStyle w:val="ListBullet"/>
      </w:pPr>
      <w:r>
        <w:t>Test language about disagreement and limitations with product and legal reviewers.</w:t>
      </w:r>
    </w:p>
    <w:p>
      <w:pPr>
        <w:pStyle w:val="ListBullet"/>
      </w:pPr>
      <w:r>
        <w:t>Check headline, metadata, accessibility, links, and rendering in the CMS.</w:t>
      </w:r>
    </w:p>
    <w:p>
      <w:pPr>
        <w:pStyle w:val="ListBullet"/>
      </w:pPr>
      <w:r>
        <w:t>Run a final read for tone, repetition, grammar, and unsupported implication.</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670"/>
        <w:sz w:val="16"/>
      </w:rPr>
      <w:t>Sharmila Das  •  Writing Sample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color w:val="2028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00" w:after="10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