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t>Technical documentation portfolio samples</w:t>
      </w:r>
    </w:p>
    <w:p>
      <w:pPr>
        <w:spacing w:after="100"/>
      </w:pPr>
      <w:r>
        <w:t>Sharmila Das</w:t>
      </w:r>
    </w:p>
    <w:p>
      <w:pPr>
        <w:spacing w:after="100"/>
      </w:pPr>
      <w:r>
        <w:t>Five documentation samples for Baseframe Knowledge, a fictional API for ingesting and searching technical content. Each sample covers a different part of the same workflow.</w:t>
      </w:r>
    </w:p>
    <w:p>
      <w:pPr>
        <w:pStyle w:val="Heading1"/>
        <w:spacing w:after="100"/>
      </w:pPr>
      <w:r>
        <w:t>Portfolio introduction</w:t>
      </w:r>
    </w:p>
    <w:p>
      <w:pPr>
        <w:spacing w:after="100"/>
      </w:pPr>
      <w:r>
        <w:t>A successful API request can still leave a developer wondering what to do next. In this example, submitting a document returns 202 before the document is searchable. I built the samples around that gap: what the response means, how to check progress, and how to diagnose a missing result. The reference defines the behavior; the quickstart walks through it; the supporting guides explain the decisions and recovery steps.</w:t>
      </w:r>
    </w:p>
    <w:p>
      <w:pPr>
        <w:pStyle w:val="Heading1"/>
        <w:spacing w:after="100"/>
      </w:pPr>
      <w:r>
        <w:t>What is included</w:t>
      </w:r>
    </w:p>
    <w:p>
      <w:pPr>
        <w:pStyle w:val="ListBullet"/>
        <w:spacing w:after="100"/>
      </w:pPr>
      <w:r>
        <w:t>Source ingestion API reference: endpoint contracts, request validation, response semantics, idempotency, and retry guidance.</w:t>
      </w:r>
    </w:p>
    <w:p>
      <w:pPr>
        <w:pStyle w:val="ListBullet"/>
        <w:spacing w:after="100"/>
      </w:pPr>
      <w:r>
        <w:t>Developer quickstart: steps to submit a document and confirm that search returns it.</w:t>
      </w:r>
    </w:p>
    <w:p>
      <w:pPr>
        <w:pStyle w:val="ListBullet"/>
        <w:spacing w:after="100"/>
      </w:pPr>
      <w:r>
        <w:t>Technical concept guide: how indexing works, how permissions apply, and how source content affects results.</w:t>
      </w:r>
    </w:p>
    <w:p>
      <w:pPr>
        <w:pStyle w:val="ListBullet"/>
        <w:spacing w:after="100"/>
      </w:pPr>
      <w:r>
        <w:t>Troubleshooting runbook: checks for missing results and the information support needs.</w:t>
      </w:r>
    </w:p>
    <w:p>
      <w:pPr>
        <w:pStyle w:val="ListBullet"/>
        <w:spacing w:after="100"/>
      </w:pPr>
      <w:r>
        <w:t>Release and migration guide: client changes required when ingestion becomes asynchronous.</w:t>
      </w:r>
    </w:p>
    <w:p>
      <w:pPr>
        <w:pStyle w:val="Heading1"/>
        <w:spacing w:after="100"/>
      </w:pPr>
      <w:r>
        <w:t>Editorial and technical scope</w:t>
      </w:r>
    </w:p>
    <w:p>
      <w:pPr>
        <w:spacing w:after="100"/>
      </w:pPr>
      <w:r>
        <w:t>Created as portfolio demonstrations, not employer deliverables or evidence of shipped product impact. The API is fictional and has no live backend. Code examples illustrate the declared contract. Local validation checks document structure, JSON examples, and shell syntax; it does not validate server behavior. No client or employer data is included.</w:t>
      </w:r>
    </w:p>
    <w:p>
      <w:pPr>
        <w:pStyle w:val="Heading1"/>
        <w:spacing w:after="100"/>
      </w:pPr>
      <w:r>
        <w:t>Suggested portfolio placement</w:t>
      </w:r>
    </w:p>
    <w:p>
      <w:pPr>
        <w:spacing w:after="100"/>
      </w:pPr>
      <w:r>
        <w:t>Section: Developer Documentation &amp; API Writing.</w:t>
      </w:r>
    </w:p>
    <w:p>
      <w:pPr>
        <w:spacing w:after="100"/>
      </w:pPr>
      <w:r>
        <w:t>Card title: Documenting a Knowledge Ingestion API.</w:t>
      </w:r>
    </w:p>
    <w:p>
      <w:pPr>
        <w:spacing w:after="100"/>
      </w:pPr>
      <w:r>
        <w:t>Card description: Five samples that explain how to submit content, check ingestion, retrieve a source, and troubleshoot missing results.</w:t>
      </w:r>
    </w:p>
    <w:p>
      <w:pPr>
        <w:spacing w:after="100"/>
      </w:pPr>
      <w:r>
        <w:t>The connected sample set leads with the quickstart and links to API reference, concepts, troubleshooting, and migration guidance.</w:t>
      </w:r>
    </w:p>
    <w:p>
      <w:pPr>
        <w:pStyle w:val="Title"/>
        <w:pageBreakBefore/>
      </w:pPr>
      <w:r>
        <w:t>Source ingestion API reference</w:t>
      </w:r>
    </w:p>
    <w:p>
      <w:r>
        <w:t>Baseframe Knowledge API | API reference | Version 1.0</w:t>
      </w:r>
    </w:p>
    <w:p>
      <w:r>
        <w:t>Portfolio demonstration. Baseframe Knowledge is a fictional product; the endpoints, limits, and responses below define an illustrative contract. No live service is provided.</w:t>
      </w:r>
    </w:p>
    <w:p>
      <w:pPr>
        <w:pStyle w:val="Heading1"/>
      </w:pPr>
      <w:r>
        <w:t>Overview</w:t>
      </w:r>
    </w:p>
    <w:p>
      <w:r>
        <w:t>Ingest approved documentation into a searchable collection. Ingestion is asynchronous: accepting a source creates a job, and the source becomes searchable only after that job succeeds. The collection's access policy applies to every source; this sample does not support document-specific permissions.</w:t>
      </w:r>
    </w:p>
    <w:p>
      <w:r>
        <w:t>Base URL: https://api.baseframe.example/v1</w:t>
      </w:r>
    </w:p>
    <w:p>
      <w:r>
        <w:t>All requests use HTTPS. Send a bearer token in Authorization. Tokens are scoped to a workspace; collection IDs from another workspace return 404. JSON requests require Content-Type: application/json.</w:t>
      </w:r>
    </w:p>
    <w:p>
      <w:pPr>
        <w:pStyle w:val="Heading1"/>
      </w:pPr>
      <w:r>
        <w:t>Create a source</w:t>
      </w:r>
    </w:p>
    <w:p>
      <w:r>
        <w:t>POST /collections/{collection_id}/sources</w:t>
      </w:r>
    </w:p>
    <w:p>
      <w:r>
        <w:t>Required scope: sources:write</w:t>
      </w:r>
    </w:p>
    <w:p>
      <w:r>
        <w:t>Path parameter: collection_id (string), the collection to receive the source.</w:t>
      </w:r>
    </w:p>
    <w:p>
      <w:r>
        <w:t>Headers: Authorization (required); Content-Type (required); Idempotency-Key (required, 1–128 ASCII characters).</w:t>
      </w:r>
    </w:p>
    <w:p>
      <w:r>
        <w:t>Request fields:</w:t>
      </w:r>
    </w:p>
    <w:p>
      <w:pPr>
        <w:pStyle w:val="ListBullet"/>
      </w:pPr>
      <w:r>
        <w:t>external_id: required string, 1–128 characters; unique within a collection. Use a stable identifier from the source system.</w:t>
      </w:r>
    </w:p>
    <w:p>
      <w:pPr>
        <w:pStyle w:val="ListBullet"/>
      </w:pPr>
      <w:r>
        <w:t>title: required string, 1–200 characters.</w:t>
      </w:r>
    </w:p>
    <w:p>
      <w:pPr>
        <w:pStyle w:val="ListBullet"/>
      </w:pPr>
      <w:r>
        <w:t>content: required string, UTF-8 plain text, 1–100,000 bytes.</w:t>
      </w:r>
    </w:p>
    <w:p>
      <w:pPr>
        <w:pStyle w:val="ListBullet"/>
      </w:pPr>
      <w:r>
        <w:t>source_url: required absolute HTTPS URL; stored as provenance, never fetched by this endpoint.</w:t>
      </w:r>
    </w:p>
    <w:p>
      <w:pPr>
        <w:pStyle w:val="ListBullet"/>
      </w:pPr>
      <w:r>
        <w:t>language: optional string; supported values en, fr, de, ja. Default en.</w:t>
      </w:r>
    </w:p>
    <w:p>
      <w:pPr/>
      <w:r>
        <w:rPr>
          <w:rFonts w:ascii="Consolas" w:hAnsi="Consolas"/>
          <w:sz w:val="18"/>
        </w:rPr>
        <w:t>curl --request POST 'https://api.baseframe.example/v1/collections/col_demo/sources'   --header "Authorization: Bearer $BASEFRAME_TOKEN"   --header 'Content-Type: application/json'   --header 'Idempotency-Key: onboarding-guide-2026-10-06-v1'   --data '{"external_id":"onboarding-guide","title":"Create an API token","content":"Open Workspace settings. Select API tokens. Choose Create token.","source_url":"https://docs.example.com/api-tokens","language":"en"}'</w:t>
      </w:r>
    </w:p>
    <w:p>
      <w:r>
        <w:t>202 Accepted:</w:t>
      </w:r>
    </w:p>
    <w:p>
      <w:pPr/>
      <w:r>
        <w:rPr>
          <w:rFonts w:ascii="Consolas" w:hAnsi="Consolas"/>
          <w:sz w:val="18"/>
        </w:rPr>
        <w:t>{"source_id":"src_demo","job_id":"job_demo","status":"queued"}</w:t>
      </w:r>
    </w:p>
    <w:p>
      <w:r>
        <w:t>Location: /v1/jobs/job_demo</w:t>
      </w:r>
    </w:p>
    <w:p>
      <w:r>
        <w:t>The response confirms acceptance, not search availability.</w:t>
      </w:r>
    </w:p>
    <w:p>
      <w:pPr>
        <w:pStyle w:val="Heading1"/>
      </w:pPr>
      <w:r>
        <w:t>Idempotency and duplicate handling</w:t>
      </w:r>
    </w:p>
    <w:p>
      <w:r>
        <w:t>A key is retained for 24 hours within the workspace. Repeating the same key and body returns the original 202 response and IDs without creating another job. Reusing the key with a different body returns 409 idempotency_conflict. A new key with an existing external_id returns 409 source_exists. To change an existing source, use the replacement workflow; creating it again is not an update. Replacement is outside this sample's API surface.</w:t>
      </w:r>
    </w:p>
    <w:p>
      <w:pPr>
        <w:pStyle w:val="Heading1"/>
      </w:pPr>
      <w:r>
        <w:t>Get job status</w:t>
      </w:r>
    </w:p>
    <w:p>
      <w:r>
        <w:t>GET /jobs/{job_id}</w:t>
      </w:r>
    </w:p>
    <w:p>
      <w:r>
        <w:t>Required scope: jobs:read</w:t>
      </w:r>
    </w:p>
    <w:p>
      <w:r>
        <w:t>200 OK:</w:t>
      </w:r>
    </w:p>
    <w:p>
      <w:pPr/>
      <w:r>
        <w:rPr>
          <w:rFonts w:ascii="Consolas" w:hAnsi="Consolas"/>
          <w:sz w:val="18"/>
        </w:rPr>
        <w:t>{"job_id":"job_demo","source_id":"src_demo","status":"succeeded","error":null}</w:t>
      </w:r>
    </w:p>
    <w:p>
      <w:r>
        <w:t>status: queued, processing, succeeded, or failed. queued becomes processing; processing becomes succeeded or failed. Terminal states do not change. If failed, error contains code and message; the source is not searchable. Poll every two seconds, then increase to a maximum of 30 seconds. Stop on a terminal state. After five minutes, stop the client loop and retain the job ID for investigation; timeout does not cancel the job.</w:t>
      </w:r>
    </w:p>
    <w:p>
      <w:pPr>
        <w:pStyle w:val="Heading1"/>
      </w:pPr>
      <w:r>
        <w:t>Search a collection</w:t>
      </w:r>
    </w:p>
    <w:p>
      <w:r>
        <w:t>POST /collections/{collection_id}/search</w:t>
      </w:r>
    </w:p>
    <w:p>
      <w:r>
        <w:t>Required scope: search:read</w:t>
      </w:r>
    </w:p>
    <w:p>
      <w:r>
        <w:t>Request: query (required string, 1–1,000 characters); limit (optional integer, 1–20, default 5).</w:t>
      </w:r>
    </w:p>
    <w:p>
      <w:r>
        <w:t>Only successfully ingested sources are eligible. Search returns source excerpts, not generated answers.</w:t>
      </w:r>
    </w:p>
    <w:p>
      <w:pPr/>
      <w:r>
        <w:rPr>
          <w:rFonts w:ascii="Consolas" w:hAnsi="Consolas"/>
          <w:sz w:val="18"/>
        </w:rPr>
        <w:t>{"query":"How do I create an API token?","limit":3}</w:t>
      </w:r>
    </w:p>
    <w:p>
      <w:r>
        <w:t>200 OK:</w:t>
      </w:r>
    </w:p>
    <w:p>
      <w:pPr/>
      <w:r>
        <w:rPr>
          <w:rFonts w:ascii="Consolas" w:hAnsi="Consolas"/>
          <w:sz w:val="18"/>
        </w:rPr>
        <w:t>{"results":[{"source_id":"src_demo","title":"Create an API token","source_url":"https://docs.example.com/api-tokens","excerpt":"Open Workspace settings. Select API tokens. Choose Create token.","score":0.92}]}</w:t>
      </w:r>
    </w:p>
    <w:p>
      <w:r>
        <w:t>score is a ranking signal between 0 and 1, not a probability that the result is correct. Results are ordered by descending score. No matches returns {"results":[]} with 200.</w:t>
      </w:r>
    </w:p>
    <w:p>
      <w:pPr>
        <w:pStyle w:val="Heading1"/>
      </w:pPr>
      <w:r>
        <w:t>Errors and retry behavior</w:t>
      </w:r>
    </w:p>
    <w:p>
      <w:r>
        <w:t>Errors use this envelope:</w:t>
      </w:r>
    </w:p>
    <w:p>
      <w:pPr/>
      <w:r>
        <w:rPr>
          <w:rFonts w:ascii="Consolas" w:hAnsi="Consolas"/>
          <w:sz w:val="18"/>
        </w:rPr>
        <w:t>{"error":{"code":"invalid_request","message":"content exceeds 100000 bytes","request_id":"req_demo"}}</w:t>
      </w:r>
    </w:p>
    <w:p>
      <w:pPr>
        <w:pStyle w:val="ListBullet"/>
      </w:pPr>
      <w:r>
        <w:t>400 invalid_request: correct the named field; do not retry unchanged.</w:t>
      </w:r>
    </w:p>
    <w:p>
      <w:pPr>
        <w:pStyle w:val="ListBullet"/>
      </w:pPr>
      <w:r>
        <w:t>401 unauthenticated: replace the expired or invalid token.</w:t>
      </w:r>
    </w:p>
    <w:p>
      <w:pPr>
        <w:pStyle w:val="ListBullet"/>
      </w:pPr>
      <w:r>
        <w:t>403 insufficient_scope: request the required token scope.</w:t>
      </w:r>
    </w:p>
    <w:p>
      <w:pPr>
        <w:pStyle w:val="ListBullet"/>
      </w:pPr>
      <w:r>
        <w:t>404 not_found: verify the ID and workspace.</w:t>
      </w:r>
    </w:p>
    <w:p>
      <w:pPr>
        <w:pStyle w:val="ListBullet"/>
      </w:pPr>
      <w:r>
        <w:t>409 idempotency_conflict or source_exists: reconcile the existing operation before retrying.</w:t>
      </w:r>
    </w:p>
    <w:p>
      <w:pPr>
        <w:pStyle w:val="ListBullet"/>
      </w:pPr>
      <w:r>
        <w:t>429 rate_limited: wait for Retry-After, expressed in seconds.</w:t>
      </w:r>
    </w:p>
    <w:p>
      <w:pPr>
        <w:pStyle w:val="ListBullet"/>
      </w:pPr>
      <w:r>
        <w:t>500 internal_error or 503 unavailable: retry with exponential backoff and jitter, at most five attempts; preserve the original idempotency key for create requests.</w:t>
      </w:r>
    </w:p>
    <w:p>
      <w:r>
        <w:t>Limit: 60 requests per minute per workspace across these endpoints. Every response includes X-Request-ID. When escalating, include the request ID, endpoint, timestamp, and job ID if available. Omit tokens and source content.</w:t>
      </w:r>
    </w:p>
    <w:p>
      <w:pPr>
        <w:pStyle w:val="Title"/>
        <w:pageBreakBefore/>
      </w:pPr>
      <w:r>
        <w:t>Ingest your first document and verify search</w:t>
      </w:r>
    </w:p>
    <w:p>
      <w:r>
        <w:t>Baseframe Knowledge | Developer quickstart</w:t>
      </w:r>
    </w:p>
    <w:p>
      <w:r>
        <w:t>Portfolio demonstration for a fictional API. The .example hosts are placeholders and will not run. The walkthrough illustrates a developer journey against the contract in the API reference.</w:t>
      </w:r>
    </w:p>
    <w:p>
      <w:pPr>
        <w:pStyle w:val="Heading1"/>
      </w:pPr>
      <w:r>
        <w:t>What you will build</w:t>
      </w:r>
    </w:p>
    <w:p>
      <w:r>
        <w:t>Submit a document, wait for ingestion, and retrieve its excerpt. Success means that ingestion reports succeeded and a search returns your source_id. This is retrieval verification; it does not establish answer quality or production readiness.</w:t>
      </w:r>
    </w:p>
    <w:p>
      <w:pPr>
        <w:pStyle w:val="Heading1"/>
      </w:pPr>
      <w:r>
        <w:t>Before you begin</w:t>
      </w:r>
    </w:p>
    <w:p>
      <w:r>
        <w:t>For an implementation of this contract, you would need curl, Python 3, a collection named col_demo, and a workspace token with sources:write, jobs:read, and search:read. A collection must already exist; collection creation is outside this sample.</w:t>
      </w:r>
    </w:p>
    <w:p>
      <w:r>
        <w:t>Store the token in an environment variable. Do not commit it or put it in client-side browser code. Read it without adding the value to shell history:</w:t>
      </w:r>
    </w:p>
    <w:p>
      <w:pPr/>
      <w:r>
        <w:rPr>
          <w:rFonts w:ascii="Consolas" w:hAnsi="Consolas"/>
          <w:sz w:val="18"/>
        </w:rPr>
        <w:t>read -r -s -p 'API token: ' BASEFRAME_TOKEN</w:t>
      </w:r>
    </w:p>
    <w:p>
      <w:pPr/>
      <w:r>
        <w:rPr>
          <w:rFonts w:ascii="Consolas" w:hAnsi="Consolas"/>
          <w:sz w:val="18"/>
        </w:rPr>
        <w:t>export BASEFRAME_TOKEN</w:t>
      </w:r>
    </w:p>
    <w:p>
      <w:pPr>
        <w:pStyle w:val="Heading1"/>
      </w:pPr>
      <w:r>
        <w:t>1. Prepare the document</w:t>
      </w:r>
    </w:p>
    <w:p>
      <w:r>
        <w:t>Create source.json:</w:t>
      </w:r>
    </w:p>
    <w:p>
      <w:pPr/>
      <w:r>
        <w:rPr>
          <w:rFonts w:ascii="Consolas" w:hAnsi="Consolas"/>
          <w:sz w:val="18"/>
        </w:rPr>
        <w:t>{"external_id":"onboarding-guide","title":"Create an API token","content":"Open Workspace settings. Select API tokens. Choose Create token.","source_url":"https://docs.example.com/api-tokens","language":"en"}</w:t>
      </w:r>
    </w:p>
    <w:p>
      <w:r>
        <w:t>Use an approved source. This endpoint stores the supplied text; it does not download source_url. Keep the URL so readers can verify the excerpt against its origin.</w:t>
      </w:r>
    </w:p>
    <w:p>
      <w:pPr>
        <w:pStyle w:val="Heading1"/>
      </w:pPr>
      <w:r>
        <w:t>2. Submit it</w:t>
      </w:r>
    </w:p>
    <w:p>
      <w:pPr/>
      <w:r>
        <w:rPr>
          <w:rFonts w:ascii="Consolas" w:hAnsi="Consolas"/>
          <w:sz w:val="18"/>
        </w:rPr>
        <w:t>curl --fail-with-body --silent --show-error   'https://api.baseframe.example/v1/collections/col_demo/sources'   --header "Authorization: Bearer $BASEFRAME_TOKEN"   --header 'Content-Type: application/json'   --header 'Idempotency-Key: onboarding-guide-2026-10-06-v1'   --data-binary @source.json &gt; ingestion.json</w:t>
      </w:r>
    </w:p>
    <w:p>
      <w:r>
        <w:t>Expected HTTP status: 202. Extract job_id and source_id only after the command succeeds:</w:t>
      </w:r>
    </w:p>
    <w:p>
      <w:pPr/>
      <w:r>
        <w:rPr>
          <w:rFonts w:ascii="Consolas" w:hAnsi="Consolas"/>
          <w:sz w:val="18"/>
        </w:rPr>
        <w:t>JOB_ID=$(python3 -c 'import json; print(json.load(open("ingestion.json"))["job_id"])')</w:t>
      </w:r>
    </w:p>
    <w:p>
      <w:pPr/>
      <w:r>
        <w:rPr>
          <w:rFonts w:ascii="Consolas" w:hAnsi="Consolas"/>
          <w:sz w:val="18"/>
        </w:rPr>
        <w:t>SOURCE_ID=$(python3 -c 'import json; print(json.load(open("ingestion.json"))["source_id"])')</w:t>
      </w:r>
    </w:p>
    <w:p>
      <w:r>
        <w:t>Retain the key for network retries of this exact request. A new key does not bypass duplicate external_id protection.</w:t>
      </w:r>
    </w:p>
    <w:p>
      <w:pPr>
        <w:pStyle w:val="Heading1"/>
      </w:pPr>
      <w:r>
        <w:t>3. Check ingestion</w:t>
      </w:r>
    </w:p>
    <w:p>
      <w:pPr/>
      <w:r>
        <w:rPr>
          <w:rFonts w:ascii="Consolas" w:hAnsi="Consolas"/>
          <w:sz w:val="18"/>
        </w:rPr>
        <w:t>curl --fail-with-body --silent --show-error   "https://api.baseframe.example/v1/jobs/$JOB_ID"   --header "Authorization: Bearer $BASEFRAME_TOKEN"</w:t>
      </w:r>
    </w:p>
    <w:p>
      <w:r>
        <w:t>For queued or processing, wait at least two seconds before checking again. Increase the interval up to 30 seconds. For succeeded, continue. For failed, inspect error and stop. Stop polling after five minutes and investigate with the job ID; do not assume failure or resubmit automatically.</w:t>
      </w:r>
    </w:p>
    <w:p>
      <w:pPr>
        <w:pStyle w:val="Heading1"/>
      </w:pPr>
      <w:r>
        <w:t>4. Retrieve the document</w:t>
      </w:r>
    </w:p>
    <w:p>
      <w:pPr/>
      <w:r>
        <w:rPr>
          <w:rFonts w:ascii="Consolas" w:hAnsi="Consolas"/>
          <w:sz w:val="18"/>
        </w:rPr>
        <w:t>curl --fail-with-body --silent --show-error   'https://api.baseframe.example/v1/collections/col_demo/search'   --header "Authorization: Bearer $BASEFRAME_TOKEN"   --header 'Content-Type: application/json'   --data '{"query":"How do I create an API token?","limit":3}' &gt; search.json</w:t>
      </w:r>
    </w:p>
    <w:p>
      <w:r>
        <w:t>Verify that results contains the source you created:</w:t>
      </w:r>
    </w:p>
    <w:p>
      <w:pPr/>
      <w:r>
        <w:rPr>
          <w:rFonts w:ascii="Consolas" w:hAnsi="Consolas"/>
          <w:sz w:val="18"/>
        </w:rPr>
        <w:t>python3 - "$SOURCE_ID" &lt;&lt;'PY'</w:t>
      </w:r>
    </w:p>
    <w:p>
      <w:pPr/>
      <w:r>
        <w:rPr>
          <w:rFonts w:ascii="Consolas" w:hAnsi="Consolas"/>
          <w:sz w:val="18"/>
        </w:rPr>
        <w:t>import json, sys</w:t>
      </w:r>
    </w:p>
    <w:p>
      <w:pPr/>
      <w:r>
        <w:rPr>
          <w:rFonts w:ascii="Consolas" w:hAnsi="Consolas"/>
          <w:sz w:val="18"/>
        </w:rPr>
        <w:t>results = json.load(open('search.json'))['results']</w:t>
      </w:r>
    </w:p>
    <w:p>
      <w:pPr/>
      <w:r>
        <w:rPr>
          <w:rFonts w:ascii="Consolas" w:hAnsi="Consolas"/>
          <w:sz w:val="18"/>
        </w:rPr>
        <w:t>assert any(item['source_id'] == sys.argv[1] for item in results), 'Expected source was not retrieved'</w:t>
      </w:r>
    </w:p>
    <w:p>
      <w:pPr/>
      <w:r>
        <w:rPr>
          <w:rFonts w:ascii="Consolas" w:hAnsi="Consolas"/>
          <w:sz w:val="18"/>
        </w:rPr>
        <w:t>print('Verified: the ingested source appears in search results.')</w:t>
      </w:r>
    </w:p>
    <w:p>
      <w:pPr/>
      <w:r>
        <w:rPr>
          <w:rFonts w:ascii="Consolas" w:hAnsi="Consolas"/>
          <w:sz w:val="18"/>
        </w:rPr>
        <w:t>PY</w:t>
      </w:r>
    </w:p>
    <w:p>
      <w:pPr>
        <w:pStyle w:val="Heading1"/>
      </w:pPr>
      <w:r>
        <w:t>Troubleshoot</w:t>
      </w:r>
    </w:p>
    <w:p>
      <w:pPr>
        <w:pStyle w:val="ListBullet"/>
      </w:pPr>
      <w:r>
        <w:t>202 but no result: check the job's terminal state before searching.</w:t>
      </w:r>
    </w:p>
    <w:p>
      <w:pPr>
        <w:pStyle w:val="ListBullet"/>
      </w:pPr>
      <w:r>
        <w:t>401: verify that the token is set and valid.</w:t>
      </w:r>
    </w:p>
    <w:p>
      <w:pPr>
        <w:pStyle w:val="ListBullet"/>
      </w:pPr>
      <w:r>
        <w:t>403: compare token scopes with the endpoint requirements.</w:t>
      </w:r>
    </w:p>
    <w:p>
      <w:pPr>
        <w:pStyle w:val="ListBullet"/>
      </w:pPr>
      <w:r>
        <w:t>409 source_exists: the collection already contains this external_id. Verify the existing source or use a distinct ID for a separate document.</w:t>
      </w:r>
    </w:p>
    <w:p>
      <w:pPr>
        <w:pStyle w:val="ListBullet"/>
      </w:pPr>
      <w:r>
        <w:t>Empty results after success: check the collection ID, search terms, and source text. Ingestion success does not guarantee relevance for every query.</w:t>
      </w:r>
    </w:p>
    <w:p>
      <w:pPr>
        <w:pStyle w:val="ListBullet"/>
      </w:pPr>
      <w:r>
        <w:t>429: pause for Retry-After; avoid tight polling loops.</w:t>
      </w:r>
    </w:p>
    <w:p>
      <w:pPr>
        <w:pStyle w:val="Heading1"/>
      </w:pPr>
      <w:r>
        <w:t>Next steps</w:t>
      </w:r>
    </w:p>
    <w:p>
      <w:r>
        <w:t>Use the API reference for production retry handling. Before expanding the collection, define source ownership, review dates, access policy, and a set of representative retrieval tests. Clear the token from your shell when finished: unset BASEFRAME_TOKEN.</w:t>
      </w:r>
    </w:p>
    <w:p>
      <w:pPr>
        <w:pStyle w:val="Title"/>
        <w:pageBreakBefore/>
      </w:pPr>
      <w:r>
        <w:t>How a document becomes a searchable source</w:t>
      </w:r>
    </w:p>
    <w:p>
      <w:r>
        <w:t>Baseframe Knowledge | Technical concept guide</w:t>
      </w:r>
    </w:p>
    <w:p>
      <w:r>
        <w:t>Portfolio demonstration. This guide describes the fictional system defined by the accompanying API contract.</w:t>
      </w:r>
    </w:p>
    <w:p>
      <w:pPr>
        <w:pStyle w:val="Heading1"/>
      </w:pPr>
      <w:r>
        <w:t>Audience and purpose</w:t>
      </w:r>
    </w:p>
    <w:p>
      <w:r>
        <w:t>For engineers and content owners preparing documents for search or investigating missing results. This guide explains what happens after submission and what to check before ingesting content.</w:t>
      </w:r>
    </w:p>
    <w:p>
      <w:pPr>
        <w:pStyle w:val="Heading1"/>
      </w:pPr>
      <w:r>
        <w:t>The source lifecycle</w:t>
      </w:r>
    </w:p>
    <w:p>
      <w:r>
        <w:t>The API validates the request, reserves the external_id, and creates a queued job. A worker moves the job to processing, normalizes the text, splits it into passages, and builds the search index. The source becomes eligible for retrieval only when the job reaches succeeded. Failed jobs do not expose partially indexed content.</w:t>
      </w:r>
    </w:p>
    <w:p>
      <w:r>
        <w:t>After a 202 response, wait for the job to reach succeeded before searching. Indexing does not review the document for accuracy or freshness; the content owner must check those before submission.</w:t>
      </w:r>
    </w:p>
    <w:p>
      <w:pPr>
        <w:pStyle w:val="Heading1"/>
      </w:pPr>
      <w:r>
        <w:t>Source, passage, and result</w:t>
      </w:r>
    </w:p>
    <w:p>
      <w:r>
        <w:t>A source represents one submitted document and its provenance URL. A passage is an internal unit used for retrieval. A search result exposes a relevant excerpt associated with the source ID, title, and URL. Internal passages are not public API resources in this sample.</w:t>
      </w:r>
    </w:p>
    <w:p>
      <w:r>
        <w:t>Keep procedural context together. A passage that says “Select Delete” without the object, prerequisites, or effect can be retrieved accurately and still mislead the reader. Use specific headings, explicit nouns, and complete task steps. Place important conditions beside the action they qualify.</w:t>
      </w:r>
    </w:p>
    <w:p>
      <w:pPr>
        <w:pStyle w:val="Heading1"/>
      </w:pPr>
      <w:r>
        <w:t>Access policy</w:t>
      </w:r>
    </w:p>
    <w:p>
      <w:r>
        <w:t>A token belongs to one workspace. The collection defines which sources a token may retrieve. All documents in a collection share the collection's access policy; there are no document-level overrides here. Separate restricted and broadly accessible content into different collections. Do not ingest confidential material into a collection with a wider audience.</w:t>
      </w:r>
    </w:p>
    <w:p>
      <w:pPr>
        <w:pStyle w:val="Heading1"/>
      </w:pPr>
      <w:r>
        <w:t>What the ranking score means</w:t>
      </w:r>
    </w:p>
    <w:p>
      <w:r>
        <w:t>The score ranks how closely a result matches the query. A high-ranking result may still contain an outdated procedure. Open the source URL to check the instructions, and test retrieval with questions your users actually ask. Access is controlled by permissions, independently of the score.</w:t>
      </w:r>
    </w:p>
    <w:p>
      <w:pPr>
        <w:pStyle w:val="Heading1"/>
      </w:pPr>
      <w:r>
        <w:t>Prepare content for ingestion</w:t>
      </w:r>
    </w:p>
    <w:p>
      <w:pPr>
        <w:pStyle w:val="ListBullet"/>
      </w:pPr>
      <w:r>
        <w:t>Stable identity: preserve external_id across the source system's lifecycle so ownership and changes remain traceable.</w:t>
      </w:r>
    </w:p>
    <w:p>
      <w:pPr>
        <w:pStyle w:val="ListBullet"/>
      </w:pPr>
      <w:r>
        <w:t>Provenance: use a maintained source_url that resolves to the authoritative document.</w:t>
      </w:r>
    </w:p>
    <w:p>
      <w:pPr>
        <w:pStyle w:val="ListBullet"/>
      </w:pPr>
      <w:r>
        <w:t>Task completeness: include prerequisites, actions, expected results, and recovery paths.</w:t>
      </w:r>
    </w:p>
    <w:p>
      <w:pPr>
        <w:pStyle w:val="ListBullet"/>
      </w:pPr>
      <w:r>
        <w:t>Ownership: designate who approves changes and who handles retirement.</w:t>
      </w:r>
    </w:p>
    <w:p>
      <w:pPr>
        <w:pStyle w:val="ListBullet"/>
      </w:pPr>
      <w:r>
        <w:t>Freshness: define review intervals according to how quickly the underlying feature changes.</w:t>
      </w:r>
    </w:p>
    <w:p>
      <w:pPr>
        <w:pStyle w:val="ListBullet"/>
      </w:pPr>
      <w:r>
        <w:t>Access: validate the collection policy before submitting content.</w:t>
      </w:r>
    </w:p>
    <w:p>
      <w:pPr>
        <w:pStyle w:val="Heading1"/>
      </w:pPr>
      <w:r>
        <w:t>Common failure modes</w:t>
      </w:r>
    </w:p>
    <w:p>
      <w:r>
        <w:t>Missing results can arise from a pending job, ingestion failure, the wrong collection, or a mismatch between query language and source wording. Incorrect results can arise from stale content, ambiguous procedures, or incomplete context. Investigate system state first, then inspect the content and query. Before resubmitting, check the existing job and confirm which collection you searched.</w:t>
      </w:r>
    </w:p>
    <w:p>
      <w:pPr>
        <w:pStyle w:val="Heading1"/>
      </w:pPr>
      <w:r>
        <w:t>Design tradeoffs</w:t>
      </w:r>
    </w:p>
    <w:p>
      <w:r>
        <w:t>Asynchronous ingestion avoids holding the request open while indexing, but requires clients to track job state. Collection-level permissions simplify the contract, but require separate collections for different audiences. Each result includes an excerpt and its source URL. This API does not combine sources into an answer; an application that adds answer generation needs its own quality checks.</w:t>
      </w:r>
    </w:p>
    <w:p>
      <w:pPr>
        <w:pStyle w:val="Title"/>
        <w:pageBreakBefore/>
      </w:pPr>
      <w:r>
        <w:t>Diagnose a source missing from search</w:t>
      </w:r>
    </w:p>
    <w:p>
      <w:r>
        <w:t>Baseframe Knowledge | Operational runbook</w:t>
      </w:r>
    </w:p>
    <w:p>
      <w:r>
        <w:t>Portfolio demonstration; procedures apply to the fictional API contract in this sample set.</w:t>
      </w:r>
    </w:p>
    <w:p>
      <w:pPr>
        <w:pStyle w:val="Heading1"/>
      </w:pPr>
      <w:r>
        <w:t>Trigger and scope</w:t>
      </w:r>
    </w:p>
    <w:p>
      <w:r>
        <w:t>Use this runbook when a submitted source is absent from expected search results. You need the collection ID, source ID, job ID, and a token with jobs:read and search:read. Do not collect tokens or document bodies in incident notes.</w:t>
      </w:r>
    </w:p>
    <w:p>
      <w:pPr>
        <w:pStyle w:val="Heading1"/>
      </w:pPr>
      <w:r>
        <w:t>1. Establish the ingestion state</w:t>
      </w:r>
    </w:p>
    <w:p>
      <w:r>
        <w:t>Read GET /jobs/{job_id}. If queued or processing, check again using the documented polling interval. After five minutes, escalate for investigation; the job may still complete. If failed, record error.code and error.message. If succeeded, proceed to retrieval checks. A 404 requires checking the workspace and ID before treating the job as lost.</w:t>
      </w:r>
    </w:p>
    <w:p>
      <w:pPr>
        <w:pStyle w:val="Heading1"/>
      </w:pPr>
      <w:r>
        <w:t>2. Verify the request context</w:t>
      </w:r>
    </w:p>
    <w:p>
      <w:r>
        <w:t>Confirm that the search uses the same collection as the create request. Confirm the token belongs to that workspace and has search:read. A 403 is an authorization problem; expanding the collection's access is not a troubleshooting shortcut.</w:t>
      </w:r>
    </w:p>
    <w:p>
      <w:pPr>
        <w:pStyle w:val="Heading1"/>
      </w:pPr>
      <w:r>
        <w:t>3. Use a diagnostic query</w:t>
      </w:r>
    </w:p>
    <w:p>
      <w:r>
        <w:t>Search for a distinctive phrase in the submitted text, with limit set to 20. Compare returned source IDs with the expected source ID. If it appears for the diagnostic query but not the user query, classify the issue as retrieval relevance and review wording and document context. If absent after succeeded, escalate for indexing investigation. An empty result alone does not prove an index outage.</w:t>
      </w:r>
    </w:p>
    <w:p>
      <w:pPr>
        <w:pStyle w:val="Heading1"/>
      </w:pPr>
      <w:r>
        <w:t>4. Handle request failures</w:t>
      </w:r>
    </w:p>
    <w:p>
      <w:r>
        <w:t>For 429, wait for Retry-After. For 500 or 503, retry with exponential backoff and jitter, at most five attempts. Do not rerun source creation with a new idempotency key: it can return source_exists and does not repair indexing.</w:t>
      </w:r>
    </w:p>
    <w:p>
      <w:pPr>
        <w:pStyle w:val="Heading1"/>
      </w:pPr>
      <w:r>
        <w:t>Escalation record</w:t>
      </w:r>
    </w:p>
    <w:p>
      <w:r>
        <w:t>Capture UTC timestamp, endpoint, HTTP status, X-Request-ID, workspace identifier, collection ID, source ID, job ID, terminal state, and a sanitized description of the query. Include whether other sources are affected. Keep source text and secrets out of tickets unless an approved secure diagnostic process specifically requires them.</w:t>
      </w:r>
    </w:p>
    <w:p>
      <w:pPr>
        <w:pStyle w:val="Heading1"/>
      </w:pPr>
      <w:r>
        <w:t>Resolution criteria</w:t>
      </w:r>
    </w:p>
    <w:p>
      <w:r>
        <w:t>For an indexing issue, confirm the job succeeded and the source appears for the diagnostic query. For a relevance issue, verify the original user task with an agreed expected result. Record the cause, corrective action, and any needed content or monitoring change. Restoring diagnostic retrieval alone does not establish broader search quality.</w:t>
      </w:r>
    </w:p>
    <w:p>
      <w:pPr>
        <w:pStyle w:val="Title"/>
        <w:pageBreakBefore/>
      </w:pPr>
      <w:r>
        <w:t>Migrate ingestion clients to API v1</w:t>
      </w:r>
    </w:p>
    <w:p>
      <w:r>
        <w:t>Baseframe Knowledge | Release notes and migration guide</w:t>
      </w:r>
    </w:p>
    <w:p>
      <w:r>
        <w:t>Portfolio demonstration. The legacy v0 behavior below is an invented comparison used to show how to document a breaking change.</w:t>
      </w:r>
    </w:p>
    <w:p>
      <w:pPr>
        <w:pStyle w:val="Heading1"/>
      </w:pPr>
      <w:r>
        <w:t>What changed</w:t>
      </w:r>
    </w:p>
    <w:p>
      <w:r>
        <w:t>In the illustrative v0 API, source creation returned 201 after indexing completed. API v1 returns 202 immediately with source_id, job_id, and status: queued. Clients must check job status before using the source in search. API v1 also requires Idempotency-Key on create requests.</w:t>
      </w:r>
    </w:p>
    <w:p>
      <w:pPr>
        <w:pStyle w:val="Heading1"/>
      </w:pPr>
      <w:r>
        <w:t>Who needs to act</w:t>
      </w:r>
    </w:p>
    <w:p>
      <w:r>
        <w:t>Update integrations that treat a successful create response as proof that a document is searchable, expect a 201 status, or retry create requests without retaining a key.</w:t>
      </w:r>
    </w:p>
    <w:p>
      <w:pPr>
        <w:pStyle w:val="Heading1"/>
      </w:pPr>
      <w:r>
        <w:t>Migration steps</w:t>
      </w:r>
    </w:p>
    <w:p>
      <w:r>
        <w:t>1. Generate one idempotency key for each logical create operation and retain it with the request body.</w:t>
      </w:r>
    </w:p>
    <w:p>
      <w:r>
        <w:t>2. Change the create success check from 201 to 202 and persist source_id and job_id.</w:t>
      </w:r>
    </w:p>
    <w:p>
      <w:r>
        <w:t>3. Add GET /jobs/{job_id} polling with jobs:read. Start at two seconds, increase to a maximum of 30 seconds, and stop on succeeded or failed.</w:t>
      </w:r>
    </w:p>
    <w:p>
      <w:r>
        <w:t>4. Run search verification only after succeeded. Handle failed as an explicit ingestion failure.</w:t>
      </w:r>
    </w:p>
    <w:p>
      <w:r>
        <w:t>5. After five minutes, stop local polling and record the job ID for support. Do not treat the timeout as cancellation.</w:t>
      </w:r>
    </w:p>
    <w:p>
      <w:r>
        <w:t>6. Exercise 400, 403, 409, 429, and 503 handling before rollout.</w:t>
      </w:r>
    </w:p>
    <w:p>
      <w:pPr>
        <w:pStyle w:val="Heading1"/>
      </w:pPr>
      <w:r>
        <w:t>Validate before rollout</w:t>
      </w:r>
    </w:p>
    <w:p>
      <w:r>
        <w:t>Submit one approved test document into a test collection. Confirm 202 acceptance, terminal success, and retrieval of the same source_id. Repeat the identical create request with the same key and confirm the IDs do not change. Submit a different body with that key and confirm 409 idempotency_conflict. These are proposed contract checks; this portfolio package does not include a running service or executed integration-test results.</w:t>
      </w:r>
    </w:p>
    <w:p>
      <w:pPr>
        <w:pStyle w:val="Heading1"/>
      </w:pPr>
      <w:r>
        <w:t>Rollout and recovery</w:t>
      </w:r>
    </w:p>
    <w:p>
      <w:r>
        <w:t>Enable the v1 client for a test collection first, then expand after validation. If the new client fails, stop new submissions and retain the accepted job IDs. Returning to the legacy client requires confirming that v0 is still supported and reconciling accepted v1 operations before resubmission. A client rollback does not undo server-side ingestion.</w:t>
      </w:r>
    </w:p>
    <w:p>
      <w:pPr>
        <w:pStyle w:val="Heading1"/>
      </w:pPr>
      <w:r>
        <w:t>Deprecation information</w:t>
      </w:r>
    </w:p>
    <w:p>
      <w:r>
        <w:t>Before publishing this guide for a real product, add the v0 support deadline, affected client versions, support contact, and rollback window. This fictional example has no actual deprecation schedule.</w:t>
      </w:r>
    </w:p>
    <w:sectPr w:rsidR="00FC693F" w:rsidRPr="0006063C" w:rsidSect="00034616">
      <w:head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Sharmila Das  /  DOCUMENTATION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