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D4ED8"/>
          <w:sz w:val="56"/>
          <w:szCs w:val="56"/>
        </w:rPr>
        <w:t xml:space="preserve">PT AI Log Mining Pipeline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E3A5F"/>
          <w:sz w:val="40"/>
          <w:szCs w:val="40"/>
        </w:rPr>
        <w:t xml:space="preserve">How-To Guide</w:t>
      </w:r>
    </w:p>
    <w:p>
      <w:pPr>
        <w:pBdr>
          <w:bottom w:val="single" w:color="1D4ED8" w:sz="6" w:space="4"/>
        </w:pBdr>
        <w:spacing w:after="40"/>
        <w:jc w:val="center"/>
      </w:pPr>
      <w:r>
        <w:t xml:space="preserve"/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color w:val="6B7280"/>
          <w:sz w:val="24"/>
          <w:szCs w:val="24"/>
        </w:rPr>
        <w:t xml:space="preserve">Understanding the Pipeline, its Components, and How to Generate a Performance Test Analysis Report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5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Version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Audience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Performance Engineers, Test Analysts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Tool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PT AI Log Analyser (Streamlit)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AI Model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OpenAI GPT-4o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overview" w:id="1"/>
      <w:r>
        <w:t xml:space="preserve">1.  Overview</w:t>
      </w:r>
      <w:bookmarkEnd w:id="2"/>
    </w:p>
    <w:p>
      <w:pPr>
        <w:spacing w:after="120"/>
      </w:pPr>
      <w:r>
        <w:t xml:space="preserve">The PT AI Log Mining Pipeline is an end-to-end automated system that ingests raw performance test logs from multiple sources, analyses them using statistical and AI methods, correlates findings across sources, and produces a professional PDF/HTML Performance Test Analysis Report — all in a single click.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Instead of manually reviewing IIS logs, PerfMon BLG files, LoadRunner CSVs, and SQL Server metrics separately, this tool merges them into a unified timeline, detects anomalies and SLA breaches, identifies root causes using GPT-4o, and generates a client-ready report.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1.1  What Problem Does It Solve?</w:t>
      </w:r>
    </w:p>
    <w:p>
      <w:pPr>
        <w:spacing w:after="120"/>
      </w:pPr>
      <w:r>
        <w:t xml:space="preserve">Traditional PT analysis requires: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Hours of manual correlation across 4+ different log tools (PerfMon, LR Analysis, IIS Logs, SQL Profiler)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Separate interpretation of CPU spikes, memory trends, IIS errors, and transaction latency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Manual root cause analysis based on experience and intuition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Hours to produce a formatted PDF report with findings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This pipeline reduces that to under 2 minutes by automating every step.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1.2  Supported Log Sources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Log Type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File Format / Extension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IIS Web Server Logs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.log (W3C Extended format)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Windows PerfMon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.blg (Binary Log) or pre-converted .csv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LoadRunner Results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.csv (LR Analysis aggregated export)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 Server PerfMon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.csv (PerfMon CSV with MSSQL counters)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1.3  Key Output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PDF and HTML report with per-server utilisation, LR transaction table, SQL counters, anomaly findings, event timeline, and RCA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Executive summary narrative generated by GPT-4o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Ranked root cause hypotheses with confidence scores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 event correlation timeline showing the sequence of failures</w:t>
      </w:r>
    </w:p>
    <w:p>
      <w:pPr>
        <w:pStyle w:val="Heading1"/>
        <w:pageBreakBefore/>
      </w:pPr>
      <w:bookmarkStart w:name="architecture" w:id="3"/>
      <w:r>
        <w:t xml:space="preserve">2.  Pipeline Architecture</w:t>
      </w:r>
      <w:bookmarkEnd w:id="4"/>
    </w:p>
    <w:p>
      <w:pPr>
        <w:spacing w:after="120"/>
      </w:pPr>
      <w:r>
        <w:t xml:space="preserve">The pipeline consists of 5 sequential phases. Each phase feeds the next, building up a richer view of the test run.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 xml:space="preserve">①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D4ED8"/>
                <w:sz w:val="24"/>
                <w:szCs w:val="24"/>
              </w:rPr>
              <w:t xml:space="preserve">Ingest</w:t>
            </w:r>
          </w:p>
          <w:p>
            <w:pPr>
              <w:spacing w:after="0"/>
            </w:pPr>
            <w:r>
              <w:rPr>
                <w:color w:val="6B7280"/>
                <w:sz w:val="18"/>
                <w:szCs w:val="18"/>
              </w:rPr>
              <w:t xml:space="preserve">Read raw log files → parse into a unified DataFrame schema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 xml:space="preserve">②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D4ED8"/>
                <w:sz w:val="24"/>
                <w:szCs w:val="24"/>
              </w:rPr>
              <w:t xml:space="preserve">Normalise / Tag / Store</w:t>
            </w:r>
          </w:p>
          <w:p>
            <w:pPr>
              <w:spacing w:after="0"/>
            </w:pPr>
            <w:r>
              <w:rPr>
                <w:color w:val="6B7280"/>
                <w:sz w:val="18"/>
                <w:szCs w:val="18"/>
              </w:rPr>
              <w:t xml:space="preserve">Clean, enrich, and persist data to DuckDB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 xml:space="preserve">③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D4ED8"/>
                <w:sz w:val="24"/>
                <w:szCs w:val="24"/>
              </w:rPr>
              <w:t xml:space="preserve">AI Agents</w:t>
            </w:r>
          </w:p>
          <w:p>
            <w:pPr>
              <w:spacing w:after="0"/>
            </w:pPr>
            <w:r>
              <w:rPr>
                <w:color w:val="6B7280"/>
                <w:sz w:val="18"/>
                <w:szCs w:val="18"/>
              </w:rPr>
              <w:t xml:space="preserve">Run 4 analysis agents in parallel (Anomaly, Threshold, Trend, Pattern)  +  Causal Agent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 xml:space="preserve">④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D4ED8"/>
                <w:sz w:val="24"/>
                <w:szCs w:val="24"/>
              </w:rPr>
              <w:t xml:space="preserve">Correlation &amp; RCA</w:t>
            </w:r>
          </w:p>
          <w:p>
            <w:pPr>
              <w:spacing w:after="0"/>
            </w:pPr>
            <w:r>
              <w:rPr>
                <w:color w:val="6B7280"/>
                <w:sz w:val="18"/>
                <w:szCs w:val="18"/>
              </w:rPr>
              <w:t xml:space="preserve">Build event timeline, score hypotheses, identify leading indicator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 xml:space="preserve">⑤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D4ED8"/>
                <w:sz w:val="24"/>
                <w:szCs w:val="24"/>
              </w:rPr>
              <w:t xml:space="preserve">Report</w:t>
            </w:r>
          </w:p>
          <w:p>
            <w:pPr>
              <w:spacing w:after="0"/>
            </w:pPr>
            <w:r>
              <w:rPr>
                <w:color w:val="6B7280"/>
                <w:sz w:val="18"/>
                <w:szCs w:val="18"/>
              </w:rPr>
              <w:t xml:space="preserve">Generate HTML + PDF from all findings using Jinja2 template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D6FA8" w:sz="6" w:space="8"/>
        </w:pBdr>
        <w:spacing w:after="120" w:before="80"/>
        <w:ind w:left="360"/>
      </w:pPr>
      <w:r>
        <w:rPr>
          <w:b/>
          <w:bCs/>
          <w:color w:val="1D6FA8"/>
        </w:rPr>
        <w:t xml:space="preserve">💡 Note: </w:t>
      </w:r>
      <w:r>
        <w:rPr>
          <w:color w:val="374151"/>
        </w:rPr>
        <w:t xml:space="preserve">All 5 phases run automatically when you click 'Run Analysis' in the Streamlit UI. The progress bar updates as each phase completes.</w:t>
      </w:r>
    </w:p>
    <w:p>
      <w:pPr>
        <w:pStyle w:val="Heading1"/>
        <w:pageBreakBefore/>
      </w:pPr>
      <w:bookmarkStart w:name="ingest" w:id="5"/>
      <w:r>
        <w:t xml:space="preserve">3.  Phase 1 — Ingest</w:t>
      </w:r>
      <w:bookmarkEnd w:id="6"/>
    </w:p>
    <w:p>
      <w:pPr>
        <w:spacing w:after="120"/>
      </w:pPr>
      <w:r>
        <w:t xml:space="preserve">The ingest phase reads raw log files and converts them into a common pandas DataFrame schema. Every log type is handled by its own dedicated parser.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3.1  Unified DataFrame Schema</w:t>
      </w:r>
    </w:p>
    <w:p>
      <w:pPr>
        <w:spacing w:after="120"/>
      </w:pPr>
      <w:r>
        <w:t xml:space="preserve">All parsers output a DataFrame with the following standard columns, regardless of file type: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timestamp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UTC datetime of the event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source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Log origin: 'iis', 'blg', 'loadrunner', 'sql'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metric_name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What was measured (e.g. 'response_time_ms', 'cpu_pct')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value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Numeric measurement value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unit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Unit of measurement (ms, %, MB, etc.)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severity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Initial severity: 'info', 'warn', or 'critical'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raw_line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Original text for traceability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3.2  IIS Log Parser (iis_parser.py)</w:t>
      </w:r>
    </w:p>
    <w:p>
      <w:pPr>
        <w:spacing w:after="120"/>
      </w:pPr>
      <w:r>
        <w:t xml:space="preserve">Parses IIS W3C Extended Log Format files (.log). Uses vectorised pandas operations — reads the entire file in one pd.read_csv() call (skipping # comment lines), making it 10–50x faster than line-by-line parsing. Handles 150 MB files in under 30 seconds.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Extracts three metric types per log file: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response_time_ms — time-taken field, severity set by SLA threshold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http_status — one row per request for error rate counting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bytes_sent — sc-bytes field for bandwidth analysis</w:t>
      </w:r>
    </w:p>
    <w:p>
      <w:pPr>
        <w:spacing w:after="80"/>
      </w:pPr>
      <w:r>
        <w:t xml:space="preserve"/>
      </w:r>
    </w:p>
    <w:p>
      <w:pPr>
        <w:pBdr>
          <w:left w:val="single" w:color="1D6FA8" w:sz="6" w:space="8"/>
        </w:pBdr>
        <w:spacing w:after="120" w:before="80"/>
        <w:ind w:left="360"/>
      </w:pPr>
      <w:r>
        <w:rPr>
          <w:b/>
          <w:bCs/>
          <w:color w:val="1D6FA8"/>
        </w:rPr>
        <w:t xml:space="preserve">💡 Note: </w:t>
      </w:r>
      <w:r>
        <w:rPr>
          <w:color w:val="374151"/>
        </w:rPr>
        <w:t xml:space="preserve">The parser reads the #Fields: directive to find column positions dynamically, so it works with any IIS log regardless of which fields are enabled.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3.3  PerfMon BLG Parser (blg_parser.py)</w:t>
      </w:r>
    </w:p>
    <w:p>
      <w:pPr>
        <w:spacing w:after="120"/>
      </w:pPr>
      <w:r>
        <w:t xml:space="preserve">Parses Windows Performance Monitor binary log files (.blg) or pre-exported CSV files. On Windows, .blg files are auto-converted to CSV using the relog command. On Mac/Linux, provide a pre-converted CSV.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Key metrics extracted: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cpu_pct — % Processor Time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mem_committed_pct — % Committed Bytes In Use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mem_available_mb — Available MBytes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disk_queue_len — Avg. Disk Queue Length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net_bytes_total_sec — Network bytes per second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3.4  LoadRunner CSV Parser (lr_parser.py)</w:t>
      </w:r>
    </w:p>
    <w:p>
      <w:pPr>
        <w:spacing w:after="120"/>
      </w:pPr>
      <w:r>
        <w:t xml:space="preserve">Parses LoadRunner Analysis aggregated results CSV files. These are exported from LR Analysis and contain one row per transaction with averaged/percentile statistics for the entire test run.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The parser automatically detects the header row (which may not always be row 1), strips parenthetical units from column names (e.g. '90th Percentile (Sec)' → p90_response_sec), and maps all common LR column name variants to canonical metric names.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Metrics extracted per transaction: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avg_response_sec, min_response_sec, max_response_sec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p50 / p75 / p90 / p95 / p99 response time percentiles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tps — Achieved TPS (throughput)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pass_count, fail_count — transaction pass/fail counts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3.5  SQL Server Metrics Parser (sql_parser.py)</w:t>
      </w:r>
    </w:p>
    <w:p>
      <w:pPr>
        <w:spacing w:after="120"/>
      </w:pPr>
      <w:r>
        <w:t xml:space="preserve">Parses PerfMon CSV files that contain SQL Server counter columns (\\SERVER\SQLServer:Category\Counter or \\SERVER\MSSQL$InstanceName:Category\Counter for named instances).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SQL counters extracted include: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sql_buffer_cache_hit_pct — Buffer Manager: Buffer cache hit ratio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sql_page_life_expectancy_s — Buffer Manager: Page life expectancy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sql_batch_requests_sec — SQL Statistics: Batch requests/sec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sql_deadlocks_sec — Locks: Deadlocks/sec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sql_lock_waits_sec — Locks: Lock waits/sec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sql_processes_blocked — General Statistics: Processes blocked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sql_recompilations_sec — SQL Statistics: SQL Re-Compilations/sec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3.6  File Type Detection (file_watcher.py)</w:t>
      </w:r>
    </w:p>
    <w:p>
      <w:pPr>
        <w:spacing w:after="120"/>
      </w:pPr>
      <w:r>
        <w:t xml:space="preserve">The tool auto-detects file types. Detection order: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Extension check: .blg → blg, .log → iis check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Filename hints: files containing 'lr_', 'loadrunner', 'transaction' → lr; 'sql', 'mssql' → sql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Content sniff: reads first 2 lines and checks for IIS header (#Software: Microsoft Internet Information), MSSQL$ counter strings, or LR keywords</w:t>
      </w:r>
    </w:p>
    <w:p>
      <w:pPr>
        <w:pStyle w:val="Heading1"/>
        <w:pageBreakBefore/>
      </w:pPr>
      <w:bookmarkStart w:name="parse" w:id="7"/>
      <w:r>
        <w:t xml:space="preserve">4.  Phase 2 — Normalise / Tag / Store</w:t>
      </w:r>
      <w:bookmarkEnd w:id="8"/>
    </w:p>
    <w:p>
      <w:pPr>
        <w:spacing w:after="120"/>
      </w:pPr>
      <w:r>
        <w:t xml:space="preserve">After ingestion, raw DataFrames go through three sub-steps before reaching the AI agents.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4.1  Normaliser (normaliser.py)</w:t>
      </w:r>
    </w:p>
    <w:p>
      <w:pPr>
        <w:spacing w:after="120"/>
      </w:pPr>
      <w:r>
        <w:t xml:space="preserve">Ensures schema consistency across all sources: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Enforces required columns (adds defaults for missing ones)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Converts all timestamps to UTC timezone-aware pandas Timestamps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Converts value column to float64, coercing errors to 0.0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Drops rows missing timestamp or metric_name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4.2  Context Tagger (context_tagger.py)</w:t>
      </w:r>
    </w:p>
    <w:p>
      <w:pPr>
        <w:spacing w:after="120"/>
      </w:pPr>
      <w:r>
        <w:t xml:space="preserve">Adds test-phase context to each row based on timestamp: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ramp_up — first N minutes (default: 5 min)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steady_state — middle period (default: 20 min)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ramp_down — final N minutes (default: 5 min)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Phase boundaries come from config.yaml test_phases section, or are detected automatically from LoadRunner metadata if available. This is important because anomaly detection focuses on the steady-state phase.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4.3  Store (store.py)</w:t>
      </w:r>
    </w:p>
    <w:p>
      <w:pPr>
        <w:spacing w:after="120"/>
      </w:pPr>
      <w:r>
        <w:t xml:space="preserve">Persists the normalised DataFrame to a DuckDB in-memory/file database. This enables fast SQL-based querying in subsequent phases without holding all data in memory. DuckDB is stored at /tmp/pt_pipeline.duckdb by default (configurable in config.yaml).</w:t>
      </w:r>
    </w:p>
    <w:p>
      <w:pPr>
        <w:pStyle w:val="Heading1"/>
        <w:pageBreakBefore/>
      </w:pPr>
      <w:bookmarkStart w:name="agents" w:id="9"/>
      <w:r>
        <w:t xml:space="preserve">5.  Phase 3 — AI Agents</w:t>
      </w:r>
      <w:bookmarkEnd w:id="10"/>
    </w:p>
    <w:p>
      <w:pPr>
        <w:spacing w:after="120"/>
      </w:pPr>
      <w:r>
        <w:t xml:space="preserve">Four analysis agents run in parallel using a ThreadPoolExecutor. Each agent focuses on a different type of problem. Their findings are then synthesised by the Causal Agent.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5.1  Anomaly Agent (anomaly_agent.py)</w:t>
      </w:r>
    </w:p>
    <w:p>
      <w:pPr>
        <w:spacing w:after="120"/>
      </w:pPr>
      <w:r>
        <w:t xml:space="preserve">Detects statistical outliers using three complementary methods: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How It Works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Z-score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Flags values more than 3 standard deviations from the mean. Fast parametric test, best for normally-distributed metrics.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IQR (Inter-Quartile Range)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Flags values below Q1 - 1.5×IQR or above Q3 + 1.5×IQR. Robust against skewed distributions and outlier contamination.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Isolation Forest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ML-based model that isolates anomalies by random partitioning. Catches multi-dimensional anomaly clusters that Z-score misses.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A data point is flagged as anomalous if at least two of the three methods agree. This reduces false positives significantly.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5.2  Threshold Agent (threshold_agent.py)</w:t>
      </w:r>
    </w:p>
    <w:p>
      <w:pPr>
        <w:spacing w:after="120"/>
      </w:pPr>
      <w:r>
        <w:t xml:space="preserve">Rule-based SLA breach detector. Checks every metric against the thresholds defined in config.yaml and raises findings with the business KPI they violate.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Default SLA thresholds (all configurable in config.yaml):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Default Threshold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P90 Response Time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2000 ms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P95 Response Time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2000 ms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Error Rate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1.0%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CPU %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85%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Memory %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90%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Disk Queue Length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2.0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TPS Drop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20% vs baseline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 Buffer Cache Hit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&lt; 95%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 Page Life Expectancy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&lt; 300 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 Deadlocks/sec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0.1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 Blocked Processes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&gt; 5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5.3  Trend Agent (trend_agent.py)</w:t>
      </w:r>
    </w:p>
    <w:p>
      <w:pPr>
        <w:spacing w:after="120"/>
      </w:pPr>
      <w:r>
        <w:t xml:space="preserve">Detects monotonic degradation patterns — metrics that are gradually getting worse over the steady-state period, which may not trigger a threshold breach but indicate a problem is developing.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Uses two statistical tests together: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Linear regression slope — checks if the trend line is significantly positive (for 'worse = higher' metrics like CPU) or negative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Mann-Kendall test — non-parametric test that confirms the direction is consistent, not just a one-off spike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Typical patterns detected: memory leak (steadily rising working set), connection pool exhaustion, GC pressure creep, response time drift.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5.4  Pattern Agent (pattern_agent.py)</w:t>
      </w:r>
    </w:p>
    <w:p>
      <w:pPr>
        <w:spacing w:after="120"/>
      </w:pPr>
      <w:r>
        <w:t xml:space="preserve">Two-pass analysis that looks for recurring error patterns in log lines: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Pass 1 — Regex (no API cost, instant):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OutOfMemory / MemoryError events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Stack traces and unhandled exceptions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Connection timeout / socket timeout clusters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HTTP 500 burst events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Connection refused / reset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GC overhead limit exceeded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LoadRunner SLA breach tags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Pass 2 — GPT-4o semantic analysis: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Sends the top suspicious log lines to GPT-4o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GPT-4o identifies non-obvious patterns (e.g. authentication failures correlating with timeouts)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Returns structured JSON findings with severity, count, and description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5.5  Causal Agent (causal_agent.py)</w:t>
      </w:r>
    </w:p>
    <w:p>
      <w:pPr>
        <w:spacing w:after="120"/>
      </w:pPr>
      <w:r>
        <w:t xml:space="preserve">Runs after the four analysis agents complete. Takes all their findings as input and uses GPT-4o to: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Identify which metric degraded first (the leading indicator)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Build a cause → effect chain (e.g. 'CPU saturation → increased GC pauses → response time degradation → LR SLA breach')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Generate ranked root cause hypotheses with confidence scores and evidence citations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Write the Executive Summary narrative for the report</w:t>
      </w:r>
    </w:p>
    <w:p>
      <w:pPr>
        <w:spacing w:after="80"/>
      </w:pPr>
      <w:r>
        <w:t xml:space="preserve"/>
      </w:r>
    </w:p>
    <w:p>
      <w:pPr>
        <w:pBdr>
          <w:left w:val="single" w:color="1D6FA8" w:sz="6" w:space="8"/>
        </w:pBdr>
        <w:spacing w:after="120" w:before="80"/>
        <w:ind w:left="360"/>
      </w:pPr>
      <w:r>
        <w:rPr>
          <w:b/>
          <w:bCs/>
          <w:color w:val="1D6FA8"/>
        </w:rPr>
        <w:t xml:space="preserve">💡 Note: </w:t>
      </w:r>
      <w:r>
        <w:rPr>
          <w:color w:val="374151"/>
        </w:rPr>
        <w:t xml:space="preserve">The Causal Agent requires an OpenAI API key. Without it, findings from the first 4 agents still appear in the report, but the Executive Summary and RCA sections will be empty.</w:t>
      </w:r>
    </w:p>
    <w:p>
      <w:pPr>
        <w:pStyle w:val="Heading1"/>
        <w:pageBreakBefore/>
      </w:pPr>
      <w:bookmarkStart w:name="correlation" w:id="11"/>
      <w:r>
        <w:t xml:space="preserve">6.  Phase 4 — Correlation &amp; RCA</w:t>
      </w:r>
      <w:bookmarkEnd w:id="12"/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6.1  Event Timeline (timeline.py)</w:t>
      </w:r>
    </w:p>
    <w:p>
      <w:pPr>
        <w:spacing w:after="120"/>
      </w:pPr>
      <w:r>
        <w:t xml:space="preserve">Merges all findings from all 4 agents into a single unified timeline, sorted by timestamp. This answers the question: 'In what order did things start failing?'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Each event in the timeline has: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timestamp — when the event occurred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source — which log type (iis, blg, loadrunner, sql)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metric_name — what was measured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severity — info / warn / critical (colour-coded in the report)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description — human-readable description of the finding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The first warn or critical event in the timeline is tagged as the leading indicator — the root cause starting point for the Causal Agent.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The report shows the top 25 events from the timeline (ordered chronologically). The full list can have hundreds of events.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6.2  Confidence Scorer (scorer.py)</w:t>
      </w:r>
    </w:p>
    <w:p>
      <w:pPr>
        <w:spacing w:after="120"/>
      </w:pPr>
      <w:r>
        <w:t xml:space="preserve">Scores the hypotheses generated by the Causal Agent by cross-referencing them against hard evidence in the data: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High confidence — hypothesis is directly supported by threshold and anomaly findings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Medium confidence — supported by trend or pattern findings only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Low confidence — hypothesis is plausible but lacks direct evidence in the data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6.3  RCA Engine (rca_engine.py)</w:t>
      </w:r>
    </w:p>
    <w:p>
      <w:pPr>
        <w:spacing w:after="120"/>
      </w:pPr>
      <w:r>
        <w:t xml:space="preserve">Assembles the final RCA result by combining: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Causal Agent output (hypotheses + cause-effect chain + summary)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Timeline (leading indicator, event sequence)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Scored hypotheses from the confidence scorer</w:t>
      </w:r>
    </w:p>
    <w:p>
      <w:pPr>
        <w:spacing w:after="120"/>
      </w:pPr>
      <w:r>
        <w:t xml:space="preserve">This becomes the context dictionary passed to the report generator.</w:t>
      </w:r>
    </w:p>
    <w:p>
      <w:pPr>
        <w:pStyle w:val="Heading1"/>
        <w:pageBreakBefore/>
      </w:pPr>
      <w:bookmarkStart w:name="report" w:id="13"/>
      <w:r>
        <w:t xml:space="preserve">7.  Phase 5 — Report Generation</w:t>
      </w:r>
      <w:bookmarkEnd w:id="14"/>
    </w:p>
    <w:p>
      <w:pPr>
        <w:spacing w:after="120"/>
      </w:pPr>
      <w:r>
        <w:t xml:space="preserve">The report generator takes the full RCA context and renders it into a structured HTML report, then converts it to PDF using WeasyPrint.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7.1  Report Sections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Contents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① Test Summary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Total findings, SLA breaches, anomaly count, trend count, pattern count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② LoadRunner Transaction Results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Per-transaction table: Avg, Min, P90, Max, Passed, Failed, TPS, SLA badge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③ Server Resource Utilisation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Per-server breakdown: IIS web traffic + PerfMon system + SQL Server counters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④ Findings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All threshold breaches, anomalies, trends, and patterns with severity badges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⑤ Event Correlation Timeline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Top 25 cross-source events in chronological order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⑥ RCA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Leading indicator, cause→effect chain, ranked hypotheses, executive summary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7.2  Server Sections (③)</w:t>
      </w:r>
    </w:p>
    <w:p>
      <w:pPr>
        <w:spacing w:after="120"/>
      </w:pPr>
      <w:r>
        <w:t xml:space="preserve">For each server that provided data, the report generates a dedicated section. Servers are grouped by source type: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IIS + PerfMon servers show: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IIS — web traffic: Total requests, HTTP 500s, HTTP 4xxs, Req/sec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PerfMon — system: CPU peak %, Memory % (% Committed Bytes In Use), Disk queue length, Network MB/s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SQL Metrics servers show: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 Server counters: Buffer cache hit %, Page life expectancy, Blocked processes, Deadlocks/s, Lock waits/s, Recompiles/s</w:t>
      </w:r>
    </w:p>
    <w:p>
      <w:pPr>
        <w:spacing w:after="80"/>
      </w:pPr>
      <w:r>
        <w:t xml:space="preserve"/>
      </w:r>
    </w:p>
    <w:p>
      <w:pPr>
        <w:pBdr>
          <w:left w:val="single" w:color="1D6FA8" w:sz="6" w:space="8"/>
        </w:pBdr>
        <w:spacing w:after="120" w:before="80"/>
        <w:ind w:left="360"/>
      </w:pPr>
      <w:r>
        <w:rPr>
          <w:b/>
          <w:bCs/>
          <w:color w:val="1D6FA8"/>
        </w:rPr>
        <w:t xml:space="preserve">💡 Note: </w:t>
      </w:r>
      <w:r>
        <w:rPr>
          <w:color w:val="374151"/>
        </w:rPr>
        <w:t xml:space="preserve">Server names are mapped from the raw log paths using the Server Name Mapping section in the sidebar. E.g. '\\LWUKWVRI56\...' → 'App Server 56'.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7.3  SLA Badges</w:t>
      </w:r>
    </w:p>
    <w:p>
      <w:pPr>
        <w:spacing w:after="120"/>
      </w:pPr>
      <w:r>
        <w:t xml:space="preserve">Every metric and transaction in the report has a colour-coded SLA badge: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INFO (blue)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Within normal range — no issue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WARN (amber)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Approaching threshold (80–100% of limit)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CRIT (red)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Threshold exceeded — action required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7.4  Output Files</w:t>
      </w:r>
    </w:p>
    <w:p>
      <w:pPr>
        <w:spacing w:after="120"/>
      </w:pPr>
      <w:r>
        <w:t xml:space="preserve">Reports are saved to the output folder (default: ./output/) with a unique run ID: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pt_report_&lt;runID&gt;.html — full interactive HTML version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pt_report_&lt;runID&gt;.pdf — printable PDF for sharing with clients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In the Streamlit UI, download buttons appear for both formats after the pipeline completes.</w:t>
      </w:r>
    </w:p>
    <w:p>
      <w:pPr>
        <w:pStyle w:val="Heading1"/>
        <w:pageBreakBefore/>
      </w:pPr>
      <w:bookmarkStart w:name="setup" w:id="15"/>
      <w:r>
        <w:t xml:space="preserve">8.  Setup &amp; Installation</w:t>
      </w:r>
      <w:bookmarkEnd w:id="16"/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8.1  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Python 3.11 or higher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Windows, macOS, or Linux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 (to clone the repository)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OpenAI API key (optional — required for AI-driven Executive Summary and RCA)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8.2  Installation Steps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Clone the repository: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git clone https://github.com/&lt;your-repo&gt;/PT_AILog_Analyser.git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cd PT_AILog_Analyser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Create and activate a virtual environment:</w:t>
      </w:r>
    </w:p>
    <w:p>
      <w:pPr>
        <w:spacing w:after="120"/>
      </w:pPr>
      <w:r>
        <w:t xml:space="preserve">On Windows: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python -m venv test-env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test-env\Scripts\activate</w:t>
      </w:r>
    </w:p>
    <w:p>
      <w:pPr>
        <w:spacing w:after="120"/>
      </w:pPr>
      <w:r>
        <w:t xml:space="preserve">On macOS / Linux: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python -m venv test-env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source test-env/bin/activate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Install dependencies: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pip install -r requirements.txt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Configure OpenAI API key (optional but recommended):</w:t>
      </w:r>
    </w:p>
    <w:p>
      <w:pPr>
        <w:spacing w:after="120"/>
      </w:pPr>
      <w:r>
        <w:t xml:space="preserve">Create a .env file in the project root: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OPENAI_API_KEY=sk-...your-key-here...</w:t>
      </w:r>
    </w:p>
    <w:p>
      <w:pPr>
        <w:pBdr>
          <w:left w:val="single" w:color="B45309" w:sz="6" w:space="8"/>
        </w:pBdr>
        <w:spacing w:after="120" w:before="80"/>
        <w:ind w:left="360"/>
      </w:pPr>
      <w:r>
        <w:rPr>
          <w:b/>
          <w:bCs/>
          <w:color w:val="B45309"/>
        </w:rPr>
        <w:t xml:space="preserve">⚠ Important: </w:t>
      </w:r>
      <w:r>
        <w:rPr>
          <w:color w:val="374151"/>
        </w:rPr>
        <w:t xml:space="preserve">Never commit the .env file to Git. It is already in .gitignore. Do not paste the API key into app.py or config.yaml.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Start the application: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streamlit run app.py</w:t>
      </w:r>
    </w:p>
    <w:p>
      <w:pPr>
        <w:spacing w:after="120"/>
      </w:pPr>
      <w:r>
        <w:t xml:space="preserve">The browser opens automatically at http://localhost:8501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8.3  Keeping Up to Date</w:t>
      </w:r>
    </w:p>
    <w:p>
      <w:pPr>
        <w:spacing w:after="120"/>
      </w:pPr>
      <w:r>
        <w:t xml:space="preserve">Pull the latest changes from the repository before each use:</w:t>
      </w:r>
    </w:p>
    <w:p>
      <w:pPr>
        <w:spacing w:after="80" w:before="80"/>
        <w:ind w:left="360" w:right="360"/>
      </w:pPr>
      <w:r>
        <w:rPr>
          <w:rFonts w:ascii="Courier New" w:cs="Courier New" w:eastAsia="Courier New" w:hAnsi="Courier New"/>
          <w:color w:val="1D4ED8"/>
          <w:sz w:val="18"/>
          <w:szCs w:val="18"/>
        </w:rPr>
        <w:t xml:space="preserve">git pull origin main</w:t>
      </w:r>
    </w:p>
    <w:p>
      <w:pPr>
        <w:pStyle w:val="Heading1"/>
        <w:pageBreakBefore/>
      </w:pPr>
      <w:bookmarkStart w:name="ui" w:id="17"/>
      <w:r>
        <w:t xml:space="preserve">9.  Using the Streamlit UI</w:t>
      </w:r>
      <w:bookmarkEnd w:id="18"/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9.1  Uploading Log Files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Open the app at http://localhost:8501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In the sidebar under 'Upload Log Files', click Browse files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Select one or more files. You can upload multiple files at once.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The tool auto-detects the file type of each upload. You can verify in the 'Detected types' table that appears.</w:t>
      </w:r>
    </w:p>
    <w:p>
      <w:pPr>
        <w:spacing w:after="80"/>
      </w:pPr>
      <w:r>
        <w:t xml:space="preserve"/>
      </w:r>
    </w:p>
    <w:p>
      <w:pPr>
        <w:pBdr>
          <w:left w:val="single" w:color="1D6FA8" w:sz="6" w:space="8"/>
        </w:pBdr>
        <w:spacing w:after="120" w:before="80"/>
        <w:ind w:left="360"/>
      </w:pPr>
      <w:r>
        <w:rPr>
          <w:b/>
          <w:bCs/>
          <w:color w:val="1D6FA8"/>
        </w:rPr>
        <w:t xml:space="preserve">💡 Note: </w:t>
      </w:r>
      <w:r>
        <w:rPr>
          <w:color w:val="374151"/>
        </w:rPr>
        <w:t xml:space="preserve">You can upload files from different servers together. The tool will group them correctly by server.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9.2  Sidebar Configuration</w:t>
      </w:r>
    </w:p>
    <w:p>
      <w:pPr>
        <w:spacing w:after="120"/>
      </w:pPr>
      <w:r>
        <w:t xml:space="preserve">Before running, review the sidebar settings: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Time Window Filter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Restrict analysis to a specific time range (useful if you only want to analyse the steady-state period). LR rows are always included regardless of time filter.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LR Percentile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Which percentile to use for SLA comparison in the LR transaction table (default: P90)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 Thresholds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Override default thresholds for P90/P95 latency, error rate, CPU %, Memory 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IIS Parse Speed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Sample 1-in-N rows for faster parsing of very large IIS log files (150 MB+). '1' = keep all rows.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Server Name Mapping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Map raw server names from log paths (e.g. LWUKWVRI56) to friendly labels (e.g. App Server 56). These appear as section headings in the report.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9.3  Running the Analysis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Click the 'Run Analysis' button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Watch the progress indicators for each phase (①②③④⑤)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The LR transaction table appears below the progress bar as soon as Phase 3 completes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When complete, the Streamlit page shows expandable sections for: Threshold Breaches, Anomalies, Trends, Patterns, and the full parsed data table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Click 'Download HTML Report' or 'Download PDF Report' to save the output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9.4  Interpreting the Report</w:t>
      </w:r>
    </w:p>
    <w:p>
      <w:pPr>
        <w:spacing w:after="120"/>
      </w:pPr>
      <w:r>
        <w:t xml:space="preserve">Start at the Test Summary card at the top — it gives you the headline numbers (total findings, SLA breaches, anomalies, trends, patterns).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Then work through the report in section order: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LR Transaction Results — check which transactions breached SLA (CRIT/WARN badge)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Server Resource Utilisation — identify which servers were resource-constrained during the test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Findings — review individual threshold breaches and anomalies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 Timeline — read the sequence of events to understand the failure story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RCA — read the AI-generated root cause hypotheses to guide your investigation</w:t>
      </w:r>
    </w:p>
    <w:p>
      <w:pPr>
        <w:pStyle w:val="Heading1"/>
        <w:pageBreakBefore/>
      </w:pPr>
      <w:bookmarkStart w:name="config" w:id="19"/>
      <w:r>
        <w:t xml:space="preserve">10.  Configuration Reference (config.yaml)</w:t>
      </w:r>
      <w:bookmarkEnd w:id="20"/>
    </w:p>
    <w:p>
      <w:pPr>
        <w:spacing w:after="120"/>
      </w:pPr>
      <w:r>
        <w:t xml:space="preserve">All pipeline behaviour is controlled by config.yaml in the project root. Copy the file and create a config.local.yaml to override settings without modifying the tracked file.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10.1  Pipeline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pipeline.drop_folder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Folder monitored by the file watcher for new log files (default: ./logs_drop)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pipeline.output_folder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Where reports are saved (default: ./output)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pipeline.db_path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DuckDB database file path (default: /tmp/pt_pipeline.duckdb)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10.2  OpenAI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openai.api_key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Leave blank — set via OPENAI_API_KEY environment variable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openai.model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AI model to use (default: gpt-4o). Can be changed to gpt-4o-mini for lower cost.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openai.max_tokens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Maximum tokens per AI response (default: 4096)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openai.base_url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Override for alternative OpenAI-compatible APIs (e.g. Groq, Azure OpenAI)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10.3  SLA Thresholds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sla.p90_latency_ms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2000 ms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sla.p95_latency_ms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2000 ms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sla.error_rate_pct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sla.cpu_pct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85%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sla.memory_pct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90%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sla.disk_queue_length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sla.tps_drop_pct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20%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10.4  SQL SLA Thresholds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sql_sla.min_buffer_cache_hit_pct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95%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sql_sla.min_page_life_expectancy_s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300 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sql_sla.max_deadlocks_sec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0.1/s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sql_sla.max_lock_waits_sec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5.0/s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sql_sla.max_processes_blocked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sql_sla.max_recompilations_sec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10/s</w:t>
            </w:r>
          </w:p>
        </w:tc>
      </w:tr>
    </w:tbl>
    <w:p>
      <w:pPr>
        <w:pStyle w:val="Heading1"/>
        <w:pageBreakBefore/>
      </w:pPr>
      <w:bookmarkStart w:name="troubleshooting" w:id="21"/>
      <w:r>
        <w:t xml:space="preserve">11.  Troubleshooting</w:t>
      </w:r>
      <w:bookmarkEnd w:id="22"/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SQL metrics CSV not ingesting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Check that the CSV column headers contain 'SQLServer:' or 'MSSQL$&lt;instance&gt;:'. The tool requires at least one SQL Server counter column to recognise the file as a SQL metrics file.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LR transaction table empty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Ensure the CSV has a header row with columns like 'Transaction', 'Avg', '90th', 'Passed'. The tool auto-detects the header row even if it is not row 1.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Memory % showing wrong value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The PerfMon BLG must contain the '% Committed Bytes In Use' counter from the Memory object. Available MBytes is a different counter and is not used for Memory %.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IIS parsing very slow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Use the IIS Parse Speed slider in the sidebar to sample 1-in-5 or 1-in-10 rows. This reduces parse time for 150 MB+ files.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OpenAI call failed (JSON error)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GPT-4o wraps JSON in code fences. This is handled automatically. If it persists, check the OPENAI_API_KEY is set correctly in your .env file.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LR time filter removes all LR data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LR aggregated CSVs have no real per-row timestamps. Set the time window filter to cover the actual test period, or leave it disabled. LR rows are always included regardless of the time filter.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'Cannot compare tz-naive and tz-aware' error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Update to the latest code (git pull). This was fixed in the IIS parser rewrite.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git pull shows 'nothing to update' but bug still exists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Run: git fetch &amp;&amp; git log --oneline origin/main -5 to see if GitHub has newer commits, then git pull origin main.</w:t>
            </w:r>
          </w:p>
        </w:tc>
      </w:tr>
    </w:tbl>
    <w:p>
      <w:pPr>
        <w:pStyle w:val="Heading1"/>
        <w:pageBreakBefore/>
      </w:pPr>
      <w:bookmarkStart w:name="glossary" w:id="23"/>
      <w:r>
        <w:t xml:space="preserve">12.  Glossary</w:t>
      </w:r>
      <w:bookmarkEnd w:id="24"/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6FA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B7FC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BLG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Binary Log — the native format for Windows Performance Monitor data exports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DuckDB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Embedded analytical SQL database used to store and query the normalised pipeline data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IQR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Inter-Quartile Range — a robust statistical measure of spread, used in anomaly detection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Leading Indicator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The first metric to degrade before a failure cascade — identified by the timeline as the earliest warn/critical event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LR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LoadRunner — HP/Micro Focus load testing tool that generates transaction performance CSV reports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Mann-Kendall Test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Non-parametric statistical test used by the Trend Agent to confirm monotonic trends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Metric Name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Canonical internal name for a measurement (e.g. 'cpu_pct', 'p90_response_sec')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P90 / P95 / P99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90th / 95th / 99th percentile response times — the value below which 90%/95%/99% of requests completed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PerfMon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Windows Performance Monitor — captures CPU, memory, disk, network, and SQL Server counters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Phase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Test execution stage: ramp_up → steady_state → ramp_down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PLE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Page Life Expectancy — SQL Server metric indicating how long pages stay in the buffer pool (lower = memory pressure)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RCA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Root Cause Analysis — the process of identifying why a performance problem occurred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SLA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Service Level Agreement — the agreed performance thresholds (e.g. P90 &lt; 2s)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TPS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Transactions Per Second — throughput metric from LoadRunner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UTC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Coordinated Universal Time — all timestamps in the pipeline are normalised to UTC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W3C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World Wide Web Consortium — the extended log format used by IIS web servers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F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Z-score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Number of standard deviations a value is from the mean — used in anomaly detection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E5E7EB" w:sz="4" w:space="1"/>
        </w:pBdr>
        <w:spacing w:after="160" w:before="160"/>
      </w:pPr>
      <w:r>
        <w:t xml:space="preserve"/>
      </w:r>
    </w:p>
    <w:p>
      <w:pPr>
        <w:spacing w:after="80" w:before="160"/>
        <w:jc w:val="center"/>
      </w:pPr>
      <w:r>
        <w:rPr>
          <w:color w:val="9CA3AF"/>
          <w:sz w:val="18"/>
          <w:szCs w:val="18"/>
        </w:rPr>
        <w:t xml:space="preserve">— End of Document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DBFE" w:sz="4" w:space="4"/>
      </w:pBdr>
      <w:tabs>
        <w:tab w:val="right" w:pos="9360"/>
      </w:tabs>
    </w:pPr>
    <w:r>
      <w:rPr>
        <w:color w:val="9CA3AF"/>
        <w:sz w:val="16"/>
        <w:szCs w:val="16"/>
      </w:rPr>
      <w:t xml:space="preserve">© Performance Engineering Team  |  For Internal Use</w:t>
    </w:r>
    <w:r>
      <w:rPr>
        <w:color w:val="9CA3AF"/>
        <w:sz w:val="16"/>
        <w:szCs w:val="16"/>
      </w:rPr>
      <w:t xml:space="preserve">	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DBFE" w:sz="4" w:space="4"/>
      </w:pBdr>
      <w:tabs>
        <w:tab w:val="right" w:pos="9360"/>
      </w:tabs>
    </w:pPr>
    <w:r>
      <w:rPr>
        <w:color w:val="6B7280"/>
        <w:sz w:val="18"/>
        <w:szCs w:val="18"/>
      </w:rPr>
      <w:t xml:space="preserve">PT AI Log Mining Pipeline  —  How-To Guide</w:t>
    </w:r>
    <w:r>
      <w:rPr>
        <w:sz w:val="18"/>
        <w:szCs w:val="18"/>
      </w:rPr>
      <w:t xml:space="preserve">	</w:t>
    </w:r>
    <w:r>
      <w:rPr>
        <w:color w:val="9CA3AF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○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FDBFE" w:sz="4" w:space="4"/>
      </w:pBdr>
      <w:spacing w:after="160" w:before="320"/>
      <w:outlineLvl w:val="0"/>
    </w:pPr>
    <w:rPr>
      <w:rFonts w:ascii="Calibri" w:cs="Calibri" w:eastAsia="Calibri" w:hAnsi="Calibri"/>
      <w:b/>
      <w:bCs/>
      <w:color w:val="1D4ED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2026-06-26T16:03:25.863Z</dcterms:created>
  <dcterms:modified xsi:type="dcterms:W3CDTF">2026-06-26T16:03:25.863Z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