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A383CF" w14:textId="77777777" w:rsidR="008F0DB7" w:rsidRDefault="008F0DB7">
      <w:pPr>
        <w:spacing w:before="2000"/>
      </w:pPr>
    </w:p>
    <w:p w14:paraId="3C0466FA" w14:textId="77777777" w:rsidR="008F0DB7" w:rsidRDefault="00000000">
      <w:pPr>
        <w:jc w:val="center"/>
      </w:pPr>
      <w:r>
        <w:rPr>
          <w:rFonts w:ascii="Calibri" w:eastAsia="Calibri" w:hAnsi="Calibri" w:cs="Calibri"/>
          <w:b/>
          <w:bCs/>
          <w:color w:val="1F3B57"/>
          <w:sz w:val="52"/>
          <w:szCs w:val="52"/>
        </w:rPr>
        <w:t>KEY DESIGN DOCUMENT</w:t>
      </w:r>
    </w:p>
    <w:p w14:paraId="0FEF694D" w14:textId="77777777" w:rsidR="008F0DB7" w:rsidRDefault="00000000">
      <w:pPr>
        <w:spacing w:before="200" w:after="100"/>
        <w:jc w:val="center"/>
      </w:pPr>
      <w:r>
        <w:rPr>
          <w:rFonts w:ascii="Calibri" w:eastAsia="Calibri" w:hAnsi="Calibri" w:cs="Calibri"/>
          <w:b/>
          <w:bCs/>
          <w:color w:val="2E7D6B"/>
          <w:sz w:val="32"/>
          <w:szCs w:val="32"/>
        </w:rPr>
        <w:t>PT AI Log Mining &amp; Root-Cause Analysis Pipeline</w:t>
      </w:r>
    </w:p>
    <w:p w14:paraId="6EA778B3" w14:textId="77777777" w:rsidR="008F0DB7" w:rsidRDefault="00000000">
      <w:pPr>
        <w:spacing w:after="800"/>
        <w:jc w:val="center"/>
      </w:pPr>
      <w:r>
        <w:rPr>
          <w:rFonts w:ascii="Calibri" w:eastAsia="Calibri" w:hAnsi="Calibri" w:cs="Calibri"/>
          <w:i/>
          <w:iCs/>
          <w:color w:val="5B6770"/>
          <w:sz w:val="24"/>
          <w:szCs w:val="24"/>
        </w:rPr>
        <w:t>Client-Network Implementation Design — Intact Insurance Engagement</w:t>
      </w:r>
    </w:p>
    <w:p w14:paraId="29CE610B" w14:textId="77777777" w:rsidR="008F0DB7" w:rsidRDefault="008F0DB7">
      <w:pPr>
        <w:pBdr>
          <w:top w:val="single" w:sz="12" w:space="8" w:color="2E7D6B"/>
        </w:pBdr>
        <w:spacing w:before="200"/>
      </w:pPr>
    </w:p>
    <w:p w14:paraId="6D6D99C4" w14:textId="77777777" w:rsidR="008F0DB7" w:rsidRDefault="008F0DB7">
      <w:pPr>
        <w:spacing w:before="900"/>
      </w:pPr>
    </w:p>
    <w:p w14:paraId="20B0EBF1" w14:textId="2FDAD803" w:rsidR="008F0DB7" w:rsidRDefault="00000000">
      <w:pPr>
        <w:spacing w:after="80"/>
      </w:pPr>
      <w:r>
        <w:rPr>
          <w:rFonts w:ascii="Calibri" w:eastAsia="Calibri" w:hAnsi="Calibri" w:cs="Calibri"/>
          <w:b/>
          <w:bCs/>
          <w:color w:val="1F3B57"/>
          <w:sz w:val="21"/>
          <w:szCs w:val="21"/>
        </w:rPr>
        <w:t xml:space="preserve">Prepared by:  </w:t>
      </w:r>
      <w:r>
        <w:rPr>
          <w:rFonts w:ascii="Calibri" w:eastAsia="Calibri" w:hAnsi="Calibri" w:cs="Calibri"/>
          <w:color w:val="2B2B2B"/>
          <w:sz w:val="21"/>
          <w:szCs w:val="21"/>
        </w:rPr>
        <w:t>Pankaj Kumar Sharma — Performance Engineering Lead, Capgemini India</w:t>
      </w:r>
    </w:p>
    <w:p w14:paraId="3E583A11" w14:textId="77777777" w:rsidR="008F0DB7" w:rsidRDefault="00000000">
      <w:pPr>
        <w:spacing w:after="80"/>
      </w:pPr>
      <w:r>
        <w:rPr>
          <w:rFonts w:ascii="Calibri" w:eastAsia="Calibri" w:hAnsi="Calibri" w:cs="Calibri"/>
          <w:b/>
          <w:bCs/>
          <w:color w:val="1F3B57"/>
          <w:sz w:val="21"/>
          <w:szCs w:val="21"/>
        </w:rPr>
        <w:t xml:space="preserve">Client / Engagement:  </w:t>
      </w:r>
      <w:r>
        <w:rPr>
          <w:rFonts w:ascii="Calibri" w:eastAsia="Calibri" w:hAnsi="Calibri" w:cs="Calibri"/>
          <w:color w:val="2B2B2B"/>
          <w:sz w:val="21"/>
          <w:szCs w:val="21"/>
        </w:rPr>
        <w:t>Intact Insurance</w:t>
      </w:r>
    </w:p>
    <w:p w14:paraId="59B87CE2" w14:textId="77777777" w:rsidR="008F0DB7" w:rsidRDefault="00000000">
      <w:pPr>
        <w:spacing w:after="80"/>
      </w:pPr>
      <w:r>
        <w:rPr>
          <w:rFonts w:ascii="Calibri" w:eastAsia="Calibri" w:hAnsi="Calibri" w:cs="Calibri"/>
          <w:b/>
          <w:bCs/>
          <w:color w:val="1F3B57"/>
          <w:sz w:val="21"/>
          <w:szCs w:val="21"/>
        </w:rPr>
        <w:t xml:space="preserve">Document type:  </w:t>
      </w:r>
      <w:r>
        <w:rPr>
          <w:rFonts w:ascii="Calibri" w:eastAsia="Calibri" w:hAnsi="Calibri" w:cs="Calibri"/>
          <w:color w:val="2B2B2B"/>
          <w:sz w:val="21"/>
          <w:szCs w:val="21"/>
        </w:rPr>
        <w:t>Key Design Document (KDD)</w:t>
      </w:r>
    </w:p>
    <w:p w14:paraId="159BDAB9" w14:textId="77777777" w:rsidR="008F0DB7" w:rsidRDefault="00000000">
      <w:pPr>
        <w:spacing w:after="80"/>
      </w:pPr>
      <w:r>
        <w:rPr>
          <w:rFonts w:ascii="Calibri" w:eastAsia="Calibri" w:hAnsi="Calibri" w:cs="Calibri"/>
          <w:b/>
          <w:bCs/>
          <w:color w:val="1F3B57"/>
          <w:sz w:val="21"/>
          <w:szCs w:val="21"/>
        </w:rPr>
        <w:t xml:space="preserve">Status:  </w:t>
      </w:r>
      <w:r>
        <w:rPr>
          <w:rFonts w:ascii="Calibri" w:eastAsia="Calibri" w:hAnsi="Calibri" w:cs="Calibri"/>
          <w:color w:val="2B2B2B"/>
          <w:sz w:val="21"/>
          <w:szCs w:val="21"/>
        </w:rPr>
        <w:t>Draft — for governance, security, and client infrastructure review</w:t>
      </w:r>
    </w:p>
    <w:p w14:paraId="17229EE9" w14:textId="77777777" w:rsidR="008F0DB7" w:rsidRDefault="00000000">
      <w:pPr>
        <w:spacing w:after="80"/>
      </w:pPr>
      <w:r>
        <w:rPr>
          <w:rFonts w:ascii="Calibri" w:eastAsia="Calibri" w:hAnsi="Calibri" w:cs="Calibri"/>
          <w:b/>
          <w:bCs/>
          <w:color w:val="1F3B57"/>
          <w:sz w:val="21"/>
          <w:szCs w:val="21"/>
        </w:rPr>
        <w:t xml:space="preserve">Version:  </w:t>
      </w:r>
      <w:r>
        <w:rPr>
          <w:rFonts w:ascii="Calibri" w:eastAsia="Calibri" w:hAnsi="Calibri" w:cs="Calibri"/>
          <w:color w:val="2B2B2B"/>
          <w:sz w:val="21"/>
          <w:szCs w:val="21"/>
        </w:rPr>
        <w:t>0.1</w:t>
      </w:r>
    </w:p>
    <w:p w14:paraId="263710DC" w14:textId="77777777" w:rsidR="008F0DB7" w:rsidRDefault="00000000">
      <w:pPr>
        <w:spacing w:after="80"/>
      </w:pPr>
      <w:r>
        <w:rPr>
          <w:rFonts w:ascii="Calibri" w:eastAsia="Calibri" w:hAnsi="Calibri" w:cs="Calibri"/>
          <w:b/>
          <w:bCs/>
          <w:color w:val="1F3B57"/>
          <w:sz w:val="21"/>
          <w:szCs w:val="21"/>
        </w:rPr>
        <w:t xml:space="preserve">Date:  </w:t>
      </w:r>
      <w:r>
        <w:rPr>
          <w:rFonts w:ascii="Calibri" w:eastAsia="Calibri" w:hAnsi="Calibri" w:cs="Calibri"/>
          <w:color w:val="2B2B2B"/>
          <w:sz w:val="21"/>
          <w:szCs w:val="21"/>
        </w:rPr>
        <w:t>25 September 2026</w:t>
      </w:r>
    </w:p>
    <w:p w14:paraId="298E94F3" w14:textId="77777777" w:rsidR="008F0DB7" w:rsidRDefault="00000000">
      <w:pPr>
        <w:spacing w:after="80"/>
      </w:pPr>
      <w:r>
        <w:rPr>
          <w:rFonts w:ascii="Calibri" w:eastAsia="Calibri" w:hAnsi="Calibri" w:cs="Calibri"/>
          <w:b/>
          <w:bCs/>
          <w:color w:val="1F3B57"/>
          <w:sz w:val="21"/>
          <w:szCs w:val="21"/>
        </w:rPr>
        <w:t xml:space="preserve">Classification:  </w:t>
      </w:r>
      <w:r>
        <w:rPr>
          <w:rFonts w:ascii="Calibri" w:eastAsia="Calibri" w:hAnsi="Calibri" w:cs="Calibri"/>
          <w:color w:val="2B2B2B"/>
          <w:sz w:val="21"/>
          <w:szCs w:val="21"/>
        </w:rPr>
        <w:t>Confidential — Capgemini / Intact Insurance internal use</w:t>
      </w:r>
    </w:p>
    <w:p w14:paraId="5DF4FDA0" w14:textId="77777777" w:rsidR="008F0DB7" w:rsidRDefault="008F0DB7">
      <w:pPr>
        <w:spacing w:before="900"/>
      </w:pPr>
    </w:p>
    <w:tbl>
      <w:tblPr>
        <w:tblW w:w="5000" w:type="pct"/>
        <w:tblBorders>
          <w:top w:val="single" w:sz="6" w:space="0" w:color="B7791F"/>
          <w:left w:val="single" w:sz="6" w:space="0" w:color="B7791F"/>
          <w:bottom w:val="single" w:sz="6" w:space="0" w:color="B7791F"/>
          <w:right w:val="single" w:sz="6" w:space="0" w:color="B7791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24"/>
      </w:tblGrid>
      <w:tr w:rsidR="008F0DB7" w14:paraId="2E6E3988" w14:textId="77777777">
        <w:tc>
          <w:tcPr>
            <w:tcW w:w="0" w:type="auto"/>
            <w:shd w:val="clear" w:color="auto" w:fill="FBF0DD"/>
            <w:tcMar>
              <w:top w:w="160" w:type="dxa"/>
              <w:left w:w="200" w:type="dxa"/>
              <w:bottom w:w="160" w:type="dxa"/>
              <w:right w:w="200" w:type="dxa"/>
            </w:tcMar>
          </w:tcPr>
          <w:p w14:paraId="1AB2CAAE" w14:textId="77777777" w:rsidR="008F0DB7" w:rsidRDefault="00000000">
            <w:pPr>
              <w:spacing w:after="100"/>
            </w:pPr>
            <w:r>
              <w:rPr>
                <w:rFonts w:ascii="Calibri" w:eastAsia="Calibri" w:hAnsi="Calibri" w:cs="Calibri"/>
                <w:b/>
                <w:bCs/>
                <w:color w:val="7A4E12"/>
                <w:sz w:val="21"/>
                <w:szCs w:val="21"/>
              </w:rPr>
              <w:t>Open decision flagged in this document</w:t>
            </w:r>
          </w:p>
          <w:p w14:paraId="581629BC" w14:textId="77777777" w:rsidR="008F0DB7" w:rsidRDefault="00000000">
            <w:pPr>
              <w:spacing w:after="60"/>
            </w:pPr>
            <w:r>
              <w:rPr>
                <w:rFonts w:ascii="Calibri" w:eastAsia="Calibri" w:hAnsi="Calibri" w:cs="Calibri"/>
                <w:color w:val="3A3A3A"/>
              </w:rPr>
              <w:t>•  The AI-analysis component's LLM call path (client-hosted Azure OpenAI vs. direct OpenAI API) is not yet finalised.</w:t>
            </w:r>
          </w:p>
          <w:p w14:paraId="654BF7CC" w14:textId="77777777" w:rsidR="008F0DB7" w:rsidRDefault="00000000">
            <w:pPr>
              <w:spacing w:after="60"/>
            </w:pPr>
            <w:r>
              <w:rPr>
                <w:rFonts w:ascii="Calibri" w:eastAsia="Calibri" w:hAnsi="Calibri" w:cs="Calibri"/>
                <w:color w:val="3A3A3A"/>
              </w:rPr>
              <w:t>•  Section 6 documents both options with trade-offs. Governance and security sign-off on this choice is the primary gate before implementation proceeds beyond pilot.</w:t>
            </w:r>
          </w:p>
        </w:tc>
      </w:tr>
    </w:tbl>
    <w:p w14:paraId="55A1E9E0" w14:textId="77777777" w:rsidR="008F0DB7" w:rsidRDefault="00000000">
      <w:r>
        <w:br w:type="page"/>
      </w:r>
    </w:p>
    <w:p w14:paraId="3F961D8D" w14:textId="77777777" w:rsidR="008F0DB7" w:rsidRDefault="008F0DB7">
      <w:pPr>
        <w:sectPr w:rsidR="008F0DB7">
          <w:pgSz w:w="12240" w:h="15840"/>
          <w:pgMar w:top="1440" w:right="1350" w:bottom="1440" w:left="1350" w:header="708" w:footer="708" w:gutter="0"/>
          <w:cols w:space="720"/>
          <w:docGrid w:linePitch="360"/>
        </w:sectPr>
      </w:pPr>
    </w:p>
    <w:p w14:paraId="7CF888A1"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lastRenderedPageBreak/>
        <w:t>Table of Contents</w:t>
      </w:r>
    </w:p>
    <w:p w14:paraId="659E8398" w14:textId="77777777" w:rsidR="008F0DB7" w:rsidRDefault="00000000">
      <w:pPr>
        <w:tabs>
          <w:tab w:val="right" w:leader="dot" w:pos="9026"/>
        </w:tabs>
        <w:spacing w:after="120"/>
      </w:pPr>
      <w:r>
        <w:rPr>
          <w:rFonts w:ascii="Calibri" w:eastAsia="Calibri" w:hAnsi="Calibri" w:cs="Calibri"/>
          <w:sz w:val="22"/>
          <w:szCs w:val="22"/>
        </w:rPr>
        <w:t>1. Purpose &amp; Scope</w:t>
      </w:r>
      <w:r>
        <w:rPr>
          <w:rFonts w:ascii="Calibri" w:eastAsia="Calibri" w:hAnsi="Calibri" w:cs="Calibri"/>
          <w:sz w:val="22"/>
          <w:szCs w:val="22"/>
        </w:rPr>
        <w:tab/>
        <w:t>3</w:t>
      </w:r>
    </w:p>
    <w:p w14:paraId="0D2B48D8" w14:textId="77777777" w:rsidR="008F0DB7" w:rsidRDefault="00000000">
      <w:pPr>
        <w:tabs>
          <w:tab w:val="right" w:leader="dot" w:pos="9026"/>
        </w:tabs>
        <w:spacing w:after="120"/>
      </w:pPr>
      <w:r>
        <w:rPr>
          <w:rFonts w:ascii="Calibri" w:eastAsia="Calibri" w:hAnsi="Calibri" w:cs="Calibri"/>
          <w:sz w:val="22"/>
          <w:szCs w:val="22"/>
        </w:rPr>
        <w:t>2. Background &amp; Business Context</w:t>
      </w:r>
      <w:r>
        <w:rPr>
          <w:rFonts w:ascii="Calibri" w:eastAsia="Calibri" w:hAnsi="Calibri" w:cs="Calibri"/>
          <w:sz w:val="22"/>
          <w:szCs w:val="22"/>
        </w:rPr>
        <w:tab/>
        <w:t>3</w:t>
      </w:r>
    </w:p>
    <w:p w14:paraId="50964C27" w14:textId="77777777" w:rsidR="008F0DB7" w:rsidRDefault="00000000">
      <w:pPr>
        <w:tabs>
          <w:tab w:val="right" w:leader="dot" w:pos="9026"/>
        </w:tabs>
        <w:spacing w:after="120"/>
      </w:pPr>
      <w:r>
        <w:rPr>
          <w:rFonts w:ascii="Calibri" w:eastAsia="Calibri" w:hAnsi="Calibri" w:cs="Calibri"/>
          <w:sz w:val="22"/>
          <w:szCs w:val="22"/>
        </w:rPr>
        <w:t>3. Solution Overview</w:t>
      </w:r>
      <w:r>
        <w:rPr>
          <w:rFonts w:ascii="Calibri" w:eastAsia="Calibri" w:hAnsi="Calibri" w:cs="Calibri"/>
          <w:sz w:val="22"/>
          <w:szCs w:val="22"/>
        </w:rPr>
        <w:tab/>
        <w:t>4</w:t>
      </w:r>
    </w:p>
    <w:p w14:paraId="30F44B29" w14:textId="77777777" w:rsidR="008F0DB7" w:rsidRDefault="00000000">
      <w:pPr>
        <w:tabs>
          <w:tab w:val="right" w:leader="dot" w:pos="9026"/>
        </w:tabs>
        <w:spacing w:after="120"/>
      </w:pPr>
      <w:r>
        <w:rPr>
          <w:rFonts w:ascii="Calibri" w:eastAsia="Calibri" w:hAnsi="Calibri" w:cs="Calibri"/>
          <w:sz w:val="22"/>
          <w:szCs w:val="22"/>
        </w:rPr>
        <w:t>4. Architecture Design</w:t>
      </w:r>
      <w:r>
        <w:rPr>
          <w:rFonts w:ascii="Calibri" w:eastAsia="Calibri" w:hAnsi="Calibri" w:cs="Calibri"/>
          <w:sz w:val="22"/>
          <w:szCs w:val="22"/>
        </w:rPr>
        <w:tab/>
        <w:t>5</w:t>
      </w:r>
    </w:p>
    <w:p w14:paraId="26F43951" w14:textId="77777777" w:rsidR="008F0DB7" w:rsidRDefault="00000000">
      <w:pPr>
        <w:tabs>
          <w:tab w:val="right" w:leader="dot" w:pos="9026"/>
        </w:tabs>
        <w:spacing w:after="120"/>
      </w:pPr>
      <w:r>
        <w:rPr>
          <w:rFonts w:ascii="Calibri" w:eastAsia="Calibri" w:hAnsi="Calibri" w:cs="Calibri"/>
          <w:sz w:val="22"/>
          <w:szCs w:val="22"/>
        </w:rPr>
        <w:t>5. Technology Stack</w:t>
      </w:r>
      <w:r>
        <w:rPr>
          <w:rFonts w:ascii="Calibri" w:eastAsia="Calibri" w:hAnsi="Calibri" w:cs="Calibri"/>
          <w:sz w:val="22"/>
          <w:szCs w:val="22"/>
        </w:rPr>
        <w:tab/>
        <w:t>7</w:t>
      </w:r>
    </w:p>
    <w:p w14:paraId="02478E9A" w14:textId="77777777" w:rsidR="008F0DB7" w:rsidRDefault="00000000">
      <w:pPr>
        <w:tabs>
          <w:tab w:val="right" w:leader="dot" w:pos="9026"/>
        </w:tabs>
        <w:spacing w:after="120"/>
      </w:pPr>
      <w:r>
        <w:rPr>
          <w:rFonts w:ascii="Calibri" w:eastAsia="Calibri" w:hAnsi="Calibri" w:cs="Calibri"/>
          <w:sz w:val="22"/>
          <w:szCs w:val="22"/>
        </w:rPr>
        <w:t>6. AI / LLM Component — Design Options (Open Decision)</w:t>
      </w:r>
      <w:r>
        <w:rPr>
          <w:rFonts w:ascii="Calibri" w:eastAsia="Calibri" w:hAnsi="Calibri" w:cs="Calibri"/>
          <w:sz w:val="22"/>
          <w:szCs w:val="22"/>
        </w:rPr>
        <w:tab/>
        <w:t>8</w:t>
      </w:r>
    </w:p>
    <w:p w14:paraId="0E3669F0" w14:textId="77777777" w:rsidR="008F0DB7" w:rsidRDefault="00000000">
      <w:pPr>
        <w:tabs>
          <w:tab w:val="right" w:leader="dot" w:pos="9026"/>
        </w:tabs>
        <w:spacing w:after="120"/>
      </w:pPr>
      <w:r>
        <w:rPr>
          <w:rFonts w:ascii="Calibri" w:eastAsia="Calibri" w:hAnsi="Calibri" w:cs="Calibri"/>
          <w:sz w:val="22"/>
          <w:szCs w:val="22"/>
        </w:rPr>
        <w:t>7. Data Flow &amp; Data Classification</w:t>
      </w:r>
      <w:r>
        <w:rPr>
          <w:rFonts w:ascii="Calibri" w:eastAsia="Calibri" w:hAnsi="Calibri" w:cs="Calibri"/>
          <w:sz w:val="22"/>
          <w:szCs w:val="22"/>
        </w:rPr>
        <w:tab/>
        <w:t>9</w:t>
      </w:r>
    </w:p>
    <w:p w14:paraId="588AD44F" w14:textId="77777777" w:rsidR="008F0DB7" w:rsidRDefault="00000000">
      <w:pPr>
        <w:tabs>
          <w:tab w:val="right" w:leader="dot" w:pos="9026"/>
        </w:tabs>
        <w:spacing w:after="120"/>
      </w:pPr>
      <w:r>
        <w:rPr>
          <w:rFonts w:ascii="Calibri" w:eastAsia="Calibri" w:hAnsi="Calibri" w:cs="Calibri"/>
          <w:sz w:val="22"/>
          <w:szCs w:val="22"/>
        </w:rPr>
        <w:t>8. Deployment Architecture (Client Network)</w:t>
      </w:r>
      <w:r>
        <w:rPr>
          <w:rFonts w:ascii="Calibri" w:eastAsia="Calibri" w:hAnsi="Calibri" w:cs="Calibri"/>
          <w:sz w:val="22"/>
          <w:szCs w:val="22"/>
        </w:rPr>
        <w:tab/>
        <w:t>10</w:t>
      </w:r>
    </w:p>
    <w:p w14:paraId="60FFCD6A" w14:textId="77777777" w:rsidR="008F0DB7" w:rsidRDefault="00000000">
      <w:pPr>
        <w:tabs>
          <w:tab w:val="right" w:leader="dot" w:pos="9026"/>
        </w:tabs>
        <w:spacing w:after="120"/>
      </w:pPr>
      <w:r>
        <w:rPr>
          <w:rFonts w:ascii="Calibri" w:eastAsia="Calibri" w:hAnsi="Calibri" w:cs="Calibri"/>
          <w:sz w:val="22"/>
          <w:szCs w:val="22"/>
        </w:rPr>
        <w:t>9. Security &amp; Compliance Considerations</w:t>
      </w:r>
      <w:r>
        <w:rPr>
          <w:rFonts w:ascii="Calibri" w:eastAsia="Calibri" w:hAnsi="Calibri" w:cs="Calibri"/>
          <w:sz w:val="22"/>
          <w:szCs w:val="22"/>
        </w:rPr>
        <w:tab/>
        <w:t>11</w:t>
      </w:r>
    </w:p>
    <w:p w14:paraId="507838DE" w14:textId="77777777" w:rsidR="008F0DB7" w:rsidRDefault="00000000">
      <w:pPr>
        <w:tabs>
          <w:tab w:val="right" w:leader="dot" w:pos="9026"/>
        </w:tabs>
        <w:spacing w:after="120"/>
      </w:pPr>
      <w:r>
        <w:rPr>
          <w:rFonts w:ascii="Calibri" w:eastAsia="Calibri" w:hAnsi="Calibri" w:cs="Calibri"/>
          <w:sz w:val="22"/>
          <w:szCs w:val="22"/>
        </w:rPr>
        <w:t>10. Configuration &amp; SLA Thresholds</w:t>
      </w:r>
      <w:r>
        <w:rPr>
          <w:rFonts w:ascii="Calibri" w:eastAsia="Calibri" w:hAnsi="Calibri" w:cs="Calibri"/>
          <w:sz w:val="22"/>
          <w:szCs w:val="22"/>
        </w:rPr>
        <w:tab/>
        <w:t>12</w:t>
      </w:r>
    </w:p>
    <w:p w14:paraId="2F2A82ED" w14:textId="77777777" w:rsidR="008F0DB7" w:rsidRDefault="00000000">
      <w:pPr>
        <w:tabs>
          <w:tab w:val="right" w:leader="dot" w:pos="9026"/>
        </w:tabs>
        <w:spacing w:after="120"/>
      </w:pPr>
      <w:r>
        <w:rPr>
          <w:rFonts w:ascii="Calibri" w:eastAsia="Calibri" w:hAnsi="Calibri" w:cs="Calibri"/>
          <w:sz w:val="22"/>
          <w:szCs w:val="22"/>
        </w:rPr>
        <w:t>11. Rollout Plan</w:t>
      </w:r>
      <w:r>
        <w:rPr>
          <w:rFonts w:ascii="Calibri" w:eastAsia="Calibri" w:hAnsi="Calibri" w:cs="Calibri"/>
          <w:sz w:val="22"/>
          <w:szCs w:val="22"/>
        </w:rPr>
        <w:tab/>
        <w:t>13</w:t>
      </w:r>
    </w:p>
    <w:p w14:paraId="0CED959E" w14:textId="77777777" w:rsidR="008F0DB7" w:rsidRDefault="00000000">
      <w:pPr>
        <w:tabs>
          <w:tab w:val="right" w:leader="dot" w:pos="9026"/>
        </w:tabs>
        <w:spacing w:after="120"/>
      </w:pPr>
      <w:r>
        <w:rPr>
          <w:rFonts w:ascii="Calibri" w:eastAsia="Calibri" w:hAnsi="Calibri" w:cs="Calibri"/>
          <w:sz w:val="22"/>
          <w:szCs w:val="22"/>
        </w:rPr>
        <w:t>12. Roles &amp; Responsibilities</w:t>
      </w:r>
      <w:r>
        <w:rPr>
          <w:rFonts w:ascii="Calibri" w:eastAsia="Calibri" w:hAnsi="Calibri" w:cs="Calibri"/>
          <w:sz w:val="22"/>
          <w:szCs w:val="22"/>
        </w:rPr>
        <w:tab/>
        <w:t>14</w:t>
      </w:r>
    </w:p>
    <w:p w14:paraId="119187DF" w14:textId="77777777" w:rsidR="008F0DB7" w:rsidRDefault="00000000">
      <w:pPr>
        <w:tabs>
          <w:tab w:val="right" w:leader="dot" w:pos="9026"/>
        </w:tabs>
        <w:spacing w:after="120"/>
      </w:pPr>
      <w:r>
        <w:rPr>
          <w:rFonts w:ascii="Calibri" w:eastAsia="Calibri" w:hAnsi="Calibri" w:cs="Calibri"/>
          <w:sz w:val="22"/>
          <w:szCs w:val="22"/>
        </w:rPr>
        <w:t>13. Risks &amp; Mitigations</w:t>
      </w:r>
      <w:r>
        <w:rPr>
          <w:rFonts w:ascii="Calibri" w:eastAsia="Calibri" w:hAnsi="Calibri" w:cs="Calibri"/>
          <w:sz w:val="22"/>
          <w:szCs w:val="22"/>
        </w:rPr>
        <w:tab/>
        <w:t>14</w:t>
      </w:r>
    </w:p>
    <w:p w14:paraId="171635B4" w14:textId="77777777" w:rsidR="008F0DB7" w:rsidRDefault="00000000">
      <w:pPr>
        <w:tabs>
          <w:tab w:val="right" w:leader="dot" w:pos="9026"/>
        </w:tabs>
        <w:spacing w:after="120"/>
      </w:pPr>
      <w:r>
        <w:rPr>
          <w:rFonts w:ascii="Calibri" w:eastAsia="Calibri" w:hAnsi="Calibri" w:cs="Calibri"/>
          <w:sz w:val="22"/>
          <w:szCs w:val="22"/>
        </w:rPr>
        <w:t>14. Success Metrics</w:t>
      </w:r>
      <w:r>
        <w:rPr>
          <w:rFonts w:ascii="Calibri" w:eastAsia="Calibri" w:hAnsi="Calibri" w:cs="Calibri"/>
          <w:sz w:val="22"/>
          <w:szCs w:val="22"/>
        </w:rPr>
        <w:tab/>
        <w:t>15</w:t>
      </w:r>
    </w:p>
    <w:p w14:paraId="4A16FD00" w14:textId="77777777" w:rsidR="008F0DB7" w:rsidRDefault="00000000">
      <w:pPr>
        <w:tabs>
          <w:tab w:val="right" w:leader="dot" w:pos="9026"/>
        </w:tabs>
        <w:spacing w:after="120"/>
      </w:pPr>
      <w:r>
        <w:rPr>
          <w:rFonts w:ascii="Calibri" w:eastAsia="Calibri" w:hAnsi="Calibri" w:cs="Calibri"/>
          <w:sz w:val="22"/>
          <w:szCs w:val="22"/>
        </w:rPr>
        <w:t>15. Open Items &amp; Governance Decisions Required</w:t>
      </w:r>
      <w:r>
        <w:rPr>
          <w:rFonts w:ascii="Calibri" w:eastAsia="Calibri" w:hAnsi="Calibri" w:cs="Calibri"/>
          <w:sz w:val="22"/>
          <w:szCs w:val="22"/>
        </w:rPr>
        <w:tab/>
        <w:t>15</w:t>
      </w:r>
    </w:p>
    <w:p w14:paraId="6EF4D532" w14:textId="77777777" w:rsidR="008F0DB7" w:rsidRDefault="00000000">
      <w:pPr>
        <w:tabs>
          <w:tab w:val="right" w:leader="dot" w:pos="9026"/>
        </w:tabs>
        <w:spacing w:after="120"/>
      </w:pPr>
      <w:r>
        <w:rPr>
          <w:rFonts w:ascii="Calibri" w:eastAsia="Calibri" w:hAnsi="Calibri" w:cs="Calibri"/>
          <w:sz w:val="22"/>
          <w:szCs w:val="22"/>
        </w:rPr>
        <w:t>16. Appendix — Supporting Assets</w:t>
      </w:r>
      <w:r>
        <w:rPr>
          <w:rFonts w:ascii="Calibri" w:eastAsia="Calibri" w:hAnsi="Calibri" w:cs="Calibri"/>
          <w:sz w:val="22"/>
          <w:szCs w:val="22"/>
        </w:rPr>
        <w:tab/>
        <w:t>16</w:t>
      </w:r>
    </w:p>
    <w:p w14:paraId="41A3C418" w14:textId="77777777" w:rsidR="008F0DB7" w:rsidRDefault="00000000">
      <w:pPr>
        <w:tabs>
          <w:tab w:val="right" w:leader="dot" w:pos="9026"/>
        </w:tabs>
        <w:spacing w:after="120"/>
      </w:pPr>
      <w:r>
        <w:rPr>
          <w:rFonts w:ascii="Calibri" w:eastAsia="Calibri" w:hAnsi="Calibri" w:cs="Calibri"/>
          <w:sz w:val="22"/>
          <w:szCs w:val="22"/>
        </w:rPr>
        <w:t>17. Approval &amp; Sign-off</w:t>
      </w:r>
      <w:r>
        <w:rPr>
          <w:rFonts w:ascii="Calibri" w:eastAsia="Calibri" w:hAnsi="Calibri" w:cs="Calibri"/>
          <w:sz w:val="22"/>
          <w:szCs w:val="22"/>
        </w:rPr>
        <w:tab/>
        <w:t>16</w:t>
      </w:r>
    </w:p>
    <w:p w14:paraId="42A699F8" w14:textId="77777777" w:rsidR="008F0DB7" w:rsidRDefault="00000000">
      <w:r>
        <w:br w:type="page"/>
      </w:r>
    </w:p>
    <w:p w14:paraId="0C6DA35A" w14:textId="77777777" w:rsidR="008F0DB7" w:rsidRDefault="008F0DB7">
      <w:pPr>
        <w:sectPr w:rsidR="008F0DB7">
          <w:pgSz w:w="12240" w:h="15840"/>
          <w:pgMar w:top="1440" w:right="1350" w:bottom="1440" w:left="1350" w:header="708" w:footer="708" w:gutter="0"/>
          <w:cols w:space="720"/>
          <w:docGrid w:linePitch="360"/>
        </w:sectPr>
      </w:pPr>
    </w:p>
    <w:p w14:paraId="65206885"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lastRenderedPageBreak/>
        <w:t>1. Purpose &amp; Scope</w:t>
      </w:r>
    </w:p>
    <w:p w14:paraId="27569255" w14:textId="77777777" w:rsidR="008F0DB7" w:rsidRDefault="00000000">
      <w:pPr>
        <w:spacing w:after="160" w:line="276" w:lineRule="auto"/>
      </w:pPr>
      <w:r>
        <w:rPr>
          <w:rFonts w:ascii="Calibri" w:eastAsia="Calibri" w:hAnsi="Calibri" w:cs="Calibri"/>
          <w:color w:val="2B2B2B"/>
          <w:sz w:val="21"/>
          <w:szCs w:val="21"/>
        </w:rPr>
        <w:t>This Key Design Document (KDD) defines the technical design, deployment approach, security posture, and rollout plan for implementing the PT AI Log Mining &amp; Root-Cause Analysis (RCA) Pipeline inside the Intact Insurance client network. It is intended to support governance and security review, guide the implementation team, and serve as the reference design that infrastructure, security, and QA/performance stakeholders sign off against before the tool moves from pilot into production use on live client engagements.</w:t>
      </w:r>
    </w:p>
    <w:p w14:paraId="3F387C74" w14:textId="77777777" w:rsidR="008F0DB7" w:rsidRDefault="00000000">
      <w:pPr>
        <w:spacing w:after="160" w:line="276" w:lineRule="auto"/>
      </w:pPr>
      <w:r>
        <w:rPr>
          <w:rFonts w:ascii="Calibri" w:eastAsia="Calibri" w:hAnsi="Calibri" w:cs="Calibri"/>
          <w:color w:val="2B2B2B"/>
          <w:sz w:val="21"/>
          <w:szCs w:val="21"/>
        </w:rPr>
        <w:t>In scope:</w:t>
      </w:r>
    </w:p>
    <w:p w14:paraId="750B431B"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Design of the five-stage log-mining and RCA pipeline (ingest, parse/normalise, AI analysis, correlation, report).</w:t>
      </w:r>
    </w:p>
    <w:p w14:paraId="4C1A6243"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Deployment topology for running the pipeline inside the client network, including data flow boundaries.</w:t>
      </w:r>
    </w:p>
    <w:p w14:paraId="2B387D22"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The AI/LLM component's design options and the open decision on where LLM calls are processed.</w:t>
      </w:r>
    </w:p>
    <w:p w14:paraId="31253E32"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Security, data-classification, and configuration considerations specific to client-side deployment.</w:t>
      </w:r>
    </w:p>
    <w:p w14:paraId="7CCFCA85"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The phased rollout plan (pilot → integration → scale-up → continuous improvement).</w:t>
      </w:r>
    </w:p>
    <w:p w14:paraId="4A993FA9" w14:textId="77777777" w:rsidR="008F0DB7" w:rsidRDefault="00000000">
      <w:pPr>
        <w:spacing w:after="160" w:line="276" w:lineRule="auto"/>
      </w:pPr>
      <w:r>
        <w:rPr>
          <w:rFonts w:ascii="Calibri" w:eastAsia="Calibri" w:hAnsi="Calibri" w:cs="Calibri"/>
          <w:color w:val="2B2B2B"/>
          <w:sz w:val="21"/>
          <w:szCs w:val="21"/>
        </w:rPr>
        <w:t>Out of scope:</w:t>
      </w:r>
    </w:p>
    <w:p w14:paraId="742C0D15"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Detailed low-level code walkthrough (see the PT Pipeline How-To Guide, Appendix Section 16).</w:t>
      </w:r>
    </w:p>
    <w:p w14:paraId="58FEE4E6"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Commercial/contractual terms of the engagement.</w:t>
      </w:r>
    </w:p>
    <w:p w14:paraId="45A03893"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Final infrastructure sizing — to be confirmed jointly with Intact Insurance infrastructure team during the Integration phase (Section 11).</w:t>
      </w:r>
    </w:p>
    <w:p w14:paraId="2EA74442"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2. Background &amp; Business Context</w:t>
      </w:r>
    </w:p>
    <w:p w14:paraId="61F25E2F" w14:textId="2FC406DE" w:rsidR="008F0DB7" w:rsidRDefault="00000000">
      <w:pPr>
        <w:spacing w:after="160" w:line="276" w:lineRule="auto"/>
      </w:pPr>
      <w:r>
        <w:rPr>
          <w:rFonts w:ascii="Calibri" w:eastAsia="Calibri" w:hAnsi="Calibri" w:cs="Calibri"/>
          <w:color w:val="2B2B2B"/>
          <w:sz w:val="21"/>
          <w:szCs w:val="21"/>
        </w:rPr>
        <w:t xml:space="preserve">Performance test cycles at Intact Insurance currently rely on manual correlation of </w:t>
      </w:r>
      <w:proofErr w:type="spellStart"/>
      <w:r>
        <w:rPr>
          <w:rFonts w:ascii="Calibri" w:eastAsia="Calibri" w:hAnsi="Calibri" w:cs="Calibri"/>
          <w:color w:val="2B2B2B"/>
          <w:sz w:val="21"/>
          <w:szCs w:val="21"/>
        </w:rPr>
        <w:t>Perfmon</w:t>
      </w:r>
      <w:proofErr w:type="spellEnd"/>
      <w:r>
        <w:rPr>
          <w:rFonts w:ascii="Calibri" w:eastAsia="Calibri" w:hAnsi="Calibri" w:cs="Calibri"/>
          <w:color w:val="2B2B2B"/>
          <w:sz w:val="21"/>
          <w:szCs w:val="21"/>
        </w:rPr>
        <w:t xml:space="preserve"> (.BLG), IIS, LoadRunner, and SQL Server counter data to identify root causes of SLA breaches. This manual RCA process is time-consuming and inconsistent across analysts. The PT AI Log Mining pipeline was built to automate this correlation and cut RCA turnaround time by a target of </w:t>
      </w:r>
      <w:r w:rsidR="00726EE6">
        <w:rPr>
          <w:rFonts w:ascii="Calibri" w:eastAsia="Calibri" w:hAnsi="Calibri" w:cs="Calibri"/>
          <w:color w:val="2B2B2B"/>
          <w:sz w:val="21"/>
          <w:szCs w:val="21"/>
        </w:rPr>
        <w:t>6</w:t>
      </w:r>
      <w:r>
        <w:rPr>
          <w:rFonts w:ascii="Calibri" w:eastAsia="Calibri" w:hAnsi="Calibri" w:cs="Calibri"/>
          <w:color w:val="2B2B2B"/>
          <w:sz w:val="21"/>
          <w:szCs w:val="21"/>
        </w:rPr>
        <w:t>0%.</w:t>
      </w:r>
    </w:p>
    <w:p w14:paraId="2A14127C" w14:textId="276D5B48" w:rsidR="008F0DB7" w:rsidRDefault="00000000">
      <w:pPr>
        <w:spacing w:after="160" w:line="276" w:lineRule="auto"/>
        <w:rPr>
          <w:rFonts w:ascii="Calibri" w:eastAsia="Calibri" w:hAnsi="Calibri" w:cs="Calibri"/>
          <w:color w:val="2B2B2B"/>
          <w:sz w:val="21"/>
          <w:szCs w:val="21"/>
        </w:rPr>
      </w:pPr>
      <w:r>
        <w:rPr>
          <w:rFonts w:ascii="Calibri" w:eastAsia="Calibri" w:hAnsi="Calibri" w:cs="Calibri"/>
          <w:color w:val="2B2B2B"/>
          <w:sz w:val="21"/>
          <w:szCs w:val="21"/>
        </w:rPr>
        <w:t xml:space="preserve">The tool was demonstrated to Donald and Pramod </w:t>
      </w:r>
      <w:r w:rsidR="00726EE6">
        <w:rPr>
          <w:rFonts w:ascii="Calibri" w:eastAsia="Calibri" w:hAnsi="Calibri" w:cs="Calibri"/>
          <w:color w:val="2B2B2B"/>
          <w:sz w:val="21"/>
          <w:szCs w:val="21"/>
        </w:rPr>
        <w:t xml:space="preserve">&amp; the Engineering team </w:t>
      </w:r>
      <w:r>
        <w:rPr>
          <w:rFonts w:ascii="Calibri" w:eastAsia="Calibri" w:hAnsi="Calibri" w:cs="Calibri"/>
          <w:color w:val="2B2B2B"/>
          <w:sz w:val="21"/>
          <w:szCs w:val="21"/>
        </w:rPr>
        <w:t xml:space="preserve">at Intact Insurance and received a positive response. Following the demo, the AI governance team approved the initiative in principle, and the project has moved from proof-of-concept into the implementation-design </w:t>
      </w:r>
      <w:r w:rsidR="00DE0512">
        <w:rPr>
          <w:rFonts w:ascii="Calibri" w:eastAsia="Calibri" w:hAnsi="Calibri" w:cs="Calibri"/>
          <w:color w:val="2B2B2B"/>
          <w:sz w:val="21"/>
          <w:szCs w:val="21"/>
        </w:rPr>
        <w:t>phase which</w:t>
      </w:r>
      <w:r>
        <w:rPr>
          <w:rFonts w:ascii="Calibri" w:eastAsia="Calibri" w:hAnsi="Calibri" w:cs="Calibri"/>
          <w:color w:val="2B2B2B"/>
          <w:sz w:val="21"/>
          <w:szCs w:val="21"/>
        </w:rPr>
        <w:t xml:space="preserve"> this document supports. The single gating item carried forward from governance review is sign-off on how the AI-analysis component's calls to a large language model are handled once the tool runs inside the client network; this is addressed as an open decision in Section 6.</w:t>
      </w:r>
    </w:p>
    <w:p w14:paraId="3D741BBF" w14:textId="77777777" w:rsidR="00726EE6" w:rsidRDefault="00726EE6">
      <w:pPr>
        <w:spacing w:after="160" w:line="276" w:lineRule="auto"/>
        <w:rPr>
          <w:rFonts w:ascii="Calibri" w:eastAsia="Calibri" w:hAnsi="Calibri" w:cs="Calibri"/>
          <w:color w:val="2B2B2B"/>
          <w:sz w:val="21"/>
          <w:szCs w:val="21"/>
        </w:rPr>
      </w:pPr>
    </w:p>
    <w:p w14:paraId="18B72E8B" w14:textId="77777777" w:rsidR="00726EE6" w:rsidRDefault="00726EE6">
      <w:pPr>
        <w:spacing w:after="160" w:line="276" w:lineRule="auto"/>
      </w:pPr>
    </w:p>
    <w:p w14:paraId="5F15D79E"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lastRenderedPageBreak/>
        <w:t>3. Solution Overview</w:t>
      </w:r>
    </w:p>
    <w:p w14:paraId="63FDA78E" w14:textId="77777777" w:rsidR="008F0DB7" w:rsidRDefault="00000000">
      <w:pPr>
        <w:spacing w:after="160" w:line="276" w:lineRule="auto"/>
      </w:pPr>
      <w:r>
        <w:rPr>
          <w:rFonts w:ascii="Calibri" w:eastAsia="Calibri" w:hAnsi="Calibri" w:cs="Calibri"/>
          <w:color w:val="2B2B2B"/>
          <w:sz w:val="21"/>
          <w:szCs w:val="21"/>
        </w:rPr>
        <w:t>The pipeline ingests raw performance-test artefacts, normalises them into a single event timeline, runs five parallel analysis agents over that timeline, correlates their findings into a ranked root-cause narrative, and renders a pass/fail verdict as an HTML dashboard and PDF report.</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1600"/>
        <w:gridCol w:w="6300"/>
        <w:gridCol w:w="1640"/>
      </w:tblGrid>
      <w:tr w:rsidR="008F0DB7" w14:paraId="436808C6" w14:textId="77777777" w:rsidTr="00150E8C">
        <w:trPr>
          <w:tblHeader/>
        </w:trPr>
        <w:tc>
          <w:tcPr>
            <w:tcW w:w="1600" w:type="dxa"/>
            <w:shd w:val="clear" w:color="auto" w:fill="7030A0"/>
            <w:tcMar>
              <w:top w:w="100" w:type="dxa"/>
              <w:left w:w="120" w:type="dxa"/>
              <w:bottom w:w="100" w:type="dxa"/>
              <w:right w:w="120" w:type="dxa"/>
            </w:tcMar>
          </w:tcPr>
          <w:p w14:paraId="1511E6A7" w14:textId="77777777" w:rsidR="008F0DB7" w:rsidRDefault="00000000">
            <w:r>
              <w:rPr>
                <w:rFonts w:ascii="Calibri" w:eastAsia="Calibri" w:hAnsi="Calibri" w:cs="Calibri"/>
                <w:b/>
                <w:bCs/>
                <w:color w:val="FFFFFF"/>
                <w:sz w:val="19"/>
                <w:szCs w:val="19"/>
              </w:rPr>
              <w:t>Stage</w:t>
            </w:r>
          </w:p>
        </w:tc>
        <w:tc>
          <w:tcPr>
            <w:tcW w:w="6300" w:type="dxa"/>
            <w:shd w:val="clear" w:color="auto" w:fill="7030A0"/>
            <w:tcMar>
              <w:top w:w="100" w:type="dxa"/>
              <w:left w:w="120" w:type="dxa"/>
              <w:bottom w:w="100" w:type="dxa"/>
              <w:right w:w="120" w:type="dxa"/>
            </w:tcMar>
          </w:tcPr>
          <w:p w14:paraId="6ACA5601" w14:textId="77777777" w:rsidR="008F0DB7" w:rsidRDefault="00000000">
            <w:r>
              <w:rPr>
                <w:rFonts w:ascii="Calibri" w:eastAsia="Calibri" w:hAnsi="Calibri" w:cs="Calibri"/>
                <w:b/>
                <w:bCs/>
                <w:color w:val="FFFFFF"/>
                <w:sz w:val="19"/>
                <w:szCs w:val="19"/>
              </w:rPr>
              <w:t>Function</w:t>
            </w:r>
          </w:p>
        </w:tc>
        <w:tc>
          <w:tcPr>
            <w:tcW w:w="1640" w:type="dxa"/>
            <w:shd w:val="clear" w:color="auto" w:fill="7030A0"/>
            <w:tcMar>
              <w:top w:w="100" w:type="dxa"/>
              <w:left w:w="120" w:type="dxa"/>
              <w:bottom w:w="100" w:type="dxa"/>
              <w:right w:w="120" w:type="dxa"/>
            </w:tcMar>
          </w:tcPr>
          <w:p w14:paraId="6F524D2F" w14:textId="77777777" w:rsidR="008F0DB7" w:rsidRDefault="00000000">
            <w:r>
              <w:rPr>
                <w:rFonts w:ascii="Calibri" w:eastAsia="Calibri" w:hAnsi="Calibri" w:cs="Calibri"/>
                <w:b/>
                <w:bCs/>
                <w:color w:val="FFFFFF"/>
                <w:sz w:val="19"/>
                <w:szCs w:val="19"/>
              </w:rPr>
              <w:t>Key output</w:t>
            </w:r>
          </w:p>
        </w:tc>
      </w:tr>
      <w:tr w:rsidR="008F0DB7" w14:paraId="67572814" w14:textId="77777777">
        <w:tc>
          <w:tcPr>
            <w:tcW w:w="1600" w:type="dxa"/>
            <w:shd w:val="clear" w:color="auto" w:fill="FFFFFF"/>
            <w:tcMar>
              <w:top w:w="90" w:type="dxa"/>
              <w:left w:w="120" w:type="dxa"/>
              <w:bottom w:w="90" w:type="dxa"/>
              <w:right w:w="120" w:type="dxa"/>
            </w:tcMar>
          </w:tcPr>
          <w:p w14:paraId="092561C9" w14:textId="77777777" w:rsidR="008F0DB7" w:rsidRDefault="00000000">
            <w:pPr>
              <w:spacing w:after="40"/>
            </w:pPr>
            <w:r>
              <w:rPr>
                <w:rFonts w:ascii="Calibri" w:eastAsia="Calibri" w:hAnsi="Calibri" w:cs="Calibri"/>
                <w:color w:val="2B2B2B"/>
                <w:sz w:val="19"/>
                <w:szCs w:val="19"/>
              </w:rPr>
              <w:t>1. Ingest</w:t>
            </w:r>
          </w:p>
        </w:tc>
        <w:tc>
          <w:tcPr>
            <w:tcW w:w="6300" w:type="dxa"/>
            <w:shd w:val="clear" w:color="auto" w:fill="FFFFFF"/>
            <w:tcMar>
              <w:top w:w="90" w:type="dxa"/>
              <w:left w:w="120" w:type="dxa"/>
              <w:bottom w:w="90" w:type="dxa"/>
              <w:right w:w="120" w:type="dxa"/>
            </w:tcMar>
          </w:tcPr>
          <w:p w14:paraId="0AD3E8FF" w14:textId="77777777" w:rsidR="00C965A8" w:rsidRDefault="00000000">
            <w:pPr>
              <w:spacing w:after="40"/>
              <w:rPr>
                <w:rFonts w:ascii="Calibri" w:eastAsia="Calibri" w:hAnsi="Calibri" w:cs="Calibri"/>
                <w:color w:val="2B2B2B"/>
                <w:sz w:val="19"/>
                <w:szCs w:val="19"/>
              </w:rPr>
            </w:pPr>
            <w:r>
              <w:rPr>
                <w:rFonts w:ascii="Calibri" w:eastAsia="Calibri" w:hAnsi="Calibri" w:cs="Calibri"/>
                <w:color w:val="2B2B2B"/>
                <w:sz w:val="19"/>
                <w:szCs w:val="19"/>
              </w:rPr>
              <w:t xml:space="preserve">Supports two ingestion modes: </w:t>
            </w:r>
          </w:p>
          <w:p w14:paraId="63CEDFD8" w14:textId="77777777" w:rsidR="00C965A8" w:rsidRDefault="00000000">
            <w:pPr>
              <w:spacing w:after="40"/>
              <w:rPr>
                <w:rFonts w:ascii="Calibri" w:eastAsia="Calibri" w:hAnsi="Calibri" w:cs="Calibri"/>
                <w:color w:val="2B2B2B"/>
                <w:sz w:val="19"/>
                <w:szCs w:val="19"/>
              </w:rPr>
            </w:pPr>
            <w:r>
              <w:rPr>
                <w:rFonts w:ascii="Calibri" w:eastAsia="Calibri" w:hAnsi="Calibri" w:cs="Calibri"/>
                <w:color w:val="2B2B2B"/>
                <w:sz w:val="19"/>
                <w:szCs w:val="19"/>
              </w:rPr>
              <w:t>(a) Manual — an analyst selects and uploads specific .BLG (</w:t>
            </w:r>
            <w:proofErr w:type="spellStart"/>
            <w:r>
              <w:rPr>
                <w:rFonts w:ascii="Calibri" w:eastAsia="Calibri" w:hAnsi="Calibri" w:cs="Calibri"/>
                <w:color w:val="2B2B2B"/>
                <w:sz w:val="19"/>
                <w:szCs w:val="19"/>
              </w:rPr>
              <w:t>Perfmon</w:t>
            </w:r>
            <w:proofErr w:type="spellEnd"/>
            <w:r>
              <w:rPr>
                <w:rFonts w:ascii="Calibri" w:eastAsia="Calibri" w:hAnsi="Calibri" w:cs="Calibri"/>
                <w:color w:val="2B2B2B"/>
                <w:sz w:val="19"/>
                <w:szCs w:val="19"/>
              </w:rPr>
              <w:t xml:space="preserve">), IIS, and LoadRunner log files via the </w:t>
            </w:r>
            <w:proofErr w:type="spellStart"/>
            <w:r>
              <w:rPr>
                <w:rFonts w:ascii="Calibri" w:eastAsia="Calibri" w:hAnsi="Calibri" w:cs="Calibri"/>
                <w:color w:val="2B2B2B"/>
                <w:sz w:val="19"/>
                <w:szCs w:val="19"/>
              </w:rPr>
              <w:t>Streamlit</w:t>
            </w:r>
            <w:proofErr w:type="spellEnd"/>
            <w:r>
              <w:rPr>
                <w:rFonts w:ascii="Calibri" w:eastAsia="Calibri" w:hAnsi="Calibri" w:cs="Calibri"/>
                <w:color w:val="2B2B2B"/>
                <w:sz w:val="19"/>
                <w:szCs w:val="19"/>
              </w:rPr>
              <w:t xml:space="preserve"> UI or the CLI run command, for on-demand analysis of a chosen test cycle; </w:t>
            </w:r>
          </w:p>
          <w:p w14:paraId="7A2504ED" w14:textId="229C5E00" w:rsidR="008F0DB7" w:rsidRDefault="00000000">
            <w:pPr>
              <w:spacing w:after="40"/>
            </w:pPr>
            <w:r>
              <w:rPr>
                <w:rFonts w:ascii="Calibri" w:eastAsia="Calibri" w:hAnsi="Calibri" w:cs="Calibri"/>
                <w:color w:val="2B2B2B"/>
                <w:sz w:val="19"/>
                <w:szCs w:val="19"/>
              </w:rPr>
              <w:t>(b) Automatic — a watchdog-based file watcher monitors a drop folder (or a CI pipeline step) and pulls in new logs continuously with no manual step, once configured.</w:t>
            </w:r>
          </w:p>
        </w:tc>
        <w:tc>
          <w:tcPr>
            <w:tcW w:w="1640" w:type="dxa"/>
            <w:shd w:val="clear" w:color="auto" w:fill="FFFFFF"/>
            <w:tcMar>
              <w:top w:w="90" w:type="dxa"/>
              <w:left w:w="120" w:type="dxa"/>
              <w:bottom w:w="90" w:type="dxa"/>
              <w:right w:w="120" w:type="dxa"/>
            </w:tcMar>
          </w:tcPr>
          <w:p w14:paraId="793AFF0A" w14:textId="77777777" w:rsidR="008F0DB7" w:rsidRDefault="00000000">
            <w:pPr>
              <w:spacing w:after="40"/>
            </w:pPr>
            <w:r>
              <w:rPr>
                <w:rFonts w:ascii="Calibri" w:eastAsia="Calibri" w:hAnsi="Calibri" w:cs="Calibri"/>
                <w:color w:val="2B2B2B"/>
                <w:sz w:val="19"/>
                <w:szCs w:val="19"/>
              </w:rPr>
              <w:t>Raw parsed records per source</w:t>
            </w:r>
          </w:p>
        </w:tc>
      </w:tr>
      <w:tr w:rsidR="008F0DB7" w14:paraId="36830D71" w14:textId="77777777">
        <w:tc>
          <w:tcPr>
            <w:tcW w:w="1600" w:type="dxa"/>
            <w:shd w:val="clear" w:color="auto" w:fill="F5F7F6"/>
            <w:tcMar>
              <w:top w:w="90" w:type="dxa"/>
              <w:left w:w="120" w:type="dxa"/>
              <w:bottom w:w="90" w:type="dxa"/>
              <w:right w:w="120" w:type="dxa"/>
            </w:tcMar>
          </w:tcPr>
          <w:p w14:paraId="15A97470" w14:textId="77777777" w:rsidR="008F0DB7" w:rsidRDefault="00000000">
            <w:pPr>
              <w:spacing w:after="40"/>
            </w:pPr>
            <w:r>
              <w:rPr>
                <w:rFonts w:ascii="Calibri" w:eastAsia="Calibri" w:hAnsi="Calibri" w:cs="Calibri"/>
                <w:color w:val="2B2B2B"/>
                <w:sz w:val="19"/>
                <w:szCs w:val="19"/>
              </w:rPr>
              <w:t xml:space="preserve">2. Parse &amp; </w:t>
            </w:r>
            <w:proofErr w:type="gramStart"/>
            <w:r>
              <w:rPr>
                <w:rFonts w:ascii="Calibri" w:eastAsia="Calibri" w:hAnsi="Calibri" w:cs="Calibri"/>
                <w:color w:val="2B2B2B"/>
                <w:sz w:val="19"/>
                <w:szCs w:val="19"/>
              </w:rPr>
              <w:t>Normalise</w:t>
            </w:r>
            <w:proofErr w:type="gramEnd"/>
          </w:p>
        </w:tc>
        <w:tc>
          <w:tcPr>
            <w:tcW w:w="6300" w:type="dxa"/>
            <w:shd w:val="clear" w:color="auto" w:fill="F5F7F6"/>
            <w:tcMar>
              <w:top w:w="90" w:type="dxa"/>
              <w:left w:w="120" w:type="dxa"/>
              <w:bottom w:w="90" w:type="dxa"/>
              <w:right w:w="120" w:type="dxa"/>
            </w:tcMar>
          </w:tcPr>
          <w:p w14:paraId="20E4B91E" w14:textId="77777777" w:rsidR="008F0DB7" w:rsidRDefault="00000000">
            <w:pPr>
              <w:spacing w:after="40"/>
            </w:pPr>
            <w:r>
              <w:rPr>
                <w:rFonts w:ascii="Calibri" w:eastAsia="Calibri" w:hAnsi="Calibri" w:cs="Calibri"/>
                <w:color w:val="2B2B2B"/>
                <w:sz w:val="19"/>
                <w:szCs w:val="19"/>
              </w:rPr>
              <w:t>Converts every log format into one consistent event schema, tags rows with test-phase context (ramp-up / steady-state / ramp-down), persists to a local analytical store.</w:t>
            </w:r>
          </w:p>
        </w:tc>
        <w:tc>
          <w:tcPr>
            <w:tcW w:w="1640" w:type="dxa"/>
            <w:shd w:val="clear" w:color="auto" w:fill="F5F7F6"/>
            <w:tcMar>
              <w:top w:w="90" w:type="dxa"/>
              <w:left w:w="120" w:type="dxa"/>
              <w:bottom w:w="90" w:type="dxa"/>
              <w:right w:w="120" w:type="dxa"/>
            </w:tcMar>
          </w:tcPr>
          <w:p w14:paraId="019E71DE" w14:textId="77777777" w:rsidR="008F0DB7" w:rsidRDefault="00000000">
            <w:pPr>
              <w:spacing w:after="40"/>
            </w:pPr>
            <w:r>
              <w:rPr>
                <w:rFonts w:ascii="Calibri" w:eastAsia="Calibri" w:hAnsi="Calibri" w:cs="Calibri"/>
                <w:color w:val="2B2B2B"/>
                <w:sz w:val="19"/>
                <w:szCs w:val="19"/>
              </w:rPr>
              <w:t>Unified event timeline</w:t>
            </w:r>
          </w:p>
        </w:tc>
      </w:tr>
      <w:tr w:rsidR="008F0DB7" w14:paraId="542E090D" w14:textId="77777777">
        <w:tc>
          <w:tcPr>
            <w:tcW w:w="1600" w:type="dxa"/>
            <w:shd w:val="clear" w:color="auto" w:fill="FFFFFF"/>
            <w:tcMar>
              <w:top w:w="90" w:type="dxa"/>
              <w:left w:w="120" w:type="dxa"/>
              <w:bottom w:w="90" w:type="dxa"/>
              <w:right w:w="120" w:type="dxa"/>
            </w:tcMar>
          </w:tcPr>
          <w:p w14:paraId="5CA77FF1" w14:textId="77777777" w:rsidR="008F0DB7" w:rsidRDefault="00000000">
            <w:pPr>
              <w:spacing w:after="40"/>
            </w:pPr>
            <w:r>
              <w:rPr>
                <w:rFonts w:ascii="Calibri" w:eastAsia="Calibri" w:hAnsi="Calibri" w:cs="Calibri"/>
                <w:color w:val="2B2B2B"/>
                <w:sz w:val="19"/>
                <w:szCs w:val="19"/>
              </w:rPr>
              <w:t>3. AI Analysis</w:t>
            </w:r>
          </w:p>
        </w:tc>
        <w:tc>
          <w:tcPr>
            <w:tcW w:w="6300" w:type="dxa"/>
            <w:shd w:val="clear" w:color="auto" w:fill="FFFFFF"/>
            <w:tcMar>
              <w:top w:w="90" w:type="dxa"/>
              <w:left w:w="120" w:type="dxa"/>
              <w:bottom w:w="90" w:type="dxa"/>
              <w:right w:w="120" w:type="dxa"/>
            </w:tcMar>
          </w:tcPr>
          <w:p w14:paraId="20E42854" w14:textId="77777777" w:rsidR="008F0DB7" w:rsidRDefault="00000000">
            <w:pPr>
              <w:spacing w:after="40"/>
            </w:pPr>
            <w:r>
              <w:rPr>
                <w:rFonts w:ascii="Calibri" w:eastAsia="Calibri" w:hAnsi="Calibri" w:cs="Calibri"/>
                <w:color w:val="2B2B2B"/>
                <w:sz w:val="19"/>
                <w:szCs w:val="19"/>
              </w:rPr>
              <w:t>Five specialist agents run in parallel: anomaly detection, trend analysis, threshold-breach detection, pattern matching, and causal reasoning.</w:t>
            </w:r>
          </w:p>
        </w:tc>
        <w:tc>
          <w:tcPr>
            <w:tcW w:w="1640" w:type="dxa"/>
            <w:shd w:val="clear" w:color="auto" w:fill="FFFFFF"/>
            <w:tcMar>
              <w:top w:w="90" w:type="dxa"/>
              <w:left w:w="120" w:type="dxa"/>
              <w:bottom w:w="90" w:type="dxa"/>
              <w:right w:w="120" w:type="dxa"/>
            </w:tcMar>
          </w:tcPr>
          <w:p w14:paraId="6BEBE7F1" w14:textId="77777777" w:rsidR="008F0DB7" w:rsidRDefault="00000000">
            <w:pPr>
              <w:spacing w:after="40"/>
            </w:pPr>
            <w:r>
              <w:rPr>
                <w:rFonts w:ascii="Calibri" w:eastAsia="Calibri" w:hAnsi="Calibri" w:cs="Calibri"/>
                <w:color w:val="2B2B2B"/>
                <w:sz w:val="19"/>
                <w:szCs w:val="19"/>
              </w:rPr>
              <w:t>Typed findings per agent</w:t>
            </w:r>
          </w:p>
        </w:tc>
      </w:tr>
      <w:tr w:rsidR="008F0DB7" w14:paraId="0DDEC905" w14:textId="77777777">
        <w:tc>
          <w:tcPr>
            <w:tcW w:w="1600" w:type="dxa"/>
            <w:shd w:val="clear" w:color="auto" w:fill="F5F7F6"/>
            <w:tcMar>
              <w:top w:w="90" w:type="dxa"/>
              <w:left w:w="120" w:type="dxa"/>
              <w:bottom w:w="90" w:type="dxa"/>
              <w:right w:w="120" w:type="dxa"/>
            </w:tcMar>
          </w:tcPr>
          <w:p w14:paraId="051E2559" w14:textId="77777777" w:rsidR="008F0DB7" w:rsidRDefault="00000000">
            <w:pPr>
              <w:spacing w:after="40"/>
            </w:pPr>
            <w:r>
              <w:rPr>
                <w:rFonts w:ascii="Calibri" w:eastAsia="Calibri" w:hAnsi="Calibri" w:cs="Calibri"/>
                <w:color w:val="2B2B2B"/>
                <w:sz w:val="19"/>
                <w:szCs w:val="19"/>
              </w:rPr>
              <w:t>4. Correlate</w:t>
            </w:r>
          </w:p>
        </w:tc>
        <w:tc>
          <w:tcPr>
            <w:tcW w:w="6300" w:type="dxa"/>
            <w:shd w:val="clear" w:color="auto" w:fill="F5F7F6"/>
            <w:tcMar>
              <w:top w:w="90" w:type="dxa"/>
              <w:left w:w="120" w:type="dxa"/>
              <w:bottom w:w="90" w:type="dxa"/>
              <w:right w:w="120" w:type="dxa"/>
            </w:tcMar>
          </w:tcPr>
          <w:p w14:paraId="708B70D7" w14:textId="77777777" w:rsidR="008F0DB7" w:rsidRDefault="00000000">
            <w:pPr>
              <w:spacing w:after="40"/>
            </w:pPr>
            <w:r>
              <w:rPr>
                <w:rFonts w:ascii="Calibri" w:eastAsia="Calibri" w:hAnsi="Calibri" w:cs="Calibri"/>
                <w:color w:val="2B2B2B"/>
                <w:sz w:val="19"/>
                <w:szCs w:val="19"/>
              </w:rPr>
              <w:t>Aligns all agents' findings on the shared timeline and scores likely root-cause candidates.</w:t>
            </w:r>
          </w:p>
        </w:tc>
        <w:tc>
          <w:tcPr>
            <w:tcW w:w="1640" w:type="dxa"/>
            <w:shd w:val="clear" w:color="auto" w:fill="F5F7F6"/>
            <w:tcMar>
              <w:top w:w="90" w:type="dxa"/>
              <w:left w:w="120" w:type="dxa"/>
              <w:bottom w:w="90" w:type="dxa"/>
              <w:right w:w="120" w:type="dxa"/>
            </w:tcMar>
          </w:tcPr>
          <w:p w14:paraId="3074DA13" w14:textId="77777777" w:rsidR="008F0DB7" w:rsidRDefault="00000000">
            <w:pPr>
              <w:spacing w:after="40"/>
            </w:pPr>
            <w:r>
              <w:rPr>
                <w:rFonts w:ascii="Calibri" w:eastAsia="Calibri" w:hAnsi="Calibri" w:cs="Calibri"/>
                <w:color w:val="2B2B2B"/>
                <w:sz w:val="19"/>
                <w:szCs w:val="19"/>
              </w:rPr>
              <w:t>Ranked root-cause candidates</w:t>
            </w:r>
          </w:p>
        </w:tc>
      </w:tr>
      <w:tr w:rsidR="008F0DB7" w14:paraId="539E3949" w14:textId="77777777">
        <w:tc>
          <w:tcPr>
            <w:tcW w:w="1600" w:type="dxa"/>
            <w:shd w:val="clear" w:color="auto" w:fill="FFFFFF"/>
            <w:tcMar>
              <w:top w:w="90" w:type="dxa"/>
              <w:left w:w="120" w:type="dxa"/>
              <w:bottom w:w="90" w:type="dxa"/>
              <w:right w:w="120" w:type="dxa"/>
            </w:tcMar>
          </w:tcPr>
          <w:p w14:paraId="36D28E8C" w14:textId="77777777" w:rsidR="008F0DB7" w:rsidRDefault="00000000">
            <w:pPr>
              <w:spacing w:after="40"/>
            </w:pPr>
            <w:r>
              <w:rPr>
                <w:rFonts w:ascii="Calibri" w:eastAsia="Calibri" w:hAnsi="Calibri" w:cs="Calibri"/>
                <w:color w:val="2B2B2B"/>
                <w:sz w:val="19"/>
                <w:szCs w:val="19"/>
              </w:rPr>
              <w:t>5. Report</w:t>
            </w:r>
          </w:p>
        </w:tc>
        <w:tc>
          <w:tcPr>
            <w:tcW w:w="6300" w:type="dxa"/>
            <w:shd w:val="clear" w:color="auto" w:fill="FFFFFF"/>
            <w:tcMar>
              <w:top w:w="90" w:type="dxa"/>
              <w:left w:w="120" w:type="dxa"/>
              <w:bottom w:w="90" w:type="dxa"/>
              <w:right w:w="120" w:type="dxa"/>
            </w:tcMar>
          </w:tcPr>
          <w:p w14:paraId="46B36082" w14:textId="77777777" w:rsidR="008F0DB7" w:rsidRDefault="00000000">
            <w:pPr>
              <w:spacing w:after="40"/>
            </w:pPr>
            <w:r>
              <w:rPr>
                <w:rFonts w:ascii="Calibri" w:eastAsia="Calibri" w:hAnsi="Calibri" w:cs="Calibri"/>
                <w:color w:val="2B2B2B"/>
                <w:sz w:val="19"/>
                <w:szCs w:val="19"/>
              </w:rPr>
              <w:t>Generates a clear pass/fail verdict with a ranked root-cause narrative.</w:t>
            </w:r>
          </w:p>
        </w:tc>
        <w:tc>
          <w:tcPr>
            <w:tcW w:w="1640" w:type="dxa"/>
            <w:shd w:val="clear" w:color="auto" w:fill="FFFFFF"/>
            <w:tcMar>
              <w:top w:w="90" w:type="dxa"/>
              <w:left w:w="120" w:type="dxa"/>
              <w:bottom w:w="90" w:type="dxa"/>
              <w:right w:w="120" w:type="dxa"/>
            </w:tcMar>
          </w:tcPr>
          <w:p w14:paraId="6A8A3849" w14:textId="77777777" w:rsidR="008F0DB7" w:rsidRDefault="00000000">
            <w:pPr>
              <w:spacing w:after="40"/>
            </w:pPr>
            <w:r>
              <w:rPr>
                <w:rFonts w:ascii="Calibri" w:eastAsia="Calibri" w:hAnsi="Calibri" w:cs="Calibri"/>
                <w:color w:val="2B2B2B"/>
                <w:sz w:val="19"/>
                <w:szCs w:val="19"/>
              </w:rPr>
              <w:t>HTML dashboard + PDF report</w:t>
            </w:r>
          </w:p>
        </w:tc>
      </w:tr>
    </w:tbl>
    <w:p w14:paraId="78088D84" w14:textId="77777777" w:rsidR="008F0DB7" w:rsidRDefault="008F0DB7">
      <w:pPr>
        <w:spacing w:before="200"/>
      </w:pPr>
    </w:p>
    <w:p w14:paraId="7B2A05A6" w14:textId="353FA10E" w:rsidR="008F0DB7" w:rsidRDefault="00000000">
      <w:pPr>
        <w:spacing w:after="160" w:line="276" w:lineRule="auto"/>
      </w:pPr>
      <w:r>
        <w:rPr>
          <w:rFonts w:ascii="Calibri" w:eastAsia="Calibri" w:hAnsi="Calibri" w:cs="Calibri"/>
          <w:color w:val="2B2B2B"/>
          <w:sz w:val="21"/>
          <w:szCs w:val="21"/>
        </w:rPr>
        <w:t xml:space="preserve">Target outcome: </w:t>
      </w:r>
      <w:r w:rsidR="00150E8C">
        <w:rPr>
          <w:rFonts w:ascii="Calibri" w:eastAsia="Calibri" w:hAnsi="Calibri" w:cs="Calibri"/>
          <w:color w:val="2B2B2B"/>
          <w:sz w:val="21"/>
          <w:szCs w:val="21"/>
        </w:rPr>
        <w:t>6</w:t>
      </w:r>
      <w:r>
        <w:rPr>
          <w:rFonts w:ascii="Calibri" w:eastAsia="Calibri" w:hAnsi="Calibri" w:cs="Calibri"/>
          <w:color w:val="2B2B2B"/>
          <w:sz w:val="21"/>
          <w:szCs w:val="21"/>
        </w:rPr>
        <w:t>0% reduction in manual RCA time, validated against a baseline during the Pilot phase (Section 11).</w:t>
      </w:r>
    </w:p>
    <w:p w14:paraId="1627A585"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4. Architecture Design</w:t>
      </w:r>
    </w:p>
    <w:p w14:paraId="0A05AEAB" w14:textId="77777777" w:rsidR="008F0DB7" w:rsidRDefault="00000000">
      <w:pPr>
        <w:pStyle w:val="Heading2"/>
        <w:spacing w:before="320" w:after="140"/>
      </w:pPr>
      <w:r>
        <w:rPr>
          <w:rFonts w:ascii="Calibri" w:eastAsia="Calibri" w:hAnsi="Calibri" w:cs="Calibri"/>
          <w:b/>
          <w:bCs/>
          <w:color w:val="2E7D6B"/>
          <w:sz w:val="24"/>
          <w:szCs w:val="24"/>
        </w:rPr>
        <w:t>4.1 Component architecture</w:t>
      </w:r>
    </w:p>
    <w:p w14:paraId="170A9750" w14:textId="77777777" w:rsidR="008F0DB7" w:rsidRDefault="00000000">
      <w:pPr>
        <w:spacing w:after="160" w:line="276" w:lineRule="auto"/>
      </w:pPr>
      <w:r>
        <w:rPr>
          <w:rFonts w:ascii="Calibri" w:eastAsia="Calibri" w:hAnsi="Calibri" w:cs="Calibri"/>
          <w:color w:val="2B2B2B"/>
          <w:sz w:val="21"/>
          <w:szCs w:val="21"/>
        </w:rPr>
        <w:t>The pipeline is organised into five Python modules that map directly to the pipeline stages above:</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1500"/>
        <w:gridCol w:w="3400"/>
        <w:gridCol w:w="4640"/>
      </w:tblGrid>
      <w:tr w:rsidR="008F0DB7" w14:paraId="41E52822" w14:textId="77777777" w:rsidTr="00ED16E4">
        <w:trPr>
          <w:tblHeader/>
        </w:trPr>
        <w:tc>
          <w:tcPr>
            <w:tcW w:w="1500" w:type="dxa"/>
            <w:shd w:val="clear" w:color="auto" w:fill="7030A0"/>
            <w:tcMar>
              <w:top w:w="100" w:type="dxa"/>
              <w:left w:w="120" w:type="dxa"/>
              <w:bottom w:w="100" w:type="dxa"/>
              <w:right w:w="120" w:type="dxa"/>
            </w:tcMar>
          </w:tcPr>
          <w:p w14:paraId="0C5B8C97" w14:textId="77777777" w:rsidR="008F0DB7" w:rsidRDefault="00000000">
            <w:r>
              <w:rPr>
                <w:rFonts w:ascii="Calibri" w:eastAsia="Calibri" w:hAnsi="Calibri" w:cs="Calibri"/>
                <w:b/>
                <w:bCs/>
                <w:color w:val="FFFFFF"/>
                <w:sz w:val="19"/>
                <w:szCs w:val="19"/>
              </w:rPr>
              <w:t>Module</w:t>
            </w:r>
          </w:p>
        </w:tc>
        <w:tc>
          <w:tcPr>
            <w:tcW w:w="3400" w:type="dxa"/>
            <w:shd w:val="clear" w:color="auto" w:fill="7030A0"/>
            <w:tcMar>
              <w:top w:w="100" w:type="dxa"/>
              <w:left w:w="120" w:type="dxa"/>
              <w:bottom w:w="100" w:type="dxa"/>
              <w:right w:w="120" w:type="dxa"/>
            </w:tcMar>
          </w:tcPr>
          <w:p w14:paraId="2F2D3CFF" w14:textId="77777777" w:rsidR="008F0DB7" w:rsidRDefault="00000000">
            <w:r>
              <w:rPr>
                <w:rFonts w:ascii="Calibri" w:eastAsia="Calibri" w:hAnsi="Calibri" w:cs="Calibri"/>
                <w:b/>
                <w:bCs/>
                <w:color w:val="FFFFFF"/>
                <w:sz w:val="19"/>
                <w:szCs w:val="19"/>
              </w:rPr>
              <w:t>Key files</w:t>
            </w:r>
          </w:p>
        </w:tc>
        <w:tc>
          <w:tcPr>
            <w:tcW w:w="4640" w:type="dxa"/>
            <w:shd w:val="clear" w:color="auto" w:fill="7030A0"/>
            <w:tcMar>
              <w:top w:w="100" w:type="dxa"/>
              <w:left w:w="120" w:type="dxa"/>
              <w:bottom w:w="100" w:type="dxa"/>
              <w:right w:w="120" w:type="dxa"/>
            </w:tcMar>
          </w:tcPr>
          <w:p w14:paraId="7589C8B1" w14:textId="77777777" w:rsidR="008F0DB7" w:rsidRDefault="00000000">
            <w:r>
              <w:rPr>
                <w:rFonts w:ascii="Calibri" w:eastAsia="Calibri" w:hAnsi="Calibri" w:cs="Calibri"/>
                <w:b/>
                <w:bCs/>
                <w:color w:val="FFFFFF"/>
                <w:sz w:val="19"/>
                <w:szCs w:val="19"/>
              </w:rPr>
              <w:t>Responsibility</w:t>
            </w:r>
          </w:p>
        </w:tc>
      </w:tr>
      <w:tr w:rsidR="008F0DB7" w14:paraId="175DAAA7" w14:textId="77777777">
        <w:tc>
          <w:tcPr>
            <w:tcW w:w="1500" w:type="dxa"/>
            <w:shd w:val="clear" w:color="auto" w:fill="FFFFFF"/>
            <w:tcMar>
              <w:top w:w="90" w:type="dxa"/>
              <w:left w:w="120" w:type="dxa"/>
              <w:bottom w:w="90" w:type="dxa"/>
              <w:right w:w="120" w:type="dxa"/>
            </w:tcMar>
          </w:tcPr>
          <w:p w14:paraId="0F418788" w14:textId="77777777" w:rsidR="008F0DB7" w:rsidRDefault="00000000">
            <w:pPr>
              <w:spacing w:after="40"/>
            </w:pPr>
            <w:r>
              <w:rPr>
                <w:rFonts w:ascii="Calibri" w:eastAsia="Calibri" w:hAnsi="Calibri" w:cs="Calibri"/>
                <w:color w:val="2B2B2B"/>
                <w:sz w:val="19"/>
                <w:szCs w:val="19"/>
              </w:rPr>
              <w:t>ingest/</w:t>
            </w:r>
          </w:p>
        </w:tc>
        <w:tc>
          <w:tcPr>
            <w:tcW w:w="3400" w:type="dxa"/>
            <w:shd w:val="clear" w:color="auto" w:fill="FFFFFF"/>
            <w:tcMar>
              <w:top w:w="90" w:type="dxa"/>
              <w:left w:w="120" w:type="dxa"/>
              <w:bottom w:w="90" w:type="dxa"/>
              <w:right w:w="120" w:type="dxa"/>
            </w:tcMar>
          </w:tcPr>
          <w:p w14:paraId="5FF92473" w14:textId="77777777" w:rsidR="008F0DB7" w:rsidRDefault="00000000">
            <w:pPr>
              <w:spacing w:after="40"/>
            </w:pPr>
            <w:r>
              <w:rPr>
                <w:rFonts w:ascii="Calibri" w:eastAsia="Calibri" w:hAnsi="Calibri" w:cs="Calibri"/>
                <w:color w:val="2B2B2B"/>
                <w:sz w:val="19"/>
                <w:szCs w:val="19"/>
              </w:rPr>
              <w:t>blg_parser.py, iis_parser.py, lr_parser.py, file_watcher.py</w:t>
            </w:r>
          </w:p>
        </w:tc>
        <w:tc>
          <w:tcPr>
            <w:tcW w:w="4640" w:type="dxa"/>
            <w:shd w:val="clear" w:color="auto" w:fill="FFFFFF"/>
            <w:tcMar>
              <w:top w:w="90" w:type="dxa"/>
              <w:left w:w="120" w:type="dxa"/>
              <w:bottom w:w="90" w:type="dxa"/>
              <w:right w:w="120" w:type="dxa"/>
            </w:tcMar>
          </w:tcPr>
          <w:p w14:paraId="73F84AE2" w14:textId="77777777" w:rsidR="008F0DB7" w:rsidRDefault="00000000">
            <w:pPr>
              <w:spacing w:after="40"/>
            </w:pPr>
            <w:r>
              <w:rPr>
                <w:rFonts w:ascii="Calibri" w:eastAsia="Calibri" w:hAnsi="Calibri" w:cs="Calibri"/>
                <w:color w:val="2B2B2B"/>
                <w:sz w:val="19"/>
                <w:szCs w:val="19"/>
              </w:rPr>
              <w:t>Source-specific parsers plus a watchdog-based file watcher that can monitor a drop folder continuously.</w:t>
            </w:r>
          </w:p>
        </w:tc>
      </w:tr>
      <w:tr w:rsidR="008F0DB7" w14:paraId="716A8EBC" w14:textId="77777777">
        <w:tc>
          <w:tcPr>
            <w:tcW w:w="1500" w:type="dxa"/>
            <w:shd w:val="clear" w:color="auto" w:fill="F5F7F6"/>
            <w:tcMar>
              <w:top w:w="90" w:type="dxa"/>
              <w:left w:w="120" w:type="dxa"/>
              <w:bottom w:w="90" w:type="dxa"/>
              <w:right w:w="120" w:type="dxa"/>
            </w:tcMar>
          </w:tcPr>
          <w:p w14:paraId="7F688761" w14:textId="77777777" w:rsidR="008F0DB7" w:rsidRDefault="00000000">
            <w:pPr>
              <w:spacing w:after="40"/>
            </w:pPr>
            <w:r>
              <w:rPr>
                <w:rFonts w:ascii="Calibri" w:eastAsia="Calibri" w:hAnsi="Calibri" w:cs="Calibri"/>
                <w:color w:val="2B2B2B"/>
                <w:sz w:val="19"/>
                <w:szCs w:val="19"/>
              </w:rPr>
              <w:t>parse/</w:t>
            </w:r>
          </w:p>
        </w:tc>
        <w:tc>
          <w:tcPr>
            <w:tcW w:w="3400" w:type="dxa"/>
            <w:shd w:val="clear" w:color="auto" w:fill="F5F7F6"/>
            <w:tcMar>
              <w:top w:w="90" w:type="dxa"/>
              <w:left w:w="120" w:type="dxa"/>
              <w:bottom w:w="90" w:type="dxa"/>
              <w:right w:w="120" w:type="dxa"/>
            </w:tcMar>
          </w:tcPr>
          <w:p w14:paraId="681E95B6" w14:textId="77777777" w:rsidR="008F0DB7" w:rsidRDefault="00000000">
            <w:pPr>
              <w:spacing w:after="40"/>
            </w:pPr>
            <w:r>
              <w:rPr>
                <w:rFonts w:ascii="Calibri" w:eastAsia="Calibri" w:hAnsi="Calibri" w:cs="Calibri"/>
                <w:color w:val="2B2B2B"/>
                <w:sz w:val="19"/>
                <w:szCs w:val="19"/>
              </w:rPr>
              <w:t>normaliser.py, context_tagger.py, store.py</w:t>
            </w:r>
          </w:p>
        </w:tc>
        <w:tc>
          <w:tcPr>
            <w:tcW w:w="4640" w:type="dxa"/>
            <w:shd w:val="clear" w:color="auto" w:fill="F5F7F6"/>
            <w:tcMar>
              <w:top w:w="90" w:type="dxa"/>
              <w:left w:w="120" w:type="dxa"/>
              <w:bottom w:w="90" w:type="dxa"/>
              <w:right w:w="120" w:type="dxa"/>
            </w:tcMar>
          </w:tcPr>
          <w:p w14:paraId="78626285" w14:textId="77777777" w:rsidR="008F0DB7" w:rsidRDefault="00000000">
            <w:pPr>
              <w:spacing w:after="40"/>
            </w:pPr>
            <w:r>
              <w:rPr>
                <w:rFonts w:ascii="Calibri" w:eastAsia="Calibri" w:hAnsi="Calibri" w:cs="Calibri"/>
                <w:color w:val="2B2B2B"/>
                <w:sz w:val="19"/>
                <w:szCs w:val="19"/>
              </w:rPr>
              <w:t>Merges parsed sources into one schema, tags test-phase context, persists to an embedded analytical database (</w:t>
            </w:r>
            <w:proofErr w:type="spellStart"/>
            <w:r>
              <w:rPr>
                <w:rFonts w:ascii="Calibri" w:eastAsia="Calibri" w:hAnsi="Calibri" w:cs="Calibri"/>
                <w:color w:val="2B2B2B"/>
                <w:sz w:val="19"/>
                <w:szCs w:val="19"/>
              </w:rPr>
              <w:t>DuckDB</w:t>
            </w:r>
            <w:proofErr w:type="spellEnd"/>
            <w:r>
              <w:rPr>
                <w:rFonts w:ascii="Calibri" w:eastAsia="Calibri" w:hAnsi="Calibri" w:cs="Calibri"/>
                <w:color w:val="2B2B2B"/>
                <w:sz w:val="19"/>
                <w:szCs w:val="19"/>
              </w:rPr>
              <w:t>).</w:t>
            </w:r>
          </w:p>
        </w:tc>
      </w:tr>
      <w:tr w:rsidR="008F0DB7" w14:paraId="74C783CB" w14:textId="77777777">
        <w:tc>
          <w:tcPr>
            <w:tcW w:w="1500" w:type="dxa"/>
            <w:shd w:val="clear" w:color="auto" w:fill="FFFFFF"/>
            <w:tcMar>
              <w:top w:w="90" w:type="dxa"/>
              <w:left w:w="120" w:type="dxa"/>
              <w:bottom w:w="90" w:type="dxa"/>
              <w:right w:w="120" w:type="dxa"/>
            </w:tcMar>
          </w:tcPr>
          <w:p w14:paraId="1FF2BD42" w14:textId="77777777" w:rsidR="008F0DB7" w:rsidRDefault="00000000">
            <w:pPr>
              <w:spacing w:after="40"/>
            </w:pPr>
            <w:r>
              <w:rPr>
                <w:rFonts w:ascii="Calibri" w:eastAsia="Calibri" w:hAnsi="Calibri" w:cs="Calibri"/>
                <w:color w:val="2B2B2B"/>
                <w:sz w:val="19"/>
                <w:szCs w:val="19"/>
              </w:rPr>
              <w:lastRenderedPageBreak/>
              <w:t>agents/</w:t>
            </w:r>
          </w:p>
        </w:tc>
        <w:tc>
          <w:tcPr>
            <w:tcW w:w="3400" w:type="dxa"/>
            <w:shd w:val="clear" w:color="auto" w:fill="FFFFFF"/>
            <w:tcMar>
              <w:top w:w="90" w:type="dxa"/>
              <w:left w:w="120" w:type="dxa"/>
              <w:bottom w:w="90" w:type="dxa"/>
              <w:right w:w="120" w:type="dxa"/>
            </w:tcMar>
          </w:tcPr>
          <w:p w14:paraId="3E53434D" w14:textId="77777777" w:rsidR="008F0DB7" w:rsidRDefault="00000000">
            <w:pPr>
              <w:spacing w:after="40"/>
            </w:pPr>
            <w:r>
              <w:rPr>
                <w:rFonts w:ascii="Calibri" w:eastAsia="Calibri" w:hAnsi="Calibri" w:cs="Calibri"/>
                <w:color w:val="2B2B2B"/>
                <w:sz w:val="19"/>
                <w:szCs w:val="19"/>
              </w:rPr>
              <w:t>anomaly_agent.py, trend_agent.py, threshold_agent.py, pattern_agent.py, causal_agent.py</w:t>
            </w:r>
          </w:p>
        </w:tc>
        <w:tc>
          <w:tcPr>
            <w:tcW w:w="4640" w:type="dxa"/>
            <w:shd w:val="clear" w:color="auto" w:fill="FFFFFF"/>
            <w:tcMar>
              <w:top w:w="90" w:type="dxa"/>
              <w:left w:w="120" w:type="dxa"/>
              <w:bottom w:w="90" w:type="dxa"/>
              <w:right w:w="120" w:type="dxa"/>
            </w:tcMar>
          </w:tcPr>
          <w:p w14:paraId="1B49AEE7" w14:textId="77777777" w:rsidR="008F0DB7" w:rsidRDefault="00000000">
            <w:pPr>
              <w:spacing w:after="40"/>
            </w:pPr>
            <w:r>
              <w:rPr>
                <w:rFonts w:ascii="Calibri" w:eastAsia="Calibri" w:hAnsi="Calibri" w:cs="Calibri"/>
                <w:color w:val="2B2B2B"/>
                <w:sz w:val="19"/>
                <w:szCs w:val="19"/>
              </w:rPr>
              <w:t>Five parallel analysis agents (detailed in 4.2).</w:t>
            </w:r>
          </w:p>
        </w:tc>
      </w:tr>
      <w:tr w:rsidR="008F0DB7" w14:paraId="17AB1972" w14:textId="77777777">
        <w:tc>
          <w:tcPr>
            <w:tcW w:w="1500" w:type="dxa"/>
            <w:shd w:val="clear" w:color="auto" w:fill="F5F7F6"/>
            <w:tcMar>
              <w:top w:w="90" w:type="dxa"/>
              <w:left w:w="120" w:type="dxa"/>
              <w:bottom w:w="90" w:type="dxa"/>
              <w:right w:w="120" w:type="dxa"/>
            </w:tcMar>
          </w:tcPr>
          <w:p w14:paraId="25180593" w14:textId="77777777" w:rsidR="008F0DB7" w:rsidRDefault="00000000">
            <w:pPr>
              <w:spacing w:after="40"/>
            </w:pPr>
            <w:r>
              <w:rPr>
                <w:rFonts w:ascii="Calibri" w:eastAsia="Calibri" w:hAnsi="Calibri" w:cs="Calibri"/>
                <w:color w:val="2B2B2B"/>
                <w:sz w:val="19"/>
                <w:szCs w:val="19"/>
              </w:rPr>
              <w:t>correlation/</w:t>
            </w:r>
          </w:p>
        </w:tc>
        <w:tc>
          <w:tcPr>
            <w:tcW w:w="3400" w:type="dxa"/>
            <w:shd w:val="clear" w:color="auto" w:fill="F5F7F6"/>
            <w:tcMar>
              <w:top w:w="90" w:type="dxa"/>
              <w:left w:w="120" w:type="dxa"/>
              <w:bottom w:w="90" w:type="dxa"/>
              <w:right w:w="120" w:type="dxa"/>
            </w:tcMar>
          </w:tcPr>
          <w:p w14:paraId="259A916D" w14:textId="77777777" w:rsidR="008F0DB7" w:rsidRDefault="00000000">
            <w:pPr>
              <w:spacing w:after="40"/>
            </w:pPr>
            <w:r>
              <w:rPr>
                <w:rFonts w:ascii="Calibri" w:eastAsia="Calibri" w:hAnsi="Calibri" w:cs="Calibri"/>
                <w:color w:val="2B2B2B"/>
                <w:sz w:val="19"/>
                <w:szCs w:val="19"/>
              </w:rPr>
              <w:t>timeline.py, rca_engine.py, scorer.py</w:t>
            </w:r>
          </w:p>
        </w:tc>
        <w:tc>
          <w:tcPr>
            <w:tcW w:w="4640" w:type="dxa"/>
            <w:shd w:val="clear" w:color="auto" w:fill="F5F7F6"/>
            <w:tcMar>
              <w:top w:w="90" w:type="dxa"/>
              <w:left w:w="120" w:type="dxa"/>
              <w:bottom w:w="90" w:type="dxa"/>
              <w:right w:w="120" w:type="dxa"/>
            </w:tcMar>
          </w:tcPr>
          <w:p w14:paraId="35C9BED7" w14:textId="77777777" w:rsidR="008F0DB7" w:rsidRDefault="00000000">
            <w:pPr>
              <w:spacing w:after="40"/>
            </w:pPr>
            <w:r>
              <w:rPr>
                <w:rFonts w:ascii="Calibri" w:eastAsia="Calibri" w:hAnsi="Calibri" w:cs="Calibri"/>
                <w:color w:val="2B2B2B"/>
                <w:sz w:val="19"/>
                <w:szCs w:val="19"/>
              </w:rPr>
              <w:t>Builds the unified timeline and scores root-cause candidates.</w:t>
            </w:r>
          </w:p>
        </w:tc>
      </w:tr>
      <w:tr w:rsidR="008F0DB7" w14:paraId="75760CA5" w14:textId="77777777">
        <w:tc>
          <w:tcPr>
            <w:tcW w:w="1500" w:type="dxa"/>
            <w:shd w:val="clear" w:color="auto" w:fill="FFFFFF"/>
            <w:tcMar>
              <w:top w:w="90" w:type="dxa"/>
              <w:left w:w="120" w:type="dxa"/>
              <w:bottom w:w="90" w:type="dxa"/>
              <w:right w:w="120" w:type="dxa"/>
            </w:tcMar>
          </w:tcPr>
          <w:p w14:paraId="19FBEE01" w14:textId="77777777" w:rsidR="008F0DB7" w:rsidRDefault="00000000">
            <w:pPr>
              <w:spacing w:after="40"/>
            </w:pPr>
            <w:r>
              <w:rPr>
                <w:rFonts w:ascii="Calibri" w:eastAsia="Calibri" w:hAnsi="Calibri" w:cs="Calibri"/>
                <w:color w:val="2B2B2B"/>
                <w:sz w:val="19"/>
                <w:szCs w:val="19"/>
              </w:rPr>
              <w:t>report/</w:t>
            </w:r>
          </w:p>
        </w:tc>
        <w:tc>
          <w:tcPr>
            <w:tcW w:w="3400" w:type="dxa"/>
            <w:shd w:val="clear" w:color="auto" w:fill="FFFFFF"/>
            <w:tcMar>
              <w:top w:w="90" w:type="dxa"/>
              <w:left w:w="120" w:type="dxa"/>
              <w:bottom w:w="90" w:type="dxa"/>
              <w:right w:w="120" w:type="dxa"/>
            </w:tcMar>
          </w:tcPr>
          <w:p w14:paraId="70E649B1" w14:textId="77777777" w:rsidR="008F0DB7" w:rsidRDefault="00000000">
            <w:pPr>
              <w:spacing w:after="40"/>
            </w:pPr>
            <w:r>
              <w:rPr>
                <w:rFonts w:ascii="Calibri" w:eastAsia="Calibri" w:hAnsi="Calibri" w:cs="Calibri"/>
                <w:color w:val="2B2B2B"/>
                <w:sz w:val="19"/>
                <w:szCs w:val="19"/>
              </w:rPr>
              <w:t xml:space="preserve">generator.py, </w:t>
            </w:r>
            <w:proofErr w:type="gramStart"/>
            <w:r>
              <w:rPr>
                <w:rFonts w:ascii="Calibri" w:eastAsia="Calibri" w:hAnsi="Calibri" w:cs="Calibri"/>
                <w:color w:val="2B2B2B"/>
                <w:sz w:val="19"/>
                <w:szCs w:val="19"/>
              </w:rPr>
              <w:t>templates/report.html.j</w:t>
            </w:r>
            <w:proofErr w:type="gramEnd"/>
            <w:r>
              <w:rPr>
                <w:rFonts w:ascii="Calibri" w:eastAsia="Calibri" w:hAnsi="Calibri" w:cs="Calibri"/>
                <w:color w:val="2B2B2B"/>
                <w:sz w:val="19"/>
                <w:szCs w:val="19"/>
              </w:rPr>
              <w:t>2</w:t>
            </w:r>
          </w:p>
        </w:tc>
        <w:tc>
          <w:tcPr>
            <w:tcW w:w="4640" w:type="dxa"/>
            <w:shd w:val="clear" w:color="auto" w:fill="FFFFFF"/>
            <w:tcMar>
              <w:top w:w="90" w:type="dxa"/>
              <w:left w:w="120" w:type="dxa"/>
              <w:bottom w:w="90" w:type="dxa"/>
              <w:right w:w="120" w:type="dxa"/>
            </w:tcMar>
          </w:tcPr>
          <w:p w14:paraId="4DA60762" w14:textId="77777777" w:rsidR="008F0DB7" w:rsidRDefault="00000000">
            <w:pPr>
              <w:spacing w:after="40"/>
            </w:pPr>
            <w:r>
              <w:rPr>
                <w:rFonts w:ascii="Calibri" w:eastAsia="Calibri" w:hAnsi="Calibri" w:cs="Calibri"/>
                <w:color w:val="2B2B2B"/>
                <w:sz w:val="19"/>
                <w:szCs w:val="19"/>
              </w:rPr>
              <w:t xml:space="preserve">Renders the HTML dashboard and PDF report (Jinja2 + </w:t>
            </w:r>
            <w:proofErr w:type="spellStart"/>
            <w:r>
              <w:rPr>
                <w:rFonts w:ascii="Calibri" w:eastAsia="Calibri" w:hAnsi="Calibri" w:cs="Calibri"/>
                <w:color w:val="2B2B2B"/>
                <w:sz w:val="19"/>
                <w:szCs w:val="19"/>
              </w:rPr>
              <w:t>WeasyPrint</w:t>
            </w:r>
            <w:proofErr w:type="spellEnd"/>
            <w:r>
              <w:rPr>
                <w:rFonts w:ascii="Calibri" w:eastAsia="Calibri" w:hAnsi="Calibri" w:cs="Calibri"/>
                <w:color w:val="2B2B2B"/>
                <w:sz w:val="19"/>
                <w:szCs w:val="19"/>
              </w:rPr>
              <w:t>).</w:t>
            </w:r>
          </w:p>
        </w:tc>
      </w:tr>
    </w:tbl>
    <w:p w14:paraId="4CD0122C" w14:textId="77777777" w:rsidR="008F0DB7" w:rsidRDefault="008F0DB7">
      <w:pPr>
        <w:spacing w:before="200"/>
      </w:pPr>
    </w:p>
    <w:p w14:paraId="655601F7" w14:textId="77777777" w:rsidR="008F0DB7" w:rsidRDefault="00000000">
      <w:pPr>
        <w:pStyle w:val="Heading2"/>
        <w:spacing w:before="320" w:after="140"/>
      </w:pPr>
      <w:r>
        <w:rPr>
          <w:rFonts w:ascii="Calibri" w:eastAsia="Calibri" w:hAnsi="Calibri" w:cs="Calibri"/>
          <w:b/>
          <w:bCs/>
          <w:color w:val="2E7D6B"/>
          <w:sz w:val="24"/>
          <w:szCs w:val="24"/>
        </w:rPr>
        <w:t>4.2 The five analysis agents</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1400"/>
        <w:gridCol w:w="3600"/>
        <w:gridCol w:w="4540"/>
      </w:tblGrid>
      <w:tr w:rsidR="008F0DB7" w14:paraId="3F3DC738" w14:textId="77777777" w:rsidTr="00ED16E4">
        <w:trPr>
          <w:tblHeader/>
        </w:trPr>
        <w:tc>
          <w:tcPr>
            <w:tcW w:w="1400" w:type="dxa"/>
            <w:shd w:val="clear" w:color="auto" w:fill="7030A0"/>
            <w:tcMar>
              <w:top w:w="100" w:type="dxa"/>
              <w:left w:w="120" w:type="dxa"/>
              <w:bottom w:w="100" w:type="dxa"/>
              <w:right w:w="120" w:type="dxa"/>
            </w:tcMar>
          </w:tcPr>
          <w:p w14:paraId="2F9654B9" w14:textId="77777777" w:rsidR="008F0DB7" w:rsidRDefault="00000000">
            <w:r>
              <w:rPr>
                <w:rFonts w:ascii="Calibri" w:eastAsia="Calibri" w:hAnsi="Calibri" w:cs="Calibri"/>
                <w:b/>
                <w:bCs/>
                <w:color w:val="FFFFFF"/>
                <w:sz w:val="19"/>
                <w:szCs w:val="19"/>
              </w:rPr>
              <w:t>Agent</w:t>
            </w:r>
          </w:p>
        </w:tc>
        <w:tc>
          <w:tcPr>
            <w:tcW w:w="3600" w:type="dxa"/>
            <w:shd w:val="clear" w:color="auto" w:fill="7030A0"/>
            <w:tcMar>
              <w:top w:w="100" w:type="dxa"/>
              <w:left w:w="120" w:type="dxa"/>
              <w:bottom w:w="100" w:type="dxa"/>
              <w:right w:w="120" w:type="dxa"/>
            </w:tcMar>
          </w:tcPr>
          <w:p w14:paraId="353CF794" w14:textId="77777777" w:rsidR="008F0DB7" w:rsidRDefault="00000000">
            <w:r>
              <w:rPr>
                <w:rFonts w:ascii="Calibri" w:eastAsia="Calibri" w:hAnsi="Calibri" w:cs="Calibri"/>
                <w:b/>
                <w:bCs/>
                <w:color w:val="FFFFFF"/>
                <w:sz w:val="19"/>
                <w:szCs w:val="19"/>
              </w:rPr>
              <w:t>Method</w:t>
            </w:r>
          </w:p>
        </w:tc>
        <w:tc>
          <w:tcPr>
            <w:tcW w:w="4540" w:type="dxa"/>
            <w:shd w:val="clear" w:color="auto" w:fill="7030A0"/>
            <w:tcMar>
              <w:top w:w="100" w:type="dxa"/>
              <w:left w:w="120" w:type="dxa"/>
              <w:bottom w:w="100" w:type="dxa"/>
              <w:right w:w="120" w:type="dxa"/>
            </w:tcMar>
          </w:tcPr>
          <w:p w14:paraId="7EF2AF58" w14:textId="77777777" w:rsidR="008F0DB7" w:rsidRDefault="00000000">
            <w:r>
              <w:rPr>
                <w:rFonts w:ascii="Calibri" w:eastAsia="Calibri" w:hAnsi="Calibri" w:cs="Calibri"/>
                <w:b/>
                <w:bCs/>
                <w:color w:val="FFFFFF"/>
                <w:sz w:val="19"/>
                <w:szCs w:val="19"/>
              </w:rPr>
              <w:t>Detects</w:t>
            </w:r>
          </w:p>
        </w:tc>
      </w:tr>
      <w:tr w:rsidR="008F0DB7" w14:paraId="200117C0" w14:textId="77777777">
        <w:tc>
          <w:tcPr>
            <w:tcW w:w="1400" w:type="dxa"/>
            <w:shd w:val="clear" w:color="auto" w:fill="FFFFFF"/>
            <w:tcMar>
              <w:top w:w="90" w:type="dxa"/>
              <w:left w:w="120" w:type="dxa"/>
              <w:bottom w:w="90" w:type="dxa"/>
              <w:right w:w="120" w:type="dxa"/>
            </w:tcMar>
          </w:tcPr>
          <w:p w14:paraId="401079BF" w14:textId="77777777" w:rsidR="008F0DB7" w:rsidRDefault="00000000">
            <w:pPr>
              <w:spacing w:after="40"/>
            </w:pPr>
            <w:r>
              <w:rPr>
                <w:rFonts w:ascii="Calibri" w:eastAsia="Calibri" w:hAnsi="Calibri" w:cs="Calibri"/>
                <w:color w:val="2B2B2B"/>
                <w:sz w:val="19"/>
                <w:szCs w:val="19"/>
              </w:rPr>
              <w:t>Anomaly</w:t>
            </w:r>
          </w:p>
        </w:tc>
        <w:tc>
          <w:tcPr>
            <w:tcW w:w="3600" w:type="dxa"/>
            <w:shd w:val="clear" w:color="auto" w:fill="FFFFFF"/>
            <w:tcMar>
              <w:top w:w="90" w:type="dxa"/>
              <w:left w:w="120" w:type="dxa"/>
              <w:bottom w:w="90" w:type="dxa"/>
              <w:right w:w="120" w:type="dxa"/>
            </w:tcMar>
          </w:tcPr>
          <w:p w14:paraId="531B7C63" w14:textId="77777777" w:rsidR="008F0DB7" w:rsidRDefault="00000000">
            <w:pPr>
              <w:spacing w:after="40"/>
            </w:pPr>
            <w:r>
              <w:rPr>
                <w:rFonts w:ascii="Calibri" w:eastAsia="Calibri" w:hAnsi="Calibri" w:cs="Calibri"/>
                <w:color w:val="2B2B2B"/>
                <w:sz w:val="19"/>
                <w:szCs w:val="19"/>
              </w:rPr>
              <w:t>Z-score + IQR + Isolation Forest</w:t>
            </w:r>
          </w:p>
        </w:tc>
        <w:tc>
          <w:tcPr>
            <w:tcW w:w="4540" w:type="dxa"/>
            <w:shd w:val="clear" w:color="auto" w:fill="FFFFFF"/>
            <w:tcMar>
              <w:top w:w="90" w:type="dxa"/>
              <w:left w:w="120" w:type="dxa"/>
              <w:bottom w:w="90" w:type="dxa"/>
              <w:right w:w="120" w:type="dxa"/>
            </w:tcMar>
          </w:tcPr>
          <w:p w14:paraId="607FC04C" w14:textId="77777777" w:rsidR="008F0DB7" w:rsidRDefault="00000000">
            <w:pPr>
              <w:spacing w:after="40"/>
            </w:pPr>
            <w:r>
              <w:rPr>
                <w:rFonts w:ascii="Calibri" w:eastAsia="Calibri" w:hAnsi="Calibri" w:cs="Calibri"/>
                <w:color w:val="2B2B2B"/>
                <w:sz w:val="19"/>
                <w:szCs w:val="19"/>
              </w:rPr>
              <w:t>Statistical outliers in metric time series</w:t>
            </w:r>
          </w:p>
        </w:tc>
      </w:tr>
      <w:tr w:rsidR="008F0DB7" w14:paraId="6D83C919" w14:textId="77777777">
        <w:tc>
          <w:tcPr>
            <w:tcW w:w="1400" w:type="dxa"/>
            <w:shd w:val="clear" w:color="auto" w:fill="F5F7F6"/>
            <w:tcMar>
              <w:top w:w="90" w:type="dxa"/>
              <w:left w:w="120" w:type="dxa"/>
              <w:bottom w:w="90" w:type="dxa"/>
              <w:right w:w="120" w:type="dxa"/>
            </w:tcMar>
          </w:tcPr>
          <w:p w14:paraId="64F8E90E" w14:textId="77777777" w:rsidR="008F0DB7" w:rsidRDefault="00000000">
            <w:pPr>
              <w:spacing w:after="40"/>
            </w:pPr>
            <w:r>
              <w:rPr>
                <w:rFonts w:ascii="Calibri" w:eastAsia="Calibri" w:hAnsi="Calibri" w:cs="Calibri"/>
                <w:color w:val="2B2B2B"/>
                <w:sz w:val="19"/>
                <w:szCs w:val="19"/>
              </w:rPr>
              <w:t>Trend</w:t>
            </w:r>
          </w:p>
        </w:tc>
        <w:tc>
          <w:tcPr>
            <w:tcW w:w="3600" w:type="dxa"/>
            <w:shd w:val="clear" w:color="auto" w:fill="F5F7F6"/>
            <w:tcMar>
              <w:top w:w="90" w:type="dxa"/>
              <w:left w:w="120" w:type="dxa"/>
              <w:bottom w:w="90" w:type="dxa"/>
              <w:right w:w="120" w:type="dxa"/>
            </w:tcMar>
          </w:tcPr>
          <w:p w14:paraId="3C11A2CA" w14:textId="77777777" w:rsidR="008F0DB7" w:rsidRDefault="00000000">
            <w:pPr>
              <w:spacing w:after="40"/>
            </w:pPr>
            <w:r>
              <w:rPr>
                <w:rFonts w:ascii="Calibri" w:eastAsia="Calibri" w:hAnsi="Calibri" w:cs="Calibri"/>
                <w:color w:val="2B2B2B"/>
                <w:sz w:val="19"/>
                <w:szCs w:val="19"/>
              </w:rPr>
              <w:t>Linear regression + Mann-Kendall test</w:t>
            </w:r>
          </w:p>
        </w:tc>
        <w:tc>
          <w:tcPr>
            <w:tcW w:w="4540" w:type="dxa"/>
            <w:shd w:val="clear" w:color="auto" w:fill="F5F7F6"/>
            <w:tcMar>
              <w:top w:w="90" w:type="dxa"/>
              <w:left w:w="120" w:type="dxa"/>
              <w:bottom w:w="90" w:type="dxa"/>
              <w:right w:w="120" w:type="dxa"/>
            </w:tcMar>
          </w:tcPr>
          <w:p w14:paraId="0B9EFE05" w14:textId="77777777" w:rsidR="008F0DB7" w:rsidRDefault="00000000">
            <w:pPr>
              <w:spacing w:after="40"/>
            </w:pPr>
            <w:r>
              <w:rPr>
                <w:rFonts w:ascii="Calibri" w:eastAsia="Calibri" w:hAnsi="Calibri" w:cs="Calibri"/>
                <w:color w:val="2B2B2B"/>
                <w:sz w:val="19"/>
                <w:szCs w:val="19"/>
              </w:rPr>
              <w:t>Gradual degradation — memory leaks, connection-pool exhaustion, GC pressure creep</w:t>
            </w:r>
          </w:p>
        </w:tc>
      </w:tr>
      <w:tr w:rsidR="008F0DB7" w14:paraId="44268E8C" w14:textId="77777777">
        <w:tc>
          <w:tcPr>
            <w:tcW w:w="1400" w:type="dxa"/>
            <w:shd w:val="clear" w:color="auto" w:fill="FFFFFF"/>
            <w:tcMar>
              <w:top w:w="90" w:type="dxa"/>
              <w:left w:w="120" w:type="dxa"/>
              <w:bottom w:w="90" w:type="dxa"/>
              <w:right w:w="120" w:type="dxa"/>
            </w:tcMar>
          </w:tcPr>
          <w:p w14:paraId="73C6C8A1" w14:textId="77777777" w:rsidR="008F0DB7" w:rsidRDefault="00000000">
            <w:pPr>
              <w:spacing w:after="40"/>
            </w:pPr>
            <w:r>
              <w:rPr>
                <w:rFonts w:ascii="Calibri" w:eastAsia="Calibri" w:hAnsi="Calibri" w:cs="Calibri"/>
                <w:color w:val="2B2B2B"/>
                <w:sz w:val="19"/>
                <w:szCs w:val="19"/>
              </w:rPr>
              <w:t>Threshold</w:t>
            </w:r>
          </w:p>
        </w:tc>
        <w:tc>
          <w:tcPr>
            <w:tcW w:w="3600" w:type="dxa"/>
            <w:shd w:val="clear" w:color="auto" w:fill="FFFFFF"/>
            <w:tcMar>
              <w:top w:w="90" w:type="dxa"/>
              <w:left w:w="120" w:type="dxa"/>
              <w:bottom w:w="90" w:type="dxa"/>
              <w:right w:w="120" w:type="dxa"/>
            </w:tcMar>
          </w:tcPr>
          <w:p w14:paraId="2C0BAEC4" w14:textId="77777777" w:rsidR="008F0DB7" w:rsidRDefault="00000000">
            <w:pPr>
              <w:spacing w:after="40"/>
            </w:pPr>
            <w:r>
              <w:rPr>
                <w:rFonts w:ascii="Calibri" w:eastAsia="Calibri" w:hAnsi="Calibri" w:cs="Calibri"/>
                <w:color w:val="2B2B2B"/>
                <w:sz w:val="19"/>
                <w:szCs w:val="19"/>
              </w:rPr>
              <w:t xml:space="preserve">Rule-based, driven from </w:t>
            </w:r>
            <w:proofErr w:type="gramStart"/>
            <w:r>
              <w:rPr>
                <w:rFonts w:ascii="Calibri" w:eastAsia="Calibri" w:hAnsi="Calibri" w:cs="Calibri"/>
                <w:color w:val="2B2B2B"/>
                <w:sz w:val="19"/>
                <w:szCs w:val="19"/>
              </w:rPr>
              <w:t>config.yaml</w:t>
            </w:r>
            <w:proofErr w:type="gramEnd"/>
          </w:p>
        </w:tc>
        <w:tc>
          <w:tcPr>
            <w:tcW w:w="4540" w:type="dxa"/>
            <w:shd w:val="clear" w:color="auto" w:fill="FFFFFF"/>
            <w:tcMar>
              <w:top w:w="90" w:type="dxa"/>
              <w:left w:w="120" w:type="dxa"/>
              <w:bottom w:w="90" w:type="dxa"/>
              <w:right w:w="120" w:type="dxa"/>
            </w:tcMar>
          </w:tcPr>
          <w:p w14:paraId="573C6CCB" w14:textId="77777777" w:rsidR="008F0DB7" w:rsidRDefault="00000000">
            <w:pPr>
              <w:spacing w:after="40"/>
            </w:pPr>
            <w:r>
              <w:rPr>
                <w:rFonts w:ascii="Calibri" w:eastAsia="Calibri" w:hAnsi="Calibri" w:cs="Calibri"/>
                <w:color w:val="2B2B2B"/>
                <w:sz w:val="19"/>
                <w:szCs w:val="19"/>
              </w:rPr>
              <w:t>SLA breaches against defined thresholds</w:t>
            </w:r>
          </w:p>
        </w:tc>
      </w:tr>
      <w:tr w:rsidR="008F0DB7" w14:paraId="4A58FEFF" w14:textId="77777777">
        <w:tc>
          <w:tcPr>
            <w:tcW w:w="1400" w:type="dxa"/>
            <w:shd w:val="clear" w:color="auto" w:fill="F5F7F6"/>
            <w:tcMar>
              <w:top w:w="90" w:type="dxa"/>
              <w:left w:w="120" w:type="dxa"/>
              <w:bottom w:w="90" w:type="dxa"/>
              <w:right w:w="120" w:type="dxa"/>
            </w:tcMar>
          </w:tcPr>
          <w:p w14:paraId="163772CB" w14:textId="77777777" w:rsidR="008F0DB7" w:rsidRDefault="00000000">
            <w:pPr>
              <w:spacing w:after="40"/>
            </w:pPr>
            <w:r>
              <w:rPr>
                <w:rFonts w:ascii="Calibri" w:eastAsia="Calibri" w:hAnsi="Calibri" w:cs="Calibri"/>
                <w:color w:val="2B2B2B"/>
                <w:sz w:val="19"/>
                <w:szCs w:val="19"/>
              </w:rPr>
              <w:t>Pattern</w:t>
            </w:r>
          </w:p>
        </w:tc>
        <w:tc>
          <w:tcPr>
            <w:tcW w:w="3600" w:type="dxa"/>
            <w:shd w:val="clear" w:color="auto" w:fill="F5F7F6"/>
            <w:tcMar>
              <w:top w:w="90" w:type="dxa"/>
              <w:left w:w="120" w:type="dxa"/>
              <w:bottom w:w="90" w:type="dxa"/>
              <w:right w:w="120" w:type="dxa"/>
            </w:tcMar>
          </w:tcPr>
          <w:p w14:paraId="683B98BB" w14:textId="77777777" w:rsidR="008F0DB7" w:rsidRDefault="00000000">
            <w:pPr>
              <w:spacing w:after="40"/>
            </w:pPr>
            <w:r>
              <w:rPr>
                <w:rFonts w:ascii="Calibri" w:eastAsia="Calibri" w:hAnsi="Calibri" w:cs="Calibri"/>
                <w:color w:val="2B2B2B"/>
                <w:sz w:val="19"/>
                <w:szCs w:val="19"/>
              </w:rPr>
              <w:t xml:space="preserve">Two-pass: regex first (OOM, stack traces, timeout clusters, 5xx bursts, GC pauses), then LLM pass on </w:t>
            </w:r>
            <w:proofErr w:type="gramStart"/>
            <w:r>
              <w:rPr>
                <w:rFonts w:ascii="Calibri" w:eastAsia="Calibri" w:hAnsi="Calibri" w:cs="Calibri"/>
                <w:color w:val="2B2B2B"/>
                <w:sz w:val="19"/>
                <w:szCs w:val="19"/>
              </w:rPr>
              <w:t>top-N</w:t>
            </w:r>
            <w:proofErr w:type="gramEnd"/>
            <w:r>
              <w:rPr>
                <w:rFonts w:ascii="Calibri" w:eastAsia="Calibri" w:hAnsi="Calibri" w:cs="Calibri"/>
                <w:color w:val="2B2B2B"/>
                <w:sz w:val="19"/>
                <w:szCs w:val="19"/>
              </w:rPr>
              <w:t xml:space="preserve"> suspicious lines</w:t>
            </w:r>
          </w:p>
        </w:tc>
        <w:tc>
          <w:tcPr>
            <w:tcW w:w="4540" w:type="dxa"/>
            <w:shd w:val="clear" w:color="auto" w:fill="F5F7F6"/>
            <w:tcMar>
              <w:top w:w="90" w:type="dxa"/>
              <w:left w:w="120" w:type="dxa"/>
              <w:bottom w:w="90" w:type="dxa"/>
              <w:right w:w="120" w:type="dxa"/>
            </w:tcMar>
          </w:tcPr>
          <w:p w14:paraId="515F269C" w14:textId="77777777" w:rsidR="008F0DB7" w:rsidRDefault="00000000">
            <w:pPr>
              <w:spacing w:after="40"/>
            </w:pPr>
            <w:r>
              <w:rPr>
                <w:rFonts w:ascii="Calibri" w:eastAsia="Calibri" w:hAnsi="Calibri" w:cs="Calibri"/>
                <w:color w:val="2B2B2B"/>
                <w:sz w:val="19"/>
                <w:szCs w:val="19"/>
              </w:rPr>
              <w:t>Known and novel failure signatures in log text</w:t>
            </w:r>
          </w:p>
        </w:tc>
      </w:tr>
      <w:tr w:rsidR="008F0DB7" w14:paraId="75861EC8" w14:textId="77777777">
        <w:tc>
          <w:tcPr>
            <w:tcW w:w="1400" w:type="dxa"/>
            <w:shd w:val="clear" w:color="auto" w:fill="FFFFFF"/>
            <w:tcMar>
              <w:top w:w="90" w:type="dxa"/>
              <w:left w:w="120" w:type="dxa"/>
              <w:bottom w:w="90" w:type="dxa"/>
              <w:right w:w="120" w:type="dxa"/>
            </w:tcMar>
          </w:tcPr>
          <w:p w14:paraId="533B4BAF" w14:textId="77777777" w:rsidR="008F0DB7" w:rsidRDefault="00000000">
            <w:pPr>
              <w:spacing w:after="40"/>
            </w:pPr>
            <w:r>
              <w:rPr>
                <w:rFonts w:ascii="Calibri" w:eastAsia="Calibri" w:hAnsi="Calibri" w:cs="Calibri"/>
                <w:color w:val="2B2B2B"/>
                <w:sz w:val="19"/>
                <w:szCs w:val="19"/>
              </w:rPr>
              <w:t>Causal</w:t>
            </w:r>
          </w:p>
        </w:tc>
        <w:tc>
          <w:tcPr>
            <w:tcW w:w="3600" w:type="dxa"/>
            <w:shd w:val="clear" w:color="auto" w:fill="FFFFFF"/>
            <w:tcMar>
              <w:top w:w="90" w:type="dxa"/>
              <w:left w:w="120" w:type="dxa"/>
              <w:bottom w:w="90" w:type="dxa"/>
              <w:right w:w="120" w:type="dxa"/>
            </w:tcMar>
          </w:tcPr>
          <w:p w14:paraId="24D36A9E" w14:textId="77777777" w:rsidR="008F0DB7" w:rsidRDefault="00000000">
            <w:pPr>
              <w:spacing w:after="40"/>
            </w:pPr>
            <w:r>
              <w:rPr>
                <w:rFonts w:ascii="Calibri" w:eastAsia="Calibri" w:hAnsi="Calibri" w:cs="Calibri"/>
                <w:color w:val="2B2B2B"/>
                <w:sz w:val="19"/>
                <w:szCs w:val="19"/>
              </w:rPr>
              <w:t>LLM synthesis of all other agents' findings</w:t>
            </w:r>
          </w:p>
        </w:tc>
        <w:tc>
          <w:tcPr>
            <w:tcW w:w="4540" w:type="dxa"/>
            <w:shd w:val="clear" w:color="auto" w:fill="FFFFFF"/>
            <w:tcMar>
              <w:top w:w="90" w:type="dxa"/>
              <w:left w:w="120" w:type="dxa"/>
              <w:bottom w:w="90" w:type="dxa"/>
              <w:right w:w="120" w:type="dxa"/>
            </w:tcMar>
          </w:tcPr>
          <w:p w14:paraId="5DADF468" w14:textId="77777777" w:rsidR="008F0DB7" w:rsidRDefault="00000000">
            <w:pPr>
              <w:spacing w:after="40"/>
            </w:pPr>
            <w:r>
              <w:rPr>
                <w:rFonts w:ascii="Calibri" w:eastAsia="Calibri" w:hAnsi="Calibri" w:cs="Calibri"/>
                <w:color w:val="2B2B2B"/>
                <w:sz w:val="19"/>
                <w:szCs w:val="19"/>
              </w:rPr>
              <w:t>Ranked cause → effect chain with evidence citations</w:t>
            </w:r>
          </w:p>
        </w:tc>
      </w:tr>
    </w:tbl>
    <w:p w14:paraId="3557D92A" w14:textId="77777777" w:rsidR="008F0DB7" w:rsidRDefault="008F0DB7">
      <w:pPr>
        <w:spacing w:before="200"/>
      </w:pPr>
    </w:p>
    <w:p w14:paraId="0632F980" w14:textId="77777777" w:rsidR="008F0DB7" w:rsidRDefault="00000000">
      <w:pPr>
        <w:spacing w:after="160" w:line="276" w:lineRule="auto"/>
      </w:pPr>
      <w:r>
        <w:rPr>
          <w:rFonts w:ascii="Calibri" w:eastAsia="Calibri" w:hAnsi="Calibri" w:cs="Calibri"/>
          <w:color w:val="2B2B2B"/>
          <w:sz w:val="21"/>
          <w:szCs w:val="21"/>
        </w:rPr>
        <w:t xml:space="preserve">Only the Pattern agent's second pass and the Causal agent call out to a large language model; the other three agents are fully local statistical/rule-based methods and require no external calls. This distinction matters directly for the </w:t>
      </w:r>
      <w:proofErr w:type="gramStart"/>
      <w:r>
        <w:rPr>
          <w:rFonts w:ascii="Calibri" w:eastAsia="Calibri" w:hAnsi="Calibri" w:cs="Calibri"/>
          <w:color w:val="2B2B2B"/>
          <w:sz w:val="21"/>
          <w:szCs w:val="21"/>
        </w:rPr>
        <w:t>data-flow</w:t>
      </w:r>
      <w:proofErr w:type="gramEnd"/>
      <w:r>
        <w:rPr>
          <w:rFonts w:ascii="Calibri" w:eastAsia="Calibri" w:hAnsi="Calibri" w:cs="Calibri"/>
          <w:color w:val="2B2B2B"/>
          <w:sz w:val="21"/>
          <w:szCs w:val="21"/>
        </w:rPr>
        <w:t xml:space="preserve"> and security discussion in Sections 6–9.</w:t>
      </w:r>
    </w:p>
    <w:p w14:paraId="6C9A63C9" w14:textId="77777777" w:rsidR="008F0DB7" w:rsidRDefault="00000000">
      <w:pPr>
        <w:pStyle w:val="Heading2"/>
        <w:spacing w:before="320" w:after="140"/>
      </w:pPr>
      <w:r>
        <w:rPr>
          <w:rFonts w:ascii="Calibri" w:eastAsia="Calibri" w:hAnsi="Calibri" w:cs="Calibri"/>
          <w:b/>
          <w:bCs/>
          <w:color w:val="2E7D6B"/>
          <w:sz w:val="24"/>
          <w:szCs w:val="24"/>
        </w:rPr>
        <w:t>4.3 Entry points</w:t>
      </w:r>
    </w:p>
    <w:p w14:paraId="79F31060"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main.py — CLI (Typer): run for specific files, watch for a continuously monitored drop folder.</w:t>
      </w:r>
    </w:p>
    <w:p w14:paraId="7CC8248A" w14:textId="77777777" w:rsidR="008F0DB7" w:rsidRPr="00ED16E4" w:rsidRDefault="00000000">
      <w:pPr>
        <w:pStyle w:val="ListParagraph"/>
        <w:numPr>
          <w:ilvl w:val="0"/>
          <w:numId w:val="2"/>
        </w:numPr>
        <w:spacing w:after="80" w:line="264" w:lineRule="auto"/>
      </w:pPr>
      <w:r>
        <w:rPr>
          <w:rFonts w:ascii="Calibri" w:eastAsia="Calibri" w:hAnsi="Calibri" w:cs="Calibri"/>
          <w:color w:val="2B2B2B"/>
          <w:sz w:val="21"/>
          <w:szCs w:val="21"/>
        </w:rPr>
        <w:t xml:space="preserve">app.py — </w:t>
      </w:r>
      <w:proofErr w:type="spellStart"/>
      <w:r>
        <w:rPr>
          <w:rFonts w:ascii="Calibri" w:eastAsia="Calibri" w:hAnsi="Calibri" w:cs="Calibri"/>
          <w:color w:val="2B2B2B"/>
          <w:sz w:val="21"/>
          <w:szCs w:val="21"/>
        </w:rPr>
        <w:t>Streamlit</w:t>
      </w:r>
      <w:proofErr w:type="spellEnd"/>
      <w:r>
        <w:rPr>
          <w:rFonts w:ascii="Calibri" w:eastAsia="Calibri" w:hAnsi="Calibri" w:cs="Calibri"/>
          <w:color w:val="2B2B2B"/>
          <w:sz w:val="21"/>
          <w:szCs w:val="21"/>
        </w:rPr>
        <w:t xml:space="preserve"> UI: file upload, tabbed results (threshold / anomaly / trend / pattern / timeline), sidebar controls.</w:t>
      </w:r>
    </w:p>
    <w:p w14:paraId="4B8131E6" w14:textId="77777777" w:rsidR="00ED16E4" w:rsidRDefault="00ED16E4" w:rsidP="00ED16E4">
      <w:pPr>
        <w:spacing w:after="80" w:line="264" w:lineRule="auto"/>
      </w:pPr>
    </w:p>
    <w:p w14:paraId="28787DED" w14:textId="77777777" w:rsidR="00ED16E4" w:rsidRDefault="00ED16E4" w:rsidP="00ED16E4">
      <w:pPr>
        <w:spacing w:after="80" w:line="264" w:lineRule="auto"/>
      </w:pPr>
    </w:p>
    <w:p w14:paraId="16B6E7CD" w14:textId="77777777" w:rsidR="00ED16E4" w:rsidRDefault="00ED16E4" w:rsidP="00ED16E4">
      <w:pPr>
        <w:spacing w:after="80" w:line="264" w:lineRule="auto"/>
      </w:pPr>
    </w:p>
    <w:p w14:paraId="237B1464" w14:textId="77777777" w:rsidR="00ED16E4" w:rsidRDefault="00ED16E4" w:rsidP="00ED16E4">
      <w:pPr>
        <w:spacing w:after="80" w:line="264" w:lineRule="auto"/>
      </w:pPr>
    </w:p>
    <w:p w14:paraId="37BA5612" w14:textId="77777777" w:rsidR="00ED16E4" w:rsidRDefault="00ED16E4" w:rsidP="00ED16E4">
      <w:pPr>
        <w:spacing w:after="80" w:line="264" w:lineRule="auto"/>
      </w:pPr>
    </w:p>
    <w:p w14:paraId="252EB11B"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lastRenderedPageBreak/>
        <w:t>5. Technology Stack</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2600"/>
        <w:gridCol w:w="6940"/>
      </w:tblGrid>
      <w:tr w:rsidR="008F0DB7" w14:paraId="44829289" w14:textId="77777777" w:rsidTr="00ED16E4">
        <w:trPr>
          <w:tblHeader/>
        </w:trPr>
        <w:tc>
          <w:tcPr>
            <w:tcW w:w="2600" w:type="dxa"/>
            <w:shd w:val="clear" w:color="auto" w:fill="7030A0"/>
            <w:tcMar>
              <w:top w:w="100" w:type="dxa"/>
              <w:left w:w="120" w:type="dxa"/>
              <w:bottom w:w="100" w:type="dxa"/>
              <w:right w:w="120" w:type="dxa"/>
            </w:tcMar>
          </w:tcPr>
          <w:p w14:paraId="0B4D0CBD" w14:textId="77777777" w:rsidR="008F0DB7" w:rsidRDefault="00000000">
            <w:r>
              <w:rPr>
                <w:rFonts w:ascii="Calibri" w:eastAsia="Calibri" w:hAnsi="Calibri" w:cs="Calibri"/>
                <w:b/>
                <w:bCs/>
                <w:color w:val="FFFFFF"/>
                <w:sz w:val="19"/>
                <w:szCs w:val="19"/>
              </w:rPr>
              <w:t>Layer</w:t>
            </w:r>
          </w:p>
        </w:tc>
        <w:tc>
          <w:tcPr>
            <w:tcW w:w="6940" w:type="dxa"/>
            <w:shd w:val="clear" w:color="auto" w:fill="7030A0"/>
            <w:tcMar>
              <w:top w:w="100" w:type="dxa"/>
              <w:left w:w="120" w:type="dxa"/>
              <w:bottom w:w="100" w:type="dxa"/>
              <w:right w:w="120" w:type="dxa"/>
            </w:tcMar>
          </w:tcPr>
          <w:p w14:paraId="25EE5D6B" w14:textId="77777777" w:rsidR="008F0DB7" w:rsidRDefault="00000000">
            <w:r>
              <w:rPr>
                <w:rFonts w:ascii="Calibri" w:eastAsia="Calibri" w:hAnsi="Calibri" w:cs="Calibri"/>
                <w:b/>
                <w:bCs/>
                <w:color w:val="FFFFFF"/>
                <w:sz w:val="19"/>
                <w:szCs w:val="19"/>
              </w:rPr>
              <w:t>Technology</w:t>
            </w:r>
          </w:p>
        </w:tc>
      </w:tr>
      <w:tr w:rsidR="008F0DB7" w14:paraId="7DB98206" w14:textId="77777777">
        <w:tc>
          <w:tcPr>
            <w:tcW w:w="2600" w:type="dxa"/>
            <w:shd w:val="clear" w:color="auto" w:fill="FFFFFF"/>
            <w:tcMar>
              <w:top w:w="90" w:type="dxa"/>
              <w:left w:w="120" w:type="dxa"/>
              <w:bottom w:w="90" w:type="dxa"/>
              <w:right w:w="120" w:type="dxa"/>
            </w:tcMar>
          </w:tcPr>
          <w:p w14:paraId="603C623E" w14:textId="77777777" w:rsidR="008F0DB7" w:rsidRDefault="00000000">
            <w:pPr>
              <w:spacing w:after="40"/>
            </w:pPr>
            <w:r>
              <w:rPr>
                <w:rFonts w:ascii="Calibri" w:eastAsia="Calibri" w:hAnsi="Calibri" w:cs="Calibri"/>
                <w:color w:val="2B2B2B"/>
                <w:sz w:val="19"/>
                <w:szCs w:val="19"/>
              </w:rPr>
              <w:t>Language / runtime</w:t>
            </w:r>
          </w:p>
        </w:tc>
        <w:tc>
          <w:tcPr>
            <w:tcW w:w="6940" w:type="dxa"/>
            <w:shd w:val="clear" w:color="auto" w:fill="FFFFFF"/>
            <w:tcMar>
              <w:top w:w="90" w:type="dxa"/>
              <w:left w:w="120" w:type="dxa"/>
              <w:bottom w:w="90" w:type="dxa"/>
              <w:right w:w="120" w:type="dxa"/>
            </w:tcMar>
          </w:tcPr>
          <w:p w14:paraId="0791C183" w14:textId="77777777" w:rsidR="008F0DB7" w:rsidRDefault="00000000">
            <w:pPr>
              <w:spacing w:after="40"/>
            </w:pPr>
            <w:r>
              <w:rPr>
                <w:rFonts w:ascii="Calibri" w:eastAsia="Calibri" w:hAnsi="Calibri" w:cs="Calibri"/>
                <w:color w:val="2B2B2B"/>
                <w:sz w:val="19"/>
                <w:szCs w:val="19"/>
              </w:rPr>
              <w:t>Python 3.10+</w:t>
            </w:r>
          </w:p>
        </w:tc>
      </w:tr>
      <w:tr w:rsidR="008F0DB7" w14:paraId="3A6E58FE" w14:textId="77777777">
        <w:tc>
          <w:tcPr>
            <w:tcW w:w="2600" w:type="dxa"/>
            <w:shd w:val="clear" w:color="auto" w:fill="F5F7F6"/>
            <w:tcMar>
              <w:top w:w="90" w:type="dxa"/>
              <w:left w:w="120" w:type="dxa"/>
              <w:bottom w:w="90" w:type="dxa"/>
              <w:right w:w="120" w:type="dxa"/>
            </w:tcMar>
          </w:tcPr>
          <w:p w14:paraId="50BE0C4D" w14:textId="77777777" w:rsidR="008F0DB7" w:rsidRDefault="00000000">
            <w:pPr>
              <w:spacing w:after="40"/>
            </w:pPr>
            <w:r>
              <w:rPr>
                <w:rFonts w:ascii="Calibri" w:eastAsia="Calibri" w:hAnsi="Calibri" w:cs="Calibri"/>
                <w:color w:val="2B2B2B"/>
                <w:sz w:val="19"/>
                <w:szCs w:val="19"/>
              </w:rPr>
              <w:t>UI</w:t>
            </w:r>
          </w:p>
        </w:tc>
        <w:tc>
          <w:tcPr>
            <w:tcW w:w="6940" w:type="dxa"/>
            <w:shd w:val="clear" w:color="auto" w:fill="F5F7F6"/>
            <w:tcMar>
              <w:top w:w="90" w:type="dxa"/>
              <w:left w:w="120" w:type="dxa"/>
              <w:bottom w:w="90" w:type="dxa"/>
              <w:right w:w="120" w:type="dxa"/>
            </w:tcMar>
          </w:tcPr>
          <w:p w14:paraId="25EAC402" w14:textId="77777777" w:rsidR="008F0DB7" w:rsidRDefault="00000000">
            <w:pPr>
              <w:spacing w:after="40"/>
            </w:pPr>
            <w:proofErr w:type="spellStart"/>
            <w:r>
              <w:rPr>
                <w:rFonts w:ascii="Calibri" w:eastAsia="Calibri" w:hAnsi="Calibri" w:cs="Calibri"/>
                <w:color w:val="2B2B2B"/>
                <w:sz w:val="19"/>
                <w:szCs w:val="19"/>
              </w:rPr>
              <w:t>Streamlit</w:t>
            </w:r>
            <w:proofErr w:type="spellEnd"/>
            <w:r>
              <w:rPr>
                <w:rFonts w:ascii="Calibri" w:eastAsia="Calibri" w:hAnsi="Calibri" w:cs="Calibri"/>
                <w:color w:val="2B2B2B"/>
                <w:sz w:val="19"/>
                <w:szCs w:val="19"/>
              </w:rPr>
              <w:t xml:space="preserve"> 1.58</w:t>
            </w:r>
          </w:p>
        </w:tc>
      </w:tr>
      <w:tr w:rsidR="008F0DB7" w14:paraId="5D56B42C" w14:textId="77777777">
        <w:tc>
          <w:tcPr>
            <w:tcW w:w="2600" w:type="dxa"/>
            <w:shd w:val="clear" w:color="auto" w:fill="FFFFFF"/>
            <w:tcMar>
              <w:top w:w="90" w:type="dxa"/>
              <w:left w:w="120" w:type="dxa"/>
              <w:bottom w:w="90" w:type="dxa"/>
              <w:right w:w="120" w:type="dxa"/>
            </w:tcMar>
          </w:tcPr>
          <w:p w14:paraId="3658E110" w14:textId="77777777" w:rsidR="008F0DB7" w:rsidRDefault="00000000">
            <w:pPr>
              <w:spacing w:after="40"/>
            </w:pPr>
            <w:r>
              <w:rPr>
                <w:rFonts w:ascii="Calibri" w:eastAsia="Calibri" w:hAnsi="Calibri" w:cs="Calibri"/>
                <w:color w:val="2B2B2B"/>
                <w:sz w:val="19"/>
                <w:szCs w:val="19"/>
              </w:rPr>
              <w:t>Data handling</w:t>
            </w:r>
          </w:p>
        </w:tc>
        <w:tc>
          <w:tcPr>
            <w:tcW w:w="6940" w:type="dxa"/>
            <w:shd w:val="clear" w:color="auto" w:fill="FFFFFF"/>
            <w:tcMar>
              <w:top w:w="90" w:type="dxa"/>
              <w:left w:w="120" w:type="dxa"/>
              <w:bottom w:w="90" w:type="dxa"/>
              <w:right w:w="120" w:type="dxa"/>
            </w:tcMar>
          </w:tcPr>
          <w:p w14:paraId="0ABF0605" w14:textId="77777777" w:rsidR="008F0DB7" w:rsidRDefault="00000000">
            <w:pPr>
              <w:spacing w:after="40"/>
            </w:pPr>
            <w:r>
              <w:rPr>
                <w:rFonts w:ascii="Calibri" w:eastAsia="Calibri" w:hAnsi="Calibri" w:cs="Calibri"/>
                <w:color w:val="2B2B2B"/>
                <w:sz w:val="19"/>
                <w:szCs w:val="19"/>
              </w:rPr>
              <w:t xml:space="preserve">pandas, </w:t>
            </w:r>
            <w:proofErr w:type="spellStart"/>
            <w:r>
              <w:rPr>
                <w:rFonts w:ascii="Calibri" w:eastAsia="Calibri" w:hAnsi="Calibri" w:cs="Calibri"/>
                <w:color w:val="2B2B2B"/>
                <w:sz w:val="19"/>
                <w:szCs w:val="19"/>
              </w:rPr>
              <w:t>DuckDB</w:t>
            </w:r>
            <w:proofErr w:type="spellEnd"/>
            <w:r>
              <w:rPr>
                <w:rFonts w:ascii="Calibri" w:eastAsia="Calibri" w:hAnsi="Calibri" w:cs="Calibri"/>
                <w:color w:val="2B2B2B"/>
                <w:sz w:val="19"/>
                <w:szCs w:val="19"/>
              </w:rPr>
              <w:t xml:space="preserve"> (embedded analytical store)</w:t>
            </w:r>
          </w:p>
        </w:tc>
      </w:tr>
      <w:tr w:rsidR="008F0DB7" w14:paraId="0AD0ED2A" w14:textId="77777777">
        <w:tc>
          <w:tcPr>
            <w:tcW w:w="2600" w:type="dxa"/>
            <w:shd w:val="clear" w:color="auto" w:fill="F5F7F6"/>
            <w:tcMar>
              <w:top w:w="90" w:type="dxa"/>
              <w:left w:w="120" w:type="dxa"/>
              <w:bottom w:w="90" w:type="dxa"/>
              <w:right w:w="120" w:type="dxa"/>
            </w:tcMar>
          </w:tcPr>
          <w:p w14:paraId="624AEB53" w14:textId="77777777" w:rsidR="008F0DB7" w:rsidRDefault="00000000">
            <w:pPr>
              <w:spacing w:after="40"/>
            </w:pPr>
            <w:r>
              <w:rPr>
                <w:rFonts w:ascii="Calibri" w:eastAsia="Calibri" w:hAnsi="Calibri" w:cs="Calibri"/>
                <w:color w:val="2B2B2B"/>
                <w:sz w:val="19"/>
                <w:szCs w:val="19"/>
              </w:rPr>
              <w:t>Statistics / ML</w:t>
            </w:r>
          </w:p>
        </w:tc>
        <w:tc>
          <w:tcPr>
            <w:tcW w:w="6940" w:type="dxa"/>
            <w:shd w:val="clear" w:color="auto" w:fill="F5F7F6"/>
            <w:tcMar>
              <w:top w:w="90" w:type="dxa"/>
              <w:left w:w="120" w:type="dxa"/>
              <w:bottom w:w="90" w:type="dxa"/>
              <w:right w:w="120" w:type="dxa"/>
            </w:tcMar>
          </w:tcPr>
          <w:p w14:paraId="6F32CC35" w14:textId="77777777" w:rsidR="008F0DB7" w:rsidRDefault="00000000">
            <w:pPr>
              <w:spacing w:after="40"/>
            </w:pPr>
            <w:r>
              <w:rPr>
                <w:rFonts w:ascii="Calibri" w:eastAsia="Calibri" w:hAnsi="Calibri" w:cs="Calibri"/>
                <w:color w:val="2B2B2B"/>
                <w:sz w:val="19"/>
                <w:szCs w:val="19"/>
              </w:rPr>
              <w:t xml:space="preserve">scikit-learn (Isolation Forest), </w:t>
            </w:r>
            <w:proofErr w:type="spellStart"/>
            <w:r>
              <w:rPr>
                <w:rFonts w:ascii="Calibri" w:eastAsia="Calibri" w:hAnsi="Calibri" w:cs="Calibri"/>
                <w:color w:val="2B2B2B"/>
                <w:sz w:val="19"/>
                <w:szCs w:val="19"/>
              </w:rPr>
              <w:t>statsmodels</w:t>
            </w:r>
            <w:proofErr w:type="spellEnd"/>
            <w:r>
              <w:rPr>
                <w:rFonts w:ascii="Calibri" w:eastAsia="Calibri" w:hAnsi="Calibri" w:cs="Calibri"/>
                <w:color w:val="2B2B2B"/>
                <w:sz w:val="19"/>
                <w:szCs w:val="19"/>
              </w:rPr>
              <w:t xml:space="preserve"> / </w:t>
            </w:r>
            <w:proofErr w:type="spellStart"/>
            <w:r>
              <w:rPr>
                <w:rFonts w:ascii="Calibri" w:eastAsia="Calibri" w:hAnsi="Calibri" w:cs="Calibri"/>
                <w:color w:val="2B2B2B"/>
                <w:sz w:val="19"/>
                <w:szCs w:val="19"/>
              </w:rPr>
              <w:t>scipy</w:t>
            </w:r>
            <w:proofErr w:type="spellEnd"/>
            <w:r>
              <w:rPr>
                <w:rFonts w:ascii="Calibri" w:eastAsia="Calibri" w:hAnsi="Calibri" w:cs="Calibri"/>
                <w:color w:val="2B2B2B"/>
                <w:sz w:val="19"/>
                <w:szCs w:val="19"/>
              </w:rPr>
              <w:t xml:space="preserve"> (trend tests)</w:t>
            </w:r>
          </w:p>
        </w:tc>
      </w:tr>
      <w:tr w:rsidR="008F0DB7" w14:paraId="64B9DF7E" w14:textId="77777777">
        <w:tc>
          <w:tcPr>
            <w:tcW w:w="2600" w:type="dxa"/>
            <w:shd w:val="clear" w:color="auto" w:fill="FFFFFF"/>
            <w:tcMar>
              <w:top w:w="90" w:type="dxa"/>
              <w:left w:w="120" w:type="dxa"/>
              <w:bottom w:w="90" w:type="dxa"/>
              <w:right w:w="120" w:type="dxa"/>
            </w:tcMar>
          </w:tcPr>
          <w:p w14:paraId="0C272AEB" w14:textId="77777777" w:rsidR="008F0DB7" w:rsidRDefault="00000000">
            <w:pPr>
              <w:spacing w:after="40"/>
            </w:pPr>
            <w:r>
              <w:rPr>
                <w:rFonts w:ascii="Calibri" w:eastAsia="Calibri" w:hAnsi="Calibri" w:cs="Calibri"/>
                <w:color w:val="2B2B2B"/>
                <w:sz w:val="19"/>
                <w:szCs w:val="19"/>
              </w:rPr>
              <w:t>AI / LLM</w:t>
            </w:r>
          </w:p>
        </w:tc>
        <w:tc>
          <w:tcPr>
            <w:tcW w:w="6940" w:type="dxa"/>
            <w:shd w:val="clear" w:color="auto" w:fill="FFFFFF"/>
            <w:tcMar>
              <w:top w:w="90" w:type="dxa"/>
              <w:left w:w="120" w:type="dxa"/>
              <w:bottom w:w="90" w:type="dxa"/>
              <w:right w:w="120" w:type="dxa"/>
            </w:tcMar>
          </w:tcPr>
          <w:p w14:paraId="55A637DC" w14:textId="77777777" w:rsidR="008F0DB7" w:rsidRDefault="00000000">
            <w:pPr>
              <w:spacing w:after="40"/>
            </w:pPr>
            <w:r>
              <w:rPr>
                <w:rFonts w:ascii="Calibri" w:eastAsia="Calibri" w:hAnsi="Calibri" w:cs="Calibri"/>
                <w:color w:val="2B2B2B"/>
                <w:sz w:val="19"/>
                <w:szCs w:val="19"/>
              </w:rPr>
              <w:t xml:space="preserve">OpenAI SDK (GPT-4o) for the Pattern and Causal agents — config supports switching to Azure OpenAI or </w:t>
            </w:r>
            <w:proofErr w:type="spellStart"/>
            <w:r>
              <w:rPr>
                <w:rFonts w:ascii="Calibri" w:eastAsia="Calibri" w:hAnsi="Calibri" w:cs="Calibri"/>
                <w:color w:val="2B2B2B"/>
                <w:sz w:val="19"/>
                <w:szCs w:val="19"/>
              </w:rPr>
              <w:t>Groq</w:t>
            </w:r>
            <w:proofErr w:type="spellEnd"/>
            <w:r>
              <w:rPr>
                <w:rFonts w:ascii="Calibri" w:eastAsia="Calibri" w:hAnsi="Calibri" w:cs="Calibri"/>
                <w:color w:val="2B2B2B"/>
                <w:sz w:val="19"/>
                <w:szCs w:val="19"/>
              </w:rPr>
              <w:t xml:space="preserve"> endpoints; the previously-documented GitHub Models path has been non-functional since August 2026 and has been removed as a stated alternate.</w:t>
            </w:r>
          </w:p>
        </w:tc>
      </w:tr>
      <w:tr w:rsidR="008F0DB7" w14:paraId="1705E61A" w14:textId="77777777">
        <w:tc>
          <w:tcPr>
            <w:tcW w:w="2600" w:type="dxa"/>
            <w:shd w:val="clear" w:color="auto" w:fill="F5F7F6"/>
            <w:tcMar>
              <w:top w:w="90" w:type="dxa"/>
              <w:left w:w="120" w:type="dxa"/>
              <w:bottom w:w="90" w:type="dxa"/>
              <w:right w:w="120" w:type="dxa"/>
            </w:tcMar>
          </w:tcPr>
          <w:p w14:paraId="49BFC62E" w14:textId="77777777" w:rsidR="008F0DB7" w:rsidRDefault="00000000">
            <w:pPr>
              <w:spacing w:after="40"/>
            </w:pPr>
            <w:r>
              <w:rPr>
                <w:rFonts w:ascii="Calibri" w:eastAsia="Calibri" w:hAnsi="Calibri" w:cs="Calibri"/>
                <w:color w:val="2B2B2B"/>
                <w:sz w:val="19"/>
                <w:szCs w:val="19"/>
              </w:rPr>
              <w:t>Reporting</w:t>
            </w:r>
          </w:p>
        </w:tc>
        <w:tc>
          <w:tcPr>
            <w:tcW w:w="6940" w:type="dxa"/>
            <w:shd w:val="clear" w:color="auto" w:fill="F5F7F6"/>
            <w:tcMar>
              <w:top w:w="90" w:type="dxa"/>
              <w:left w:w="120" w:type="dxa"/>
              <w:bottom w:w="90" w:type="dxa"/>
              <w:right w:w="120" w:type="dxa"/>
            </w:tcMar>
          </w:tcPr>
          <w:p w14:paraId="5D22B1A5" w14:textId="77777777" w:rsidR="008F0DB7" w:rsidRDefault="00000000">
            <w:pPr>
              <w:spacing w:after="40"/>
            </w:pPr>
            <w:r>
              <w:rPr>
                <w:rFonts w:ascii="Calibri" w:eastAsia="Calibri" w:hAnsi="Calibri" w:cs="Calibri"/>
                <w:color w:val="2B2B2B"/>
                <w:sz w:val="19"/>
                <w:szCs w:val="19"/>
              </w:rPr>
              <w:t xml:space="preserve">Jinja2 (HTML templating) + </w:t>
            </w:r>
            <w:proofErr w:type="spellStart"/>
            <w:r>
              <w:rPr>
                <w:rFonts w:ascii="Calibri" w:eastAsia="Calibri" w:hAnsi="Calibri" w:cs="Calibri"/>
                <w:color w:val="2B2B2B"/>
                <w:sz w:val="19"/>
                <w:szCs w:val="19"/>
              </w:rPr>
              <w:t>WeasyPrint</w:t>
            </w:r>
            <w:proofErr w:type="spellEnd"/>
            <w:r>
              <w:rPr>
                <w:rFonts w:ascii="Calibri" w:eastAsia="Calibri" w:hAnsi="Calibri" w:cs="Calibri"/>
                <w:color w:val="2B2B2B"/>
                <w:sz w:val="19"/>
                <w:szCs w:val="19"/>
              </w:rPr>
              <w:t xml:space="preserve"> (PDF export)</w:t>
            </w:r>
          </w:p>
        </w:tc>
      </w:tr>
      <w:tr w:rsidR="008F0DB7" w14:paraId="6FE91DE6" w14:textId="77777777">
        <w:tc>
          <w:tcPr>
            <w:tcW w:w="2600" w:type="dxa"/>
            <w:shd w:val="clear" w:color="auto" w:fill="FFFFFF"/>
            <w:tcMar>
              <w:top w:w="90" w:type="dxa"/>
              <w:left w:w="120" w:type="dxa"/>
              <w:bottom w:w="90" w:type="dxa"/>
              <w:right w:w="120" w:type="dxa"/>
            </w:tcMar>
          </w:tcPr>
          <w:p w14:paraId="58594125" w14:textId="77777777" w:rsidR="008F0DB7" w:rsidRDefault="00000000">
            <w:pPr>
              <w:spacing w:after="40"/>
            </w:pPr>
            <w:r>
              <w:rPr>
                <w:rFonts w:ascii="Calibri" w:eastAsia="Calibri" w:hAnsi="Calibri" w:cs="Calibri"/>
                <w:color w:val="2B2B2B"/>
                <w:sz w:val="19"/>
                <w:szCs w:val="19"/>
              </w:rPr>
              <w:t>File monitoring</w:t>
            </w:r>
          </w:p>
        </w:tc>
        <w:tc>
          <w:tcPr>
            <w:tcW w:w="6940" w:type="dxa"/>
            <w:shd w:val="clear" w:color="auto" w:fill="FFFFFF"/>
            <w:tcMar>
              <w:top w:w="90" w:type="dxa"/>
              <w:left w:w="120" w:type="dxa"/>
              <w:bottom w:w="90" w:type="dxa"/>
              <w:right w:w="120" w:type="dxa"/>
            </w:tcMar>
          </w:tcPr>
          <w:p w14:paraId="73251024" w14:textId="77777777" w:rsidR="008F0DB7" w:rsidRDefault="00000000">
            <w:pPr>
              <w:spacing w:after="40"/>
            </w:pPr>
            <w:r>
              <w:rPr>
                <w:rFonts w:ascii="Calibri" w:eastAsia="Calibri" w:hAnsi="Calibri" w:cs="Calibri"/>
                <w:color w:val="2B2B2B"/>
                <w:sz w:val="19"/>
                <w:szCs w:val="19"/>
              </w:rPr>
              <w:t>watchdog</w:t>
            </w:r>
          </w:p>
        </w:tc>
      </w:tr>
      <w:tr w:rsidR="008F0DB7" w14:paraId="6AFB1081" w14:textId="77777777">
        <w:tc>
          <w:tcPr>
            <w:tcW w:w="2600" w:type="dxa"/>
            <w:shd w:val="clear" w:color="auto" w:fill="F5F7F6"/>
            <w:tcMar>
              <w:top w:w="90" w:type="dxa"/>
              <w:left w:w="120" w:type="dxa"/>
              <w:bottom w:w="90" w:type="dxa"/>
              <w:right w:w="120" w:type="dxa"/>
            </w:tcMar>
          </w:tcPr>
          <w:p w14:paraId="5D2D0540" w14:textId="77777777" w:rsidR="008F0DB7" w:rsidRDefault="00000000">
            <w:pPr>
              <w:spacing w:after="40"/>
            </w:pPr>
            <w:r>
              <w:rPr>
                <w:rFonts w:ascii="Calibri" w:eastAsia="Calibri" w:hAnsi="Calibri" w:cs="Calibri"/>
                <w:color w:val="2B2B2B"/>
                <w:sz w:val="19"/>
                <w:szCs w:val="19"/>
              </w:rPr>
              <w:t>CLI</w:t>
            </w:r>
          </w:p>
        </w:tc>
        <w:tc>
          <w:tcPr>
            <w:tcW w:w="6940" w:type="dxa"/>
            <w:shd w:val="clear" w:color="auto" w:fill="F5F7F6"/>
            <w:tcMar>
              <w:top w:w="90" w:type="dxa"/>
              <w:left w:w="120" w:type="dxa"/>
              <w:bottom w:w="90" w:type="dxa"/>
              <w:right w:w="120" w:type="dxa"/>
            </w:tcMar>
          </w:tcPr>
          <w:p w14:paraId="232F5C77" w14:textId="77777777" w:rsidR="008F0DB7" w:rsidRDefault="00000000">
            <w:pPr>
              <w:spacing w:after="40"/>
            </w:pPr>
            <w:r>
              <w:rPr>
                <w:rFonts w:ascii="Calibri" w:eastAsia="Calibri" w:hAnsi="Calibri" w:cs="Calibri"/>
                <w:color w:val="2B2B2B"/>
                <w:sz w:val="19"/>
                <w:szCs w:val="19"/>
              </w:rPr>
              <w:t>Typer + Rich</w:t>
            </w:r>
          </w:p>
        </w:tc>
      </w:tr>
      <w:tr w:rsidR="008F0DB7" w14:paraId="710B863B" w14:textId="77777777">
        <w:tc>
          <w:tcPr>
            <w:tcW w:w="2600" w:type="dxa"/>
            <w:shd w:val="clear" w:color="auto" w:fill="FFFFFF"/>
            <w:tcMar>
              <w:top w:w="90" w:type="dxa"/>
              <w:left w:w="120" w:type="dxa"/>
              <w:bottom w:w="90" w:type="dxa"/>
              <w:right w:w="120" w:type="dxa"/>
            </w:tcMar>
          </w:tcPr>
          <w:p w14:paraId="3CB50572" w14:textId="77777777" w:rsidR="008F0DB7" w:rsidRDefault="00000000">
            <w:pPr>
              <w:spacing w:after="40"/>
            </w:pPr>
            <w:r>
              <w:rPr>
                <w:rFonts w:ascii="Calibri" w:eastAsia="Calibri" w:hAnsi="Calibri" w:cs="Calibri"/>
                <w:color w:val="2B2B2B"/>
                <w:sz w:val="19"/>
                <w:szCs w:val="19"/>
              </w:rPr>
              <w:t>Config / secrets</w:t>
            </w:r>
          </w:p>
        </w:tc>
        <w:tc>
          <w:tcPr>
            <w:tcW w:w="6940" w:type="dxa"/>
            <w:shd w:val="clear" w:color="auto" w:fill="FFFFFF"/>
            <w:tcMar>
              <w:top w:w="90" w:type="dxa"/>
              <w:left w:w="120" w:type="dxa"/>
              <w:bottom w:w="90" w:type="dxa"/>
              <w:right w:w="120" w:type="dxa"/>
            </w:tcMar>
          </w:tcPr>
          <w:p w14:paraId="079EC580" w14:textId="77777777" w:rsidR="008F0DB7" w:rsidRDefault="00000000">
            <w:pPr>
              <w:spacing w:after="40"/>
            </w:pPr>
            <w:r>
              <w:rPr>
                <w:rFonts w:ascii="Calibri" w:eastAsia="Calibri" w:hAnsi="Calibri" w:cs="Calibri"/>
                <w:color w:val="2B2B2B"/>
                <w:sz w:val="19"/>
                <w:szCs w:val="19"/>
              </w:rPr>
              <w:t>python-</w:t>
            </w:r>
            <w:proofErr w:type="spellStart"/>
            <w:r>
              <w:rPr>
                <w:rFonts w:ascii="Calibri" w:eastAsia="Calibri" w:hAnsi="Calibri" w:cs="Calibri"/>
                <w:color w:val="2B2B2B"/>
                <w:sz w:val="19"/>
                <w:szCs w:val="19"/>
              </w:rPr>
              <w:t>dotenv</w:t>
            </w:r>
            <w:proofErr w:type="spellEnd"/>
            <w:r>
              <w:rPr>
                <w:rFonts w:ascii="Calibri" w:eastAsia="Calibri" w:hAnsi="Calibri" w:cs="Calibri"/>
                <w:color w:val="2B2B2B"/>
                <w:sz w:val="19"/>
                <w:szCs w:val="19"/>
              </w:rPr>
              <w:t xml:space="preserve"> (.env)</w:t>
            </w:r>
          </w:p>
        </w:tc>
      </w:tr>
      <w:tr w:rsidR="008F0DB7" w14:paraId="48E72E77" w14:textId="77777777">
        <w:tc>
          <w:tcPr>
            <w:tcW w:w="2600" w:type="dxa"/>
            <w:shd w:val="clear" w:color="auto" w:fill="F5F7F6"/>
            <w:tcMar>
              <w:top w:w="90" w:type="dxa"/>
              <w:left w:w="120" w:type="dxa"/>
              <w:bottom w:w="90" w:type="dxa"/>
              <w:right w:w="120" w:type="dxa"/>
            </w:tcMar>
          </w:tcPr>
          <w:p w14:paraId="62297141" w14:textId="77777777" w:rsidR="008F0DB7" w:rsidRDefault="00000000">
            <w:pPr>
              <w:spacing w:after="40"/>
            </w:pPr>
            <w:r>
              <w:rPr>
                <w:rFonts w:ascii="Calibri" w:eastAsia="Calibri" w:hAnsi="Calibri" w:cs="Calibri"/>
                <w:color w:val="2B2B2B"/>
                <w:sz w:val="19"/>
                <w:szCs w:val="19"/>
              </w:rPr>
              <w:t>Packaging</w:t>
            </w:r>
          </w:p>
        </w:tc>
        <w:tc>
          <w:tcPr>
            <w:tcW w:w="6940" w:type="dxa"/>
            <w:shd w:val="clear" w:color="auto" w:fill="F5F7F6"/>
            <w:tcMar>
              <w:top w:w="90" w:type="dxa"/>
              <w:left w:w="120" w:type="dxa"/>
              <w:bottom w:w="90" w:type="dxa"/>
              <w:right w:w="120" w:type="dxa"/>
            </w:tcMar>
          </w:tcPr>
          <w:p w14:paraId="6AEAB323" w14:textId="77777777" w:rsidR="008F0DB7" w:rsidRDefault="00000000">
            <w:pPr>
              <w:spacing w:after="40"/>
            </w:pPr>
            <w:r>
              <w:rPr>
                <w:rFonts w:ascii="Calibri" w:eastAsia="Calibri" w:hAnsi="Calibri" w:cs="Calibri"/>
                <w:color w:val="2B2B2B"/>
                <w:sz w:val="19"/>
                <w:szCs w:val="19"/>
              </w:rPr>
              <w:t>Docker (</w:t>
            </w:r>
            <w:proofErr w:type="spellStart"/>
            <w:r>
              <w:rPr>
                <w:rFonts w:ascii="Calibri" w:eastAsia="Calibri" w:hAnsi="Calibri" w:cs="Calibri"/>
                <w:color w:val="2B2B2B"/>
                <w:sz w:val="19"/>
                <w:szCs w:val="19"/>
              </w:rPr>
              <w:t>Dockerfile</w:t>
            </w:r>
            <w:proofErr w:type="spellEnd"/>
            <w:r>
              <w:rPr>
                <w:rFonts w:ascii="Calibri" w:eastAsia="Calibri" w:hAnsi="Calibri" w:cs="Calibri"/>
                <w:color w:val="2B2B2B"/>
                <w:sz w:val="19"/>
                <w:szCs w:val="19"/>
              </w:rPr>
              <w:t xml:space="preserve"> </w:t>
            </w:r>
            <w:proofErr w:type="gramStart"/>
            <w:r>
              <w:rPr>
                <w:rFonts w:ascii="Calibri" w:eastAsia="Calibri" w:hAnsi="Calibri" w:cs="Calibri"/>
                <w:color w:val="2B2B2B"/>
                <w:sz w:val="19"/>
                <w:szCs w:val="19"/>
              </w:rPr>
              <w:t>+ .</w:t>
            </w:r>
            <w:proofErr w:type="spellStart"/>
            <w:r>
              <w:rPr>
                <w:rFonts w:ascii="Calibri" w:eastAsia="Calibri" w:hAnsi="Calibri" w:cs="Calibri"/>
                <w:color w:val="2B2B2B"/>
                <w:sz w:val="19"/>
                <w:szCs w:val="19"/>
              </w:rPr>
              <w:t>dockerignore</w:t>
            </w:r>
            <w:proofErr w:type="spellEnd"/>
            <w:proofErr w:type="gramEnd"/>
            <w:r>
              <w:rPr>
                <w:rFonts w:ascii="Calibri" w:eastAsia="Calibri" w:hAnsi="Calibri" w:cs="Calibri"/>
                <w:color w:val="2B2B2B"/>
                <w:sz w:val="19"/>
                <w:szCs w:val="19"/>
              </w:rPr>
              <w:t xml:space="preserve"> provided for containerised deployment)</w:t>
            </w:r>
          </w:p>
        </w:tc>
      </w:tr>
    </w:tbl>
    <w:p w14:paraId="67EE6285"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6. AI / LLM Component — Design Options (Open Decision)</w:t>
      </w:r>
    </w:p>
    <w:p w14:paraId="3F46799C" w14:textId="1199F3F9" w:rsidR="008F0DB7" w:rsidRDefault="00000000">
      <w:pPr>
        <w:spacing w:after="160" w:line="276" w:lineRule="auto"/>
      </w:pPr>
      <w:r>
        <w:rPr>
          <w:rFonts w:ascii="Calibri" w:eastAsia="Calibri" w:hAnsi="Calibri" w:cs="Calibri"/>
          <w:color w:val="2B2B2B"/>
          <w:sz w:val="21"/>
          <w:szCs w:val="21"/>
        </w:rPr>
        <w:t xml:space="preserve">This is the primary open item carried over from governance review and is the central design question this KDD raises for sign-off. Two of the five agents (Pattern and Causal) call an LLM. The current codebase defaults to the public OpenAI API. An alternate path to GitHub Models was previously wired into </w:t>
      </w:r>
      <w:r w:rsidR="00980925">
        <w:rPr>
          <w:rFonts w:ascii="Calibri" w:eastAsia="Calibri" w:hAnsi="Calibri" w:cs="Calibri"/>
          <w:color w:val="2B2B2B"/>
          <w:sz w:val="21"/>
          <w:szCs w:val="21"/>
        </w:rPr>
        <w:t xml:space="preserve">config. </w:t>
      </w:r>
      <w:proofErr w:type="spellStart"/>
      <w:r w:rsidR="00980925">
        <w:rPr>
          <w:rFonts w:ascii="Calibri" w:eastAsia="Calibri" w:hAnsi="Calibri" w:cs="Calibri"/>
          <w:color w:val="2B2B2B"/>
          <w:sz w:val="21"/>
          <w:szCs w:val="21"/>
        </w:rPr>
        <w:t>yaml</w:t>
      </w:r>
      <w:proofErr w:type="spellEnd"/>
      <w:r>
        <w:rPr>
          <w:rFonts w:ascii="Calibri" w:eastAsia="Calibri" w:hAnsi="Calibri" w:cs="Calibri"/>
          <w:color w:val="2B2B2B"/>
          <w:sz w:val="21"/>
          <w:szCs w:val="21"/>
        </w:rPr>
        <w:t>, but GitHub Models access has been non-functional since August 2026 and is no longer a usable alternate — Option A (client-hosted Azure OpenAI, below) is therefore the only realistic alternate to direct OpenAI today. Neither has yet been confirmed as the approach for deployment inside the Intact Insurance network. Both options are set out below for governance and security to evaluate.</w:t>
      </w:r>
    </w:p>
    <w:p w14:paraId="0DB421BA" w14:textId="77777777" w:rsidR="008F0DB7" w:rsidRDefault="00000000">
      <w:pPr>
        <w:pStyle w:val="Heading2"/>
        <w:spacing w:before="320" w:after="140"/>
      </w:pPr>
      <w:r>
        <w:rPr>
          <w:rFonts w:ascii="Calibri" w:eastAsia="Calibri" w:hAnsi="Calibri" w:cs="Calibri"/>
          <w:b/>
          <w:bCs/>
          <w:color w:val="2E7D6B"/>
          <w:sz w:val="24"/>
          <w:szCs w:val="24"/>
        </w:rPr>
        <w:t>6.1 Option A — Client-hosted Azure OpenAI</w:t>
      </w:r>
    </w:p>
    <w:p w14:paraId="527E9E0F" w14:textId="4C4DDDCB" w:rsidR="008F0DB7" w:rsidRDefault="00000000">
      <w:pPr>
        <w:spacing w:after="160" w:line="276" w:lineRule="auto"/>
      </w:pPr>
      <w:r>
        <w:rPr>
          <w:rFonts w:ascii="Calibri" w:eastAsia="Calibri" w:hAnsi="Calibri" w:cs="Calibri"/>
          <w:color w:val="2B2B2B"/>
          <w:sz w:val="21"/>
          <w:szCs w:val="21"/>
        </w:rPr>
        <w:t>An Azure OpenAI resource is provisioned inside Intact Insurance's own Azure tenant/network boundary</w:t>
      </w:r>
      <w:r w:rsidR="00481779">
        <w:rPr>
          <w:rFonts w:ascii="Calibri" w:eastAsia="Calibri" w:hAnsi="Calibri" w:cs="Calibri"/>
          <w:color w:val="2B2B2B"/>
          <w:sz w:val="21"/>
          <w:szCs w:val="21"/>
        </w:rPr>
        <w:t xml:space="preserve">. </w:t>
      </w:r>
      <w:r>
        <w:rPr>
          <w:rFonts w:ascii="Calibri" w:eastAsia="Calibri" w:hAnsi="Calibri" w:cs="Calibri"/>
          <w:color w:val="2B2B2B"/>
          <w:sz w:val="21"/>
          <w:szCs w:val="21"/>
        </w:rPr>
        <w:t xml:space="preserve">The pipeline's </w:t>
      </w:r>
      <w:proofErr w:type="spellStart"/>
      <w:proofErr w:type="gramStart"/>
      <w:r>
        <w:rPr>
          <w:rFonts w:ascii="Calibri" w:eastAsia="Calibri" w:hAnsi="Calibri" w:cs="Calibri"/>
          <w:color w:val="2B2B2B"/>
          <w:sz w:val="21"/>
          <w:szCs w:val="21"/>
        </w:rPr>
        <w:t>openai.base</w:t>
      </w:r>
      <w:proofErr w:type="gramEnd"/>
      <w:r>
        <w:rPr>
          <w:rFonts w:ascii="Calibri" w:eastAsia="Calibri" w:hAnsi="Calibri" w:cs="Calibri"/>
          <w:color w:val="2B2B2B"/>
          <w:sz w:val="21"/>
          <w:szCs w:val="21"/>
        </w:rPr>
        <w:t>_url</w:t>
      </w:r>
      <w:proofErr w:type="spellEnd"/>
      <w:r>
        <w:rPr>
          <w:rFonts w:ascii="Calibri" w:eastAsia="Calibri" w:hAnsi="Calibri" w:cs="Calibri"/>
          <w:color w:val="2B2B2B"/>
          <w:sz w:val="21"/>
          <w:szCs w:val="21"/>
        </w:rPr>
        <w:t xml:space="preserve"> is pointed at that resource instead of the public OpenAI endpoint.</w:t>
      </w:r>
    </w:p>
    <w:p w14:paraId="5E8275D9"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Log excerpts sent to the LLM never leave the client's (or an agreed, contracted) network boundary.</w:t>
      </w:r>
    </w:p>
    <w:p w14:paraId="4DEFDBD9"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Aligns with the Azure OpenAI + </w:t>
      </w:r>
      <w:proofErr w:type="spellStart"/>
      <w:r>
        <w:rPr>
          <w:rFonts w:ascii="Calibri" w:eastAsia="Calibri" w:hAnsi="Calibri" w:cs="Calibri"/>
          <w:color w:val="2B2B2B"/>
          <w:sz w:val="21"/>
          <w:szCs w:val="21"/>
        </w:rPr>
        <w:t>LangChain</w:t>
      </w:r>
      <w:proofErr w:type="spellEnd"/>
      <w:r>
        <w:rPr>
          <w:rFonts w:ascii="Calibri" w:eastAsia="Calibri" w:hAnsi="Calibri" w:cs="Calibri"/>
          <w:color w:val="2B2B2B"/>
          <w:sz w:val="21"/>
          <w:szCs w:val="21"/>
        </w:rPr>
        <w:t xml:space="preserve"> direction already explored for this tool.</w:t>
      </w:r>
    </w:p>
    <w:p w14:paraId="05D201C1"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Requires provisioning, quota, and firewall/proxy configuration work with the client's infrastructure team before Integration phase.</w:t>
      </w:r>
    </w:p>
    <w:p w14:paraId="649A0E7F" w14:textId="4EB8B93C" w:rsidR="008F0DB7" w:rsidRPr="00481779" w:rsidRDefault="00000000">
      <w:pPr>
        <w:pStyle w:val="ListParagraph"/>
        <w:numPr>
          <w:ilvl w:val="0"/>
          <w:numId w:val="2"/>
        </w:numPr>
        <w:spacing w:after="80" w:line="264" w:lineRule="auto"/>
      </w:pPr>
      <w:r>
        <w:rPr>
          <w:rFonts w:ascii="Calibri" w:eastAsia="Calibri" w:hAnsi="Calibri" w:cs="Calibri"/>
          <w:color w:val="2B2B2B"/>
          <w:sz w:val="21"/>
          <w:szCs w:val="21"/>
        </w:rPr>
        <w:t>Model availability (GPT-4o equivalent) and rate limits depend on the client's Azure OpenAI quota approval.</w:t>
      </w:r>
      <w:r>
        <w:t xml:space="preserve"> Cost is consumption-based and billed directly to </w:t>
      </w:r>
      <w:proofErr w:type="spellStart"/>
      <w:r>
        <w:t>Intact's</w:t>
      </w:r>
      <w:proofErr w:type="spellEnd"/>
      <w:r>
        <w:t xml:space="preserve"> own Azure subscription per input/output token. Exact </w:t>
      </w:r>
      <w:r>
        <w:lastRenderedPageBreak/>
        <w:t xml:space="preserve">rates depend on region, model, and </w:t>
      </w:r>
      <w:proofErr w:type="spellStart"/>
      <w:r>
        <w:t>Intact's</w:t>
      </w:r>
      <w:proofErr w:type="spellEnd"/>
      <w:r>
        <w:t xml:space="preserve"> Azure agreement/negotiated discounts; note that GPT-4o is now a previous-generation Azure OpenAI model as of late 2026 (current-gen is the GPT-5.x family), so confirm with </w:t>
      </w:r>
      <w:proofErr w:type="spellStart"/>
      <w:r>
        <w:t>Intact's</w:t>
      </w:r>
      <w:proofErr w:type="spellEnd"/>
      <w:r>
        <w:t xml:space="preserve"> Azure/cloud commercial team whether to price GPT-4o-equivalent quota or move the pilot to a current-generation deployment before finalising quota requests (see Open Item #6).</w:t>
      </w:r>
    </w:p>
    <w:p w14:paraId="6C1EF552" w14:textId="77777777" w:rsidR="00481779" w:rsidRDefault="00481779" w:rsidP="00481779">
      <w:pPr>
        <w:spacing w:after="80" w:line="264" w:lineRule="auto"/>
      </w:pPr>
    </w:p>
    <w:p w14:paraId="7134DECF" w14:textId="77777777" w:rsidR="00481779" w:rsidRDefault="00481779" w:rsidP="00481779">
      <w:pPr>
        <w:spacing w:after="80" w:line="264" w:lineRule="auto"/>
      </w:pPr>
    </w:p>
    <w:p w14:paraId="052AFF9F" w14:textId="77777777" w:rsidR="008F0DB7" w:rsidRDefault="00000000">
      <w:pPr>
        <w:pStyle w:val="Heading2"/>
        <w:spacing w:before="320" w:after="140"/>
      </w:pPr>
      <w:r>
        <w:rPr>
          <w:rFonts w:ascii="Calibri" w:eastAsia="Calibri" w:hAnsi="Calibri" w:cs="Calibri"/>
          <w:b/>
          <w:bCs/>
          <w:color w:val="2E7D6B"/>
          <w:sz w:val="24"/>
          <w:szCs w:val="24"/>
        </w:rPr>
        <w:t>6.2 Option B — Direct OpenAI API (current code default)</w:t>
      </w:r>
    </w:p>
    <w:p w14:paraId="5D9D364D" w14:textId="77777777" w:rsidR="008F0DB7" w:rsidRDefault="00000000">
      <w:pPr>
        <w:spacing w:after="160" w:line="276" w:lineRule="auto"/>
      </w:pPr>
      <w:r>
        <w:rPr>
          <w:rFonts w:ascii="Calibri" w:eastAsia="Calibri" w:hAnsi="Calibri" w:cs="Calibri"/>
          <w:color w:val="2B2B2B"/>
          <w:sz w:val="21"/>
          <w:szCs w:val="21"/>
        </w:rPr>
        <w:t xml:space="preserve">The pipeline continues to call api.openai.com directly, as it does today, with an API key held </w:t>
      </w:r>
      <w:proofErr w:type="gramStart"/>
      <w:r>
        <w:rPr>
          <w:rFonts w:ascii="Calibri" w:eastAsia="Calibri" w:hAnsi="Calibri" w:cs="Calibri"/>
          <w:color w:val="2B2B2B"/>
          <w:sz w:val="21"/>
          <w:szCs w:val="21"/>
        </w:rPr>
        <w:t>in .env</w:t>
      </w:r>
      <w:proofErr w:type="gramEnd"/>
      <w:r>
        <w:rPr>
          <w:rFonts w:ascii="Calibri" w:eastAsia="Calibri" w:hAnsi="Calibri" w:cs="Calibri"/>
          <w:color w:val="2B2B2B"/>
          <w:sz w:val="21"/>
          <w:szCs w:val="21"/>
        </w:rPr>
        <w:t>.</w:t>
      </w:r>
      <w:r>
        <w:rPr>
          <w:rFonts w:ascii="Calibri" w:hAnsi="Calibri"/>
          <w:color w:val="2B2B2B"/>
          <w:sz w:val="21"/>
        </w:rPr>
        <w:t xml:space="preserve"> Note: generating this key from </w:t>
      </w:r>
      <w:proofErr w:type="spellStart"/>
      <w:r>
        <w:rPr>
          <w:rFonts w:ascii="Calibri" w:hAnsi="Calibri"/>
          <w:color w:val="2B2B2B"/>
          <w:sz w:val="21"/>
        </w:rPr>
        <w:t>Intact's</w:t>
      </w:r>
      <w:proofErr w:type="spellEnd"/>
      <w:r>
        <w:rPr>
          <w:rFonts w:ascii="Calibri" w:hAnsi="Calibri"/>
          <w:color w:val="2B2B2B"/>
          <w:sz w:val="21"/>
        </w:rPr>
        <w:t xml:space="preserve"> own OpenAI Platform account (instead of Capgemini's) changes who owns billing and the data-processing </w:t>
      </w:r>
      <w:proofErr w:type="gramStart"/>
      <w:r>
        <w:rPr>
          <w:rFonts w:ascii="Calibri" w:hAnsi="Calibri"/>
          <w:color w:val="2B2B2B"/>
          <w:sz w:val="21"/>
        </w:rPr>
        <w:t>agreement, but</w:t>
      </w:r>
      <w:proofErr w:type="gramEnd"/>
      <w:r>
        <w:rPr>
          <w:rFonts w:ascii="Calibri" w:hAnsi="Calibri"/>
          <w:color w:val="2B2B2B"/>
          <w:sz w:val="21"/>
        </w:rPr>
        <w:t xml:space="preserve"> does not change the network boundary — api.openai.com is a public multi-tenant endpoint regardless of whose account issues the key, so log excerpts still leave the client network the same way. Only Option A (Azure OpenAI hosted inside </w:t>
      </w:r>
      <w:proofErr w:type="spellStart"/>
      <w:r>
        <w:rPr>
          <w:rFonts w:ascii="Calibri" w:hAnsi="Calibri"/>
          <w:color w:val="2B2B2B"/>
          <w:sz w:val="21"/>
        </w:rPr>
        <w:t>Intact's</w:t>
      </w:r>
      <w:proofErr w:type="spellEnd"/>
      <w:r>
        <w:rPr>
          <w:rFonts w:ascii="Calibri" w:hAnsi="Calibri"/>
          <w:color w:val="2B2B2B"/>
          <w:sz w:val="21"/>
        </w:rPr>
        <w:t xml:space="preserve"> own tenant) keeps calls inside the network.</w:t>
      </w:r>
    </w:p>
    <w:p w14:paraId="73390302"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No additional client-side infrastructure provisioning required — fastest path to pilot.</w:t>
      </w:r>
    </w:p>
    <w:p w14:paraId="6D35582A"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Log excerpts containing performance-test data (and, depending on log content, potentially environment/hostname/error-message detail) leave the client network boundary to a third-party API.</w:t>
      </w:r>
    </w:p>
    <w:p w14:paraId="32842770"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This is the specific external-call risk that governance flagged as the key gating item — likely to require a formal data-processing/vendor-risk review before it can be used beyond a sandboxed pilot with synthetic or scrubbed data.</w:t>
      </w:r>
    </w:p>
    <w:tbl>
      <w:tblPr>
        <w:tblW w:w="5000" w:type="pct"/>
        <w:tblBorders>
          <w:top w:val="single" w:sz="6" w:space="0" w:color="2E7D6B"/>
          <w:left w:val="single" w:sz="6" w:space="0" w:color="2E7D6B"/>
          <w:bottom w:val="single" w:sz="6" w:space="0" w:color="2E7D6B"/>
          <w:right w:val="single" w:sz="6" w:space="0" w:color="2E7D6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24"/>
      </w:tblGrid>
      <w:tr w:rsidR="008F0DB7" w14:paraId="54C8299B" w14:textId="77777777">
        <w:tc>
          <w:tcPr>
            <w:tcW w:w="0" w:type="auto"/>
            <w:shd w:val="clear" w:color="auto" w:fill="EAF1EF"/>
            <w:tcMar>
              <w:top w:w="160" w:type="dxa"/>
              <w:left w:w="200" w:type="dxa"/>
              <w:bottom w:w="160" w:type="dxa"/>
              <w:right w:w="200" w:type="dxa"/>
            </w:tcMar>
          </w:tcPr>
          <w:p w14:paraId="12E9C7FC" w14:textId="77777777" w:rsidR="008F0DB7" w:rsidRDefault="00000000">
            <w:pPr>
              <w:spacing w:after="100"/>
            </w:pPr>
            <w:r>
              <w:rPr>
                <w:rFonts w:ascii="Calibri" w:eastAsia="Calibri" w:hAnsi="Calibri" w:cs="Calibri"/>
                <w:b/>
                <w:bCs/>
                <w:color w:val="1F3B57"/>
                <w:sz w:val="21"/>
                <w:szCs w:val="21"/>
              </w:rPr>
              <w:t>Recommendation for review</w:t>
            </w:r>
          </w:p>
          <w:p w14:paraId="2DA9CF49" w14:textId="77777777" w:rsidR="008F0DB7" w:rsidRDefault="00000000">
            <w:pPr>
              <w:spacing w:after="60"/>
            </w:pPr>
            <w:r>
              <w:rPr>
                <w:rFonts w:ascii="Calibri" w:eastAsia="Calibri" w:hAnsi="Calibri" w:cs="Calibri"/>
                <w:color w:val="3A3A3A"/>
              </w:rPr>
              <w:t>•  Run the Pilot phase (Section 11) against synthetic or already-scrubbed log data regardless of which option is chosen, so pilot validation is not blocked on this decision.</w:t>
            </w:r>
          </w:p>
          <w:p w14:paraId="6681FAF5" w14:textId="77777777" w:rsidR="008F0DB7" w:rsidRDefault="00000000">
            <w:pPr>
              <w:spacing w:after="60"/>
            </w:pPr>
            <w:r>
              <w:rPr>
                <w:rFonts w:ascii="Calibri" w:eastAsia="Calibri" w:hAnsi="Calibri" w:cs="Calibri"/>
                <w:color w:val="3A3A3A"/>
              </w:rPr>
              <w:t>•  Option A is the recommended target state for Integration/Scale-up given the data-boundary requirement already flagged by governance.</w:t>
            </w:r>
          </w:p>
          <w:p w14:paraId="2385883C" w14:textId="77777777" w:rsidR="008F0DB7" w:rsidRDefault="00000000">
            <w:pPr>
              <w:spacing w:after="60"/>
            </w:pPr>
            <w:r>
              <w:rPr>
                <w:rFonts w:ascii="Calibri" w:eastAsia="Calibri" w:hAnsi="Calibri" w:cs="Calibri"/>
                <w:color w:val="3A3A3A"/>
              </w:rPr>
              <w:t>•  This KDD asks governance and security to confirm Option A, Option B, or a scoped interim (e.g., Option B restricted to non-production/synthetic data only) — see Section 15.</w:t>
            </w:r>
          </w:p>
        </w:tc>
      </w:tr>
    </w:tbl>
    <w:p w14:paraId="1DF107E9"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7. Data Flow &amp; Data Classification</w:t>
      </w:r>
    </w:p>
    <w:p w14:paraId="42C93F00" w14:textId="77777777" w:rsidR="008F0DB7" w:rsidRDefault="00000000">
      <w:pPr>
        <w:pStyle w:val="Heading2"/>
        <w:spacing w:before="320" w:after="140"/>
      </w:pPr>
      <w:r>
        <w:rPr>
          <w:rFonts w:ascii="Calibri" w:eastAsia="Calibri" w:hAnsi="Calibri" w:cs="Calibri"/>
          <w:b/>
          <w:bCs/>
          <w:color w:val="2E7D6B"/>
          <w:sz w:val="24"/>
          <w:szCs w:val="24"/>
        </w:rPr>
        <w:t>7.1 Data flow (end to end)</w:t>
      </w:r>
    </w:p>
    <w:p w14:paraId="3D82B62C"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1. Performance-test artefacts (.BLG, IIS logs, LoadRunner results, SQL Server counters) reach the pipeline either by an analyst manually selecting and uploading specific files (</w:t>
      </w:r>
      <w:proofErr w:type="spellStart"/>
      <w:r>
        <w:rPr>
          <w:rFonts w:ascii="Calibri" w:eastAsia="Calibri" w:hAnsi="Calibri" w:cs="Calibri"/>
          <w:color w:val="2B2B2B"/>
          <w:sz w:val="21"/>
          <w:szCs w:val="21"/>
        </w:rPr>
        <w:t>Streamlit</w:t>
      </w:r>
      <w:proofErr w:type="spellEnd"/>
      <w:r>
        <w:rPr>
          <w:rFonts w:ascii="Calibri" w:eastAsia="Calibri" w:hAnsi="Calibri" w:cs="Calibri"/>
          <w:color w:val="2B2B2B"/>
          <w:sz w:val="21"/>
          <w:szCs w:val="21"/>
        </w:rPr>
        <w:t xml:space="preserve"> UI or CLI run), or by being written to a monitored drop folder on a test/staging host inside the client network (or a CI step) for automatic pickup.</w:t>
      </w:r>
    </w:p>
    <w:p w14:paraId="5A938149"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2. Ingestion parses them locally — on demand for manually selected files, or continuously via the file watcher for drop-folder/CI mode; parsed events are normalised and stored in a local </w:t>
      </w:r>
      <w:proofErr w:type="spellStart"/>
      <w:r>
        <w:rPr>
          <w:rFonts w:ascii="Calibri" w:eastAsia="Calibri" w:hAnsi="Calibri" w:cs="Calibri"/>
          <w:color w:val="2B2B2B"/>
          <w:sz w:val="21"/>
          <w:szCs w:val="21"/>
        </w:rPr>
        <w:t>DuckDB</w:t>
      </w:r>
      <w:proofErr w:type="spellEnd"/>
      <w:r>
        <w:rPr>
          <w:rFonts w:ascii="Calibri" w:eastAsia="Calibri" w:hAnsi="Calibri" w:cs="Calibri"/>
          <w:color w:val="2B2B2B"/>
          <w:sz w:val="21"/>
          <w:szCs w:val="21"/>
        </w:rPr>
        <w:t xml:space="preserve"> file on the same host.</w:t>
      </w:r>
    </w:p>
    <w:p w14:paraId="67D3BC69"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3. Anomaly, Trend, and Threshold agents run entirely locally against the </w:t>
      </w:r>
      <w:proofErr w:type="spellStart"/>
      <w:r>
        <w:rPr>
          <w:rFonts w:ascii="Calibri" w:eastAsia="Calibri" w:hAnsi="Calibri" w:cs="Calibri"/>
          <w:color w:val="2B2B2B"/>
          <w:sz w:val="21"/>
          <w:szCs w:val="21"/>
        </w:rPr>
        <w:t>DuckDB</w:t>
      </w:r>
      <w:proofErr w:type="spellEnd"/>
      <w:r>
        <w:rPr>
          <w:rFonts w:ascii="Calibri" w:eastAsia="Calibri" w:hAnsi="Calibri" w:cs="Calibri"/>
          <w:color w:val="2B2B2B"/>
          <w:sz w:val="21"/>
          <w:szCs w:val="21"/>
        </w:rPr>
        <w:t xml:space="preserve"> store — no external calls.</w:t>
      </w:r>
    </w:p>
    <w:p w14:paraId="40F001C1"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lastRenderedPageBreak/>
        <w:t>4. Pattern and Causal agents send a bounded excerpt of suspicious log lines / agent findings to the configured LLM endpoint (Option A or B, Section 6) and receive back structured findings.</w:t>
      </w:r>
    </w:p>
    <w:p w14:paraId="52801B62"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5. The Correlation stage combines all findings locally; the Report stage renders the HTML/PDF output to the local output folder, viewable via the </w:t>
      </w:r>
      <w:proofErr w:type="spellStart"/>
      <w:r>
        <w:rPr>
          <w:rFonts w:ascii="Calibri" w:eastAsia="Calibri" w:hAnsi="Calibri" w:cs="Calibri"/>
          <w:color w:val="2B2B2B"/>
          <w:sz w:val="21"/>
          <w:szCs w:val="21"/>
        </w:rPr>
        <w:t>Streamlit</w:t>
      </w:r>
      <w:proofErr w:type="spellEnd"/>
      <w:r>
        <w:rPr>
          <w:rFonts w:ascii="Calibri" w:eastAsia="Calibri" w:hAnsi="Calibri" w:cs="Calibri"/>
          <w:color w:val="2B2B2B"/>
          <w:sz w:val="21"/>
          <w:szCs w:val="21"/>
        </w:rPr>
        <w:t xml:space="preserve"> UI or a shared dashboard.</w:t>
      </w:r>
    </w:p>
    <w:p w14:paraId="17A76961" w14:textId="77777777" w:rsidR="008F0DB7" w:rsidRDefault="00000000">
      <w:pPr>
        <w:pStyle w:val="Heading2"/>
        <w:spacing w:before="320" w:after="140"/>
      </w:pPr>
      <w:r>
        <w:rPr>
          <w:rFonts w:ascii="Calibri" w:eastAsia="Calibri" w:hAnsi="Calibri" w:cs="Calibri"/>
          <w:b/>
          <w:bCs/>
          <w:color w:val="2E7D6B"/>
          <w:sz w:val="24"/>
          <w:szCs w:val="24"/>
        </w:rPr>
        <w:t>7.2 Data classification</w:t>
      </w:r>
    </w:p>
    <w:p w14:paraId="0C825B80" w14:textId="77777777" w:rsidR="008F0DB7" w:rsidRDefault="00000000">
      <w:pPr>
        <w:spacing w:after="160" w:line="276" w:lineRule="auto"/>
      </w:pPr>
      <w:r>
        <w:rPr>
          <w:rFonts w:ascii="Calibri" w:eastAsia="Calibri" w:hAnsi="Calibri" w:cs="Calibri"/>
          <w:color w:val="2B2B2B"/>
          <w:sz w:val="21"/>
          <w:szCs w:val="21"/>
        </w:rPr>
        <w:t>Performance-test logs may incidentally contain server hostnames, internal IP/URL paths, stack traces, and application error text. They are not expected to contain customer PII, since they originate from non-production performance-test runs; this assumption should be confirmed by the client data-governance team as part of sign-off, particularly if any test cycle uses masked or copied production data.</w:t>
      </w:r>
    </w:p>
    <w:p w14:paraId="7FFCE5E2"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8. Deployment Architecture (Client Network)</w:t>
      </w:r>
    </w:p>
    <w:p w14:paraId="240C0BA2" w14:textId="77777777" w:rsidR="008F0DB7" w:rsidRDefault="00000000">
      <w:pPr>
        <w:spacing w:after="160" w:line="276" w:lineRule="auto"/>
      </w:pPr>
      <w:r>
        <w:rPr>
          <w:rFonts w:ascii="Calibri" w:eastAsia="Calibri" w:hAnsi="Calibri" w:cs="Calibri"/>
          <w:color w:val="2B2B2B"/>
          <w:sz w:val="21"/>
          <w:szCs w:val="21"/>
        </w:rPr>
        <w:t>Proposed target-state deployment inside the Intact Insurance network:</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1700"/>
        <w:gridCol w:w="4200"/>
        <w:gridCol w:w="3640"/>
      </w:tblGrid>
      <w:tr w:rsidR="008F0DB7" w14:paraId="044BF64D" w14:textId="77777777" w:rsidTr="00481779">
        <w:trPr>
          <w:tblHeader/>
        </w:trPr>
        <w:tc>
          <w:tcPr>
            <w:tcW w:w="1700" w:type="dxa"/>
            <w:shd w:val="clear" w:color="auto" w:fill="7030A0"/>
            <w:tcMar>
              <w:top w:w="100" w:type="dxa"/>
              <w:left w:w="120" w:type="dxa"/>
              <w:bottom w:w="100" w:type="dxa"/>
              <w:right w:w="120" w:type="dxa"/>
            </w:tcMar>
          </w:tcPr>
          <w:p w14:paraId="7D271B57" w14:textId="77777777" w:rsidR="008F0DB7" w:rsidRDefault="00000000">
            <w:r>
              <w:rPr>
                <w:rFonts w:ascii="Calibri" w:eastAsia="Calibri" w:hAnsi="Calibri" w:cs="Calibri"/>
                <w:b/>
                <w:bCs/>
                <w:color w:val="FFFFFF"/>
                <w:sz w:val="19"/>
                <w:szCs w:val="19"/>
              </w:rPr>
              <w:t>Component</w:t>
            </w:r>
          </w:p>
        </w:tc>
        <w:tc>
          <w:tcPr>
            <w:tcW w:w="4200" w:type="dxa"/>
            <w:shd w:val="clear" w:color="auto" w:fill="7030A0"/>
            <w:tcMar>
              <w:top w:w="100" w:type="dxa"/>
              <w:left w:w="120" w:type="dxa"/>
              <w:bottom w:w="100" w:type="dxa"/>
              <w:right w:w="120" w:type="dxa"/>
            </w:tcMar>
          </w:tcPr>
          <w:p w14:paraId="6050E279" w14:textId="77777777" w:rsidR="008F0DB7" w:rsidRDefault="00000000">
            <w:r>
              <w:rPr>
                <w:rFonts w:ascii="Calibri" w:eastAsia="Calibri" w:hAnsi="Calibri" w:cs="Calibri"/>
                <w:b/>
                <w:bCs/>
                <w:color w:val="FFFFFF"/>
                <w:sz w:val="19"/>
                <w:szCs w:val="19"/>
              </w:rPr>
              <w:t>Placement</w:t>
            </w:r>
          </w:p>
        </w:tc>
        <w:tc>
          <w:tcPr>
            <w:tcW w:w="3640" w:type="dxa"/>
            <w:shd w:val="clear" w:color="auto" w:fill="7030A0"/>
            <w:tcMar>
              <w:top w:w="100" w:type="dxa"/>
              <w:left w:w="120" w:type="dxa"/>
              <w:bottom w:w="100" w:type="dxa"/>
              <w:right w:w="120" w:type="dxa"/>
            </w:tcMar>
          </w:tcPr>
          <w:p w14:paraId="1A0D1E31" w14:textId="77777777" w:rsidR="008F0DB7" w:rsidRDefault="00000000">
            <w:r>
              <w:rPr>
                <w:rFonts w:ascii="Calibri" w:eastAsia="Calibri" w:hAnsi="Calibri" w:cs="Calibri"/>
                <w:b/>
                <w:bCs/>
                <w:color w:val="FFFFFF"/>
                <w:sz w:val="19"/>
                <w:szCs w:val="19"/>
              </w:rPr>
              <w:t>Notes</w:t>
            </w:r>
          </w:p>
        </w:tc>
      </w:tr>
      <w:tr w:rsidR="008F0DB7" w14:paraId="60E03862" w14:textId="77777777">
        <w:tc>
          <w:tcPr>
            <w:tcW w:w="1700" w:type="dxa"/>
            <w:shd w:val="clear" w:color="auto" w:fill="FFFFFF"/>
            <w:tcMar>
              <w:top w:w="90" w:type="dxa"/>
              <w:left w:w="120" w:type="dxa"/>
              <w:bottom w:w="90" w:type="dxa"/>
              <w:right w:w="120" w:type="dxa"/>
            </w:tcMar>
          </w:tcPr>
          <w:p w14:paraId="713499CC" w14:textId="77777777" w:rsidR="008F0DB7" w:rsidRDefault="00000000">
            <w:pPr>
              <w:spacing w:after="40"/>
            </w:pPr>
            <w:r>
              <w:rPr>
                <w:rFonts w:ascii="Calibri" w:eastAsia="Calibri" w:hAnsi="Calibri" w:cs="Calibri"/>
                <w:color w:val="2B2B2B"/>
                <w:sz w:val="19"/>
                <w:szCs w:val="19"/>
              </w:rPr>
              <w:t>Pipeline host</w:t>
            </w:r>
          </w:p>
        </w:tc>
        <w:tc>
          <w:tcPr>
            <w:tcW w:w="4200" w:type="dxa"/>
            <w:shd w:val="clear" w:color="auto" w:fill="FFFFFF"/>
            <w:tcMar>
              <w:top w:w="90" w:type="dxa"/>
              <w:left w:w="120" w:type="dxa"/>
              <w:bottom w:w="90" w:type="dxa"/>
              <w:right w:w="120" w:type="dxa"/>
            </w:tcMar>
          </w:tcPr>
          <w:p w14:paraId="09FD1F4C" w14:textId="77777777" w:rsidR="008F0DB7" w:rsidRDefault="00000000">
            <w:pPr>
              <w:spacing w:after="40"/>
            </w:pPr>
            <w:r>
              <w:rPr>
                <w:rFonts w:ascii="Calibri" w:eastAsia="Calibri" w:hAnsi="Calibri" w:cs="Calibri"/>
                <w:color w:val="2B2B2B"/>
                <w:sz w:val="19"/>
                <w:szCs w:val="19"/>
              </w:rPr>
              <w:t>A Windows or Linux VM/container inside the client's performance-test environment, with network line-of-sight to the log sources (</w:t>
            </w:r>
            <w:proofErr w:type="spellStart"/>
            <w:r>
              <w:rPr>
                <w:rFonts w:ascii="Calibri" w:eastAsia="Calibri" w:hAnsi="Calibri" w:cs="Calibri"/>
                <w:color w:val="2B2B2B"/>
                <w:sz w:val="19"/>
                <w:szCs w:val="19"/>
              </w:rPr>
              <w:t>Perfmon</w:t>
            </w:r>
            <w:proofErr w:type="spellEnd"/>
            <w:r>
              <w:rPr>
                <w:rFonts w:ascii="Calibri" w:eastAsia="Calibri" w:hAnsi="Calibri" w:cs="Calibri"/>
                <w:color w:val="2B2B2B"/>
                <w:sz w:val="19"/>
                <w:szCs w:val="19"/>
              </w:rPr>
              <w:t xml:space="preserve"> collectors, IIS servers, LoadRunner controller, SQL Server).</w:t>
            </w:r>
          </w:p>
        </w:tc>
        <w:tc>
          <w:tcPr>
            <w:tcW w:w="3640" w:type="dxa"/>
            <w:shd w:val="clear" w:color="auto" w:fill="FFFFFF"/>
            <w:tcMar>
              <w:top w:w="90" w:type="dxa"/>
              <w:left w:w="120" w:type="dxa"/>
              <w:bottom w:w="90" w:type="dxa"/>
              <w:right w:w="120" w:type="dxa"/>
            </w:tcMar>
          </w:tcPr>
          <w:p w14:paraId="4EA66792" w14:textId="77777777" w:rsidR="008F0DB7" w:rsidRDefault="00000000">
            <w:pPr>
              <w:spacing w:after="40"/>
            </w:pPr>
            <w:r>
              <w:rPr>
                <w:rFonts w:ascii="Calibri" w:eastAsia="Calibri" w:hAnsi="Calibri" w:cs="Calibri"/>
                <w:color w:val="2B2B2B"/>
                <w:sz w:val="19"/>
                <w:szCs w:val="19"/>
              </w:rPr>
              <w:t xml:space="preserve">Packaged via the provided </w:t>
            </w:r>
            <w:proofErr w:type="spellStart"/>
            <w:r>
              <w:rPr>
                <w:rFonts w:ascii="Calibri" w:eastAsia="Calibri" w:hAnsi="Calibri" w:cs="Calibri"/>
                <w:color w:val="2B2B2B"/>
                <w:sz w:val="19"/>
                <w:szCs w:val="19"/>
              </w:rPr>
              <w:t>Dockerfile</w:t>
            </w:r>
            <w:proofErr w:type="spellEnd"/>
            <w:r>
              <w:rPr>
                <w:rFonts w:ascii="Calibri" w:eastAsia="Calibri" w:hAnsi="Calibri" w:cs="Calibri"/>
                <w:color w:val="2B2B2B"/>
                <w:sz w:val="19"/>
                <w:szCs w:val="19"/>
              </w:rPr>
              <w:t xml:space="preserve"> for repeatable deployment; can also run as a native Python 3.10+ install per the How-To Guide.</w:t>
            </w:r>
            <w:r>
              <w:rPr>
                <w:rFonts w:ascii="Calibri" w:hAnsi="Calibri"/>
                <w:color w:val="2B2B2B"/>
                <w:sz w:val="19"/>
              </w:rPr>
              <w:t xml:space="preserve"> Repo/solution hand-off into the Intact network is not yet defined — likely routed through </w:t>
            </w:r>
            <w:proofErr w:type="spellStart"/>
            <w:r>
              <w:rPr>
                <w:rFonts w:ascii="Calibri" w:hAnsi="Calibri"/>
                <w:color w:val="2B2B2B"/>
                <w:sz w:val="19"/>
              </w:rPr>
              <w:t>Intact's</w:t>
            </w:r>
            <w:proofErr w:type="spellEnd"/>
            <w:r>
              <w:rPr>
                <w:rFonts w:ascii="Calibri" w:hAnsi="Calibri"/>
                <w:color w:val="2B2B2B"/>
                <w:sz w:val="19"/>
              </w:rPr>
              <w:t xml:space="preserve"> code-intake process: either (a) the repo is mirrored to a Git host Intact provisions Capgemini access to (GitHub Enterprise, Azure DevOps, or GitLab) after a secrets/SAST scan, or (b) the app is shipped as a Docker image via the existing </w:t>
            </w:r>
            <w:proofErr w:type="spellStart"/>
            <w:r>
              <w:rPr>
                <w:rFonts w:ascii="Calibri" w:hAnsi="Calibri"/>
                <w:color w:val="2B2B2B"/>
                <w:sz w:val="19"/>
              </w:rPr>
              <w:t>Dockerfile</w:t>
            </w:r>
            <w:proofErr w:type="spellEnd"/>
            <w:r>
              <w:rPr>
                <w:rFonts w:ascii="Calibri" w:hAnsi="Calibri"/>
                <w:color w:val="2B2B2B"/>
                <w:sz w:val="19"/>
              </w:rPr>
              <w:t xml:space="preserve"> to an Intact-managed private registry, avoiding a literal source-code transfer, or (c) a one-time IT-approved managed file transfer if neither shared hosting option exists yet. See Open Item #7.</w:t>
            </w:r>
          </w:p>
        </w:tc>
      </w:tr>
      <w:tr w:rsidR="008F0DB7" w14:paraId="10608E9C" w14:textId="77777777">
        <w:tc>
          <w:tcPr>
            <w:tcW w:w="1700" w:type="dxa"/>
            <w:shd w:val="clear" w:color="auto" w:fill="F5F7F6"/>
            <w:tcMar>
              <w:top w:w="90" w:type="dxa"/>
              <w:left w:w="120" w:type="dxa"/>
              <w:bottom w:w="90" w:type="dxa"/>
              <w:right w:w="120" w:type="dxa"/>
            </w:tcMar>
          </w:tcPr>
          <w:p w14:paraId="14DFFA78" w14:textId="77777777" w:rsidR="008F0DB7" w:rsidRDefault="00000000">
            <w:pPr>
              <w:spacing w:after="40"/>
            </w:pPr>
            <w:r>
              <w:rPr>
                <w:rFonts w:ascii="Calibri" w:eastAsia="Calibri" w:hAnsi="Calibri" w:cs="Calibri"/>
                <w:color w:val="2B2B2B"/>
                <w:sz w:val="19"/>
                <w:szCs w:val="19"/>
              </w:rPr>
              <w:t>Drop folder / CI hook</w:t>
            </w:r>
          </w:p>
        </w:tc>
        <w:tc>
          <w:tcPr>
            <w:tcW w:w="4200" w:type="dxa"/>
            <w:shd w:val="clear" w:color="auto" w:fill="F5F7F6"/>
            <w:tcMar>
              <w:top w:w="90" w:type="dxa"/>
              <w:left w:w="120" w:type="dxa"/>
              <w:bottom w:w="90" w:type="dxa"/>
              <w:right w:w="120" w:type="dxa"/>
            </w:tcMar>
          </w:tcPr>
          <w:p w14:paraId="6F989286" w14:textId="77777777" w:rsidR="008F0DB7" w:rsidRDefault="00000000">
            <w:pPr>
              <w:spacing w:after="40"/>
            </w:pPr>
            <w:r>
              <w:rPr>
                <w:rFonts w:ascii="Calibri" w:eastAsia="Calibri" w:hAnsi="Calibri" w:cs="Calibri"/>
                <w:color w:val="2B2B2B"/>
                <w:sz w:val="19"/>
                <w:szCs w:val="19"/>
              </w:rPr>
              <w:t xml:space="preserve">A monitored folder on the pipeline host, or a CI pipeline step that copies test artefacts </w:t>
            </w:r>
            <w:proofErr w:type="gramStart"/>
            <w:r>
              <w:rPr>
                <w:rFonts w:ascii="Calibri" w:eastAsia="Calibri" w:hAnsi="Calibri" w:cs="Calibri"/>
                <w:color w:val="2B2B2B"/>
                <w:sz w:val="19"/>
                <w:szCs w:val="19"/>
              </w:rPr>
              <w:t>there</w:t>
            </w:r>
            <w:proofErr w:type="gramEnd"/>
            <w:r>
              <w:rPr>
                <w:rFonts w:ascii="Calibri" w:eastAsia="Calibri" w:hAnsi="Calibri" w:cs="Calibri"/>
                <w:color w:val="2B2B2B"/>
                <w:sz w:val="19"/>
                <w:szCs w:val="19"/>
              </w:rPr>
              <w:t xml:space="preserve"> post-run.</w:t>
            </w:r>
          </w:p>
        </w:tc>
        <w:tc>
          <w:tcPr>
            <w:tcW w:w="3640" w:type="dxa"/>
            <w:shd w:val="clear" w:color="auto" w:fill="F5F7F6"/>
            <w:tcMar>
              <w:top w:w="90" w:type="dxa"/>
              <w:left w:w="120" w:type="dxa"/>
              <w:bottom w:w="90" w:type="dxa"/>
              <w:right w:w="120" w:type="dxa"/>
            </w:tcMar>
          </w:tcPr>
          <w:p w14:paraId="4B3A2314" w14:textId="77777777" w:rsidR="008F0DB7" w:rsidRDefault="00000000">
            <w:pPr>
              <w:spacing w:after="40"/>
            </w:pPr>
            <w:r>
              <w:rPr>
                <w:rFonts w:ascii="Calibri" w:eastAsia="Calibri" w:hAnsi="Calibri" w:cs="Calibri"/>
                <w:color w:val="2B2B2B"/>
                <w:sz w:val="19"/>
                <w:szCs w:val="19"/>
              </w:rPr>
              <w:t>Enables watch mode for automatic processing (Integration phase).</w:t>
            </w:r>
          </w:p>
        </w:tc>
      </w:tr>
      <w:tr w:rsidR="008F0DB7" w14:paraId="6D73FE5C" w14:textId="77777777">
        <w:tc>
          <w:tcPr>
            <w:tcW w:w="1700" w:type="dxa"/>
            <w:shd w:val="clear" w:color="auto" w:fill="FFFFFF"/>
            <w:tcMar>
              <w:top w:w="90" w:type="dxa"/>
              <w:left w:w="120" w:type="dxa"/>
              <w:bottom w:w="90" w:type="dxa"/>
              <w:right w:w="120" w:type="dxa"/>
            </w:tcMar>
          </w:tcPr>
          <w:p w14:paraId="634BB011" w14:textId="77777777" w:rsidR="008F0DB7" w:rsidRDefault="00000000">
            <w:pPr>
              <w:spacing w:after="40"/>
            </w:pPr>
            <w:r>
              <w:rPr>
                <w:rFonts w:ascii="Calibri" w:eastAsia="Calibri" w:hAnsi="Calibri" w:cs="Calibri"/>
                <w:color w:val="2B2B2B"/>
                <w:sz w:val="19"/>
                <w:szCs w:val="19"/>
              </w:rPr>
              <w:t>Local data store</w:t>
            </w:r>
          </w:p>
        </w:tc>
        <w:tc>
          <w:tcPr>
            <w:tcW w:w="4200" w:type="dxa"/>
            <w:shd w:val="clear" w:color="auto" w:fill="FFFFFF"/>
            <w:tcMar>
              <w:top w:w="90" w:type="dxa"/>
              <w:left w:w="120" w:type="dxa"/>
              <w:bottom w:w="90" w:type="dxa"/>
              <w:right w:w="120" w:type="dxa"/>
            </w:tcMar>
          </w:tcPr>
          <w:p w14:paraId="69AE5B42" w14:textId="77777777" w:rsidR="008F0DB7" w:rsidRDefault="00000000">
            <w:pPr>
              <w:spacing w:after="40"/>
            </w:pPr>
            <w:proofErr w:type="spellStart"/>
            <w:r>
              <w:rPr>
                <w:rFonts w:ascii="Calibri" w:eastAsia="Calibri" w:hAnsi="Calibri" w:cs="Calibri"/>
                <w:color w:val="2B2B2B"/>
                <w:sz w:val="19"/>
                <w:szCs w:val="19"/>
              </w:rPr>
              <w:t>DuckDB</w:t>
            </w:r>
            <w:proofErr w:type="spellEnd"/>
            <w:r>
              <w:rPr>
                <w:rFonts w:ascii="Calibri" w:eastAsia="Calibri" w:hAnsi="Calibri" w:cs="Calibri"/>
                <w:color w:val="2B2B2B"/>
                <w:sz w:val="19"/>
                <w:szCs w:val="19"/>
              </w:rPr>
              <w:t xml:space="preserve"> file on local disk (not a network file share).</w:t>
            </w:r>
          </w:p>
        </w:tc>
        <w:tc>
          <w:tcPr>
            <w:tcW w:w="3640" w:type="dxa"/>
            <w:shd w:val="clear" w:color="auto" w:fill="FFFFFF"/>
            <w:tcMar>
              <w:top w:w="90" w:type="dxa"/>
              <w:left w:w="120" w:type="dxa"/>
              <w:bottom w:w="90" w:type="dxa"/>
              <w:right w:w="120" w:type="dxa"/>
            </w:tcMar>
          </w:tcPr>
          <w:p w14:paraId="60EFE012" w14:textId="77777777" w:rsidR="008F0DB7" w:rsidRDefault="00000000">
            <w:pPr>
              <w:spacing w:after="40"/>
            </w:pPr>
            <w:r>
              <w:rPr>
                <w:rFonts w:ascii="Calibri" w:eastAsia="Calibri" w:hAnsi="Calibri" w:cs="Calibri"/>
                <w:color w:val="2B2B2B"/>
                <w:sz w:val="19"/>
                <w:szCs w:val="19"/>
              </w:rPr>
              <w:t>Known constraint: the DB path must be on local disk, not a mounted network filesystem, to avoid WAL-locking issues — confirmed during Mac/Windows environment set-up.</w:t>
            </w:r>
          </w:p>
        </w:tc>
      </w:tr>
      <w:tr w:rsidR="008F0DB7" w14:paraId="2B7D3973" w14:textId="77777777">
        <w:tc>
          <w:tcPr>
            <w:tcW w:w="1700" w:type="dxa"/>
            <w:shd w:val="clear" w:color="auto" w:fill="F5F7F6"/>
            <w:tcMar>
              <w:top w:w="90" w:type="dxa"/>
              <w:left w:w="120" w:type="dxa"/>
              <w:bottom w:w="90" w:type="dxa"/>
              <w:right w:w="120" w:type="dxa"/>
            </w:tcMar>
          </w:tcPr>
          <w:p w14:paraId="15F1F7E0" w14:textId="77777777" w:rsidR="008F0DB7" w:rsidRDefault="00000000">
            <w:pPr>
              <w:spacing w:after="40"/>
            </w:pPr>
            <w:r>
              <w:rPr>
                <w:rFonts w:ascii="Calibri" w:eastAsia="Calibri" w:hAnsi="Calibri" w:cs="Calibri"/>
                <w:color w:val="2B2B2B"/>
                <w:sz w:val="19"/>
                <w:szCs w:val="19"/>
              </w:rPr>
              <w:t>LLM endpoint</w:t>
            </w:r>
          </w:p>
        </w:tc>
        <w:tc>
          <w:tcPr>
            <w:tcW w:w="4200" w:type="dxa"/>
            <w:shd w:val="clear" w:color="auto" w:fill="F5F7F6"/>
            <w:tcMar>
              <w:top w:w="90" w:type="dxa"/>
              <w:left w:w="120" w:type="dxa"/>
              <w:bottom w:w="90" w:type="dxa"/>
              <w:right w:w="120" w:type="dxa"/>
            </w:tcMar>
          </w:tcPr>
          <w:p w14:paraId="7EBF07CA" w14:textId="77777777" w:rsidR="008F0DB7" w:rsidRDefault="00000000">
            <w:pPr>
              <w:spacing w:after="40"/>
            </w:pPr>
            <w:r>
              <w:rPr>
                <w:rFonts w:ascii="Calibri" w:eastAsia="Calibri" w:hAnsi="Calibri" w:cs="Calibri"/>
                <w:color w:val="2B2B2B"/>
                <w:sz w:val="19"/>
                <w:szCs w:val="19"/>
              </w:rPr>
              <w:t>Per Section 6 decision — either an Azure OpenAI resource reachable from the pipeline host, or an outbound HTTPS allow-list entry for api.openai.com.</w:t>
            </w:r>
          </w:p>
        </w:tc>
        <w:tc>
          <w:tcPr>
            <w:tcW w:w="3640" w:type="dxa"/>
            <w:shd w:val="clear" w:color="auto" w:fill="F5F7F6"/>
            <w:tcMar>
              <w:top w:w="90" w:type="dxa"/>
              <w:left w:w="120" w:type="dxa"/>
              <w:bottom w:w="90" w:type="dxa"/>
              <w:right w:w="120" w:type="dxa"/>
            </w:tcMar>
          </w:tcPr>
          <w:p w14:paraId="019AD22A" w14:textId="77777777" w:rsidR="008F0DB7" w:rsidRDefault="00000000">
            <w:pPr>
              <w:spacing w:after="40"/>
            </w:pPr>
            <w:r>
              <w:rPr>
                <w:rFonts w:ascii="Calibri" w:eastAsia="Calibri" w:hAnsi="Calibri" w:cs="Calibri"/>
                <w:color w:val="2B2B2B"/>
                <w:sz w:val="19"/>
                <w:szCs w:val="19"/>
              </w:rPr>
              <w:t>Requires a firewall/proxy allow-list entry either way; proxy configuration for Azure OpenAI was already encountered and resolved during environment set-up.</w:t>
            </w:r>
          </w:p>
        </w:tc>
      </w:tr>
      <w:tr w:rsidR="008F0DB7" w14:paraId="766BC32F" w14:textId="77777777">
        <w:tc>
          <w:tcPr>
            <w:tcW w:w="1700" w:type="dxa"/>
            <w:shd w:val="clear" w:color="auto" w:fill="FFFFFF"/>
            <w:tcMar>
              <w:top w:w="90" w:type="dxa"/>
              <w:left w:w="120" w:type="dxa"/>
              <w:bottom w:w="90" w:type="dxa"/>
              <w:right w:w="120" w:type="dxa"/>
            </w:tcMar>
          </w:tcPr>
          <w:p w14:paraId="7E11C059" w14:textId="77777777" w:rsidR="008F0DB7" w:rsidRDefault="00000000">
            <w:pPr>
              <w:spacing w:after="40"/>
            </w:pPr>
            <w:r>
              <w:rPr>
                <w:rFonts w:ascii="Calibri" w:eastAsia="Calibri" w:hAnsi="Calibri" w:cs="Calibri"/>
                <w:color w:val="2B2B2B"/>
                <w:sz w:val="19"/>
                <w:szCs w:val="19"/>
              </w:rPr>
              <w:lastRenderedPageBreak/>
              <w:t>Report/dashboard access</w:t>
            </w:r>
          </w:p>
        </w:tc>
        <w:tc>
          <w:tcPr>
            <w:tcW w:w="4200" w:type="dxa"/>
            <w:shd w:val="clear" w:color="auto" w:fill="FFFFFF"/>
            <w:tcMar>
              <w:top w:w="90" w:type="dxa"/>
              <w:left w:w="120" w:type="dxa"/>
              <w:bottom w:w="90" w:type="dxa"/>
              <w:right w:w="120" w:type="dxa"/>
            </w:tcMar>
          </w:tcPr>
          <w:p w14:paraId="0A0D1E4B" w14:textId="77777777" w:rsidR="008F0DB7" w:rsidRDefault="00000000">
            <w:pPr>
              <w:spacing w:after="40"/>
            </w:pPr>
            <w:proofErr w:type="spellStart"/>
            <w:r>
              <w:rPr>
                <w:rFonts w:ascii="Calibri" w:eastAsia="Calibri" w:hAnsi="Calibri" w:cs="Calibri"/>
                <w:color w:val="2B2B2B"/>
                <w:sz w:val="19"/>
                <w:szCs w:val="19"/>
              </w:rPr>
              <w:t>Streamlit</w:t>
            </w:r>
            <w:proofErr w:type="spellEnd"/>
            <w:r>
              <w:rPr>
                <w:rFonts w:ascii="Calibri" w:eastAsia="Calibri" w:hAnsi="Calibri" w:cs="Calibri"/>
                <w:color w:val="2B2B2B"/>
                <w:sz w:val="19"/>
                <w:szCs w:val="19"/>
              </w:rPr>
              <w:t xml:space="preserve"> UI served on the pipeline host (or a shared internal URL) for the QA/performance team; static HTML/PDF reports also written to the output folder.</w:t>
            </w:r>
          </w:p>
        </w:tc>
        <w:tc>
          <w:tcPr>
            <w:tcW w:w="3640" w:type="dxa"/>
            <w:shd w:val="clear" w:color="auto" w:fill="FFFFFF"/>
            <w:tcMar>
              <w:top w:w="90" w:type="dxa"/>
              <w:left w:w="120" w:type="dxa"/>
              <w:bottom w:w="90" w:type="dxa"/>
              <w:right w:w="120" w:type="dxa"/>
            </w:tcMar>
          </w:tcPr>
          <w:p w14:paraId="344FDA05" w14:textId="6B9B1CE3" w:rsidR="008F0DB7" w:rsidRDefault="00000000">
            <w:pPr>
              <w:spacing w:after="40"/>
            </w:pPr>
            <w:r>
              <w:rPr>
                <w:rFonts w:ascii="Calibri" w:eastAsia="Calibri" w:hAnsi="Calibri" w:cs="Calibri"/>
                <w:color w:val="2B2B2B"/>
                <w:sz w:val="19"/>
                <w:szCs w:val="19"/>
              </w:rPr>
              <w:t>Access scoped to the performance team per existing access-control norms.</w:t>
            </w:r>
          </w:p>
        </w:tc>
      </w:tr>
      <w:tr w:rsidR="008F0DB7" w14:paraId="378D840D" w14:textId="77777777">
        <w:tc>
          <w:tcPr>
            <w:tcW w:w="1700" w:type="dxa"/>
            <w:shd w:val="clear" w:color="auto" w:fill="F5F7F6"/>
            <w:tcMar>
              <w:top w:w="90" w:type="dxa"/>
              <w:left w:w="120" w:type="dxa"/>
              <w:bottom w:w="90" w:type="dxa"/>
              <w:right w:w="120" w:type="dxa"/>
            </w:tcMar>
          </w:tcPr>
          <w:p w14:paraId="1F2BEC52" w14:textId="77777777" w:rsidR="008F0DB7" w:rsidRDefault="00000000">
            <w:pPr>
              <w:spacing w:after="40"/>
            </w:pPr>
            <w:r>
              <w:rPr>
                <w:rFonts w:ascii="Calibri" w:eastAsia="Calibri" w:hAnsi="Calibri" w:cs="Calibri"/>
                <w:color w:val="2B2B2B"/>
                <w:sz w:val="19"/>
                <w:szCs w:val="19"/>
              </w:rPr>
              <w:t>Secrets</w:t>
            </w:r>
          </w:p>
        </w:tc>
        <w:tc>
          <w:tcPr>
            <w:tcW w:w="4200" w:type="dxa"/>
            <w:shd w:val="clear" w:color="auto" w:fill="F5F7F6"/>
            <w:tcMar>
              <w:top w:w="90" w:type="dxa"/>
              <w:left w:w="120" w:type="dxa"/>
              <w:bottom w:w="90" w:type="dxa"/>
              <w:right w:w="120" w:type="dxa"/>
            </w:tcMar>
          </w:tcPr>
          <w:p w14:paraId="7315BE35" w14:textId="77777777" w:rsidR="008F0DB7" w:rsidRDefault="00000000">
            <w:pPr>
              <w:spacing w:after="40"/>
            </w:pPr>
            <w:r>
              <w:rPr>
                <w:rFonts w:ascii="Calibri" w:eastAsia="Calibri" w:hAnsi="Calibri" w:cs="Calibri"/>
                <w:color w:val="2B2B2B"/>
                <w:sz w:val="19"/>
                <w:szCs w:val="19"/>
              </w:rPr>
              <w:t>.env file (or client-preferred secrets manager) holding the LLM API key / Azure OpenAI credentials.</w:t>
            </w:r>
          </w:p>
        </w:tc>
        <w:tc>
          <w:tcPr>
            <w:tcW w:w="3640" w:type="dxa"/>
            <w:shd w:val="clear" w:color="auto" w:fill="F5F7F6"/>
            <w:tcMar>
              <w:top w:w="90" w:type="dxa"/>
              <w:left w:w="120" w:type="dxa"/>
              <w:bottom w:w="90" w:type="dxa"/>
              <w:right w:w="120" w:type="dxa"/>
            </w:tcMar>
          </w:tcPr>
          <w:p w14:paraId="242EEED7" w14:textId="77777777" w:rsidR="008F0DB7" w:rsidRDefault="00000000">
            <w:pPr>
              <w:spacing w:after="40"/>
            </w:pPr>
            <w:r>
              <w:rPr>
                <w:rFonts w:ascii="Calibri" w:eastAsia="Calibri" w:hAnsi="Calibri" w:cs="Calibri"/>
                <w:color w:val="2B2B2B"/>
                <w:sz w:val="19"/>
                <w:szCs w:val="19"/>
              </w:rPr>
              <w:t xml:space="preserve">Recommend migrating from a </w:t>
            </w:r>
            <w:proofErr w:type="gramStart"/>
            <w:r>
              <w:rPr>
                <w:rFonts w:ascii="Calibri" w:eastAsia="Calibri" w:hAnsi="Calibri" w:cs="Calibri"/>
                <w:color w:val="2B2B2B"/>
                <w:sz w:val="19"/>
                <w:szCs w:val="19"/>
              </w:rPr>
              <w:t>plain .env</w:t>
            </w:r>
            <w:proofErr w:type="gramEnd"/>
            <w:r>
              <w:rPr>
                <w:rFonts w:ascii="Calibri" w:eastAsia="Calibri" w:hAnsi="Calibri" w:cs="Calibri"/>
                <w:color w:val="2B2B2B"/>
                <w:sz w:val="19"/>
                <w:szCs w:val="19"/>
              </w:rPr>
              <w:t xml:space="preserve"> to the client's standard secrets-management approach (e.g., Azure Key Vault) if Option A is adopted.</w:t>
            </w:r>
          </w:p>
        </w:tc>
      </w:tr>
    </w:tbl>
    <w:p w14:paraId="4B0FA74F"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9. Security &amp; Compliance Considerations</w:t>
      </w:r>
    </w:p>
    <w:p w14:paraId="32927191"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Governance/security sign-off on the LLM call path (Section 6) is the primary open gate for this deployment and should be resolved before Integration phase begins.</w:t>
      </w:r>
    </w:p>
    <w:p w14:paraId="371BA8C9"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Outbound network access: the pipeline host requires an outbound HTTPS allow-list entry to either the client's Azure OpenAI endpoint or api.openai.com, depending on the Section 6 decision — to be requested through the client's standard firewall-change process.</w:t>
      </w:r>
    </w:p>
    <w:p w14:paraId="3B26EA15" w14:textId="75ECDD93"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Credential handling: LLM API keys / Azure OpenAI credentials should not be committed to source control; use environment variables or a managed secrets store, consistent with existing </w:t>
      </w:r>
      <w:r w:rsidR="00B07709">
        <w:rPr>
          <w:rFonts w:ascii="Calibri" w:eastAsia="Calibri" w:hAnsi="Calibri" w:cs="Calibri"/>
          <w:color w:val="2B2B2B"/>
          <w:sz w:val="21"/>
          <w:szCs w:val="21"/>
        </w:rPr>
        <w:t>intact</w:t>
      </w:r>
      <w:r>
        <w:rPr>
          <w:rFonts w:ascii="Calibri" w:eastAsia="Calibri" w:hAnsi="Calibri" w:cs="Calibri"/>
          <w:color w:val="2B2B2B"/>
          <w:sz w:val="21"/>
          <w:szCs w:val="21"/>
        </w:rPr>
        <w:t xml:space="preserve"> engagement security practice.</w:t>
      </w:r>
    </w:p>
    <w:p w14:paraId="5EEEF0E8"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Data residency: if Option A (client-hosted Azure OpenAI) is adopted, confirm the Azure region and any data-residency requirement specific to the Intact Insurance engagement.</w:t>
      </w:r>
    </w:p>
    <w:p w14:paraId="0F9CE6DA"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Access control: restrict who can view the </w:t>
      </w:r>
      <w:proofErr w:type="spellStart"/>
      <w:r>
        <w:rPr>
          <w:rFonts w:ascii="Calibri" w:eastAsia="Calibri" w:hAnsi="Calibri" w:cs="Calibri"/>
          <w:color w:val="2B2B2B"/>
          <w:sz w:val="21"/>
          <w:szCs w:val="21"/>
        </w:rPr>
        <w:t>Streamlit</w:t>
      </w:r>
      <w:proofErr w:type="spellEnd"/>
      <w:r>
        <w:rPr>
          <w:rFonts w:ascii="Calibri" w:eastAsia="Calibri" w:hAnsi="Calibri" w:cs="Calibri"/>
          <w:color w:val="2B2B2B"/>
          <w:sz w:val="21"/>
          <w:szCs w:val="21"/>
        </w:rPr>
        <w:t xml:space="preserve"> dashboard and generated reports to the DAQE-NFT team and named client stakeholders (e.g., Donald, Pramod), consistent with the confidentiality of performance-test findings.</w:t>
      </w:r>
    </w:p>
    <w:p w14:paraId="1150E242"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Change management: deployment to the client network should follow the client's standard environment change-request process for new software/services introduced into their test environment.</w:t>
      </w:r>
    </w:p>
    <w:p w14:paraId="6704C621"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10. Configuration &amp; SLA Thresholds</w:t>
      </w:r>
    </w:p>
    <w:p w14:paraId="3D31DD1E" w14:textId="77777777" w:rsidR="008F0DB7" w:rsidRDefault="00000000">
      <w:pPr>
        <w:spacing w:after="160" w:line="276" w:lineRule="auto"/>
      </w:pPr>
      <w:r>
        <w:rPr>
          <w:rFonts w:ascii="Calibri" w:eastAsia="Calibri" w:hAnsi="Calibri" w:cs="Calibri"/>
          <w:color w:val="2B2B2B"/>
          <w:sz w:val="21"/>
          <w:szCs w:val="21"/>
        </w:rPr>
        <w:t xml:space="preserve">All thresholds are externalised in </w:t>
      </w:r>
      <w:proofErr w:type="gramStart"/>
      <w:r>
        <w:rPr>
          <w:rFonts w:ascii="Calibri" w:eastAsia="Calibri" w:hAnsi="Calibri" w:cs="Calibri"/>
          <w:color w:val="2B2B2B"/>
          <w:sz w:val="21"/>
          <w:szCs w:val="21"/>
        </w:rPr>
        <w:t>config.yaml</w:t>
      </w:r>
      <w:proofErr w:type="gramEnd"/>
      <w:r>
        <w:rPr>
          <w:rFonts w:ascii="Calibri" w:eastAsia="Calibri" w:hAnsi="Calibri" w:cs="Calibri"/>
          <w:color w:val="2B2B2B"/>
          <w:sz w:val="21"/>
          <w:szCs w:val="21"/>
        </w:rPr>
        <w:t xml:space="preserve"> and are intended to be tuned to Intact Insurance's specific SLAs during the Pilot phase, not hard-coded.</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3200"/>
        <w:gridCol w:w="3200"/>
        <w:gridCol w:w="3140"/>
      </w:tblGrid>
      <w:tr w:rsidR="008F0DB7" w14:paraId="4E1D8F93" w14:textId="77777777" w:rsidTr="00B07709">
        <w:trPr>
          <w:tblHeader/>
        </w:trPr>
        <w:tc>
          <w:tcPr>
            <w:tcW w:w="3200" w:type="dxa"/>
            <w:shd w:val="clear" w:color="auto" w:fill="7030A0"/>
            <w:tcMar>
              <w:top w:w="100" w:type="dxa"/>
              <w:left w:w="120" w:type="dxa"/>
              <w:bottom w:w="100" w:type="dxa"/>
              <w:right w:w="120" w:type="dxa"/>
            </w:tcMar>
          </w:tcPr>
          <w:p w14:paraId="3CFCAEC7" w14:textId="77777777" w:rsidR="008F0DB7" w:rsidRDefault="00000000">
            <w:r>
              <w:rPr>
                <w:rFonts w:ascii="Calibri" w:eastAsia="Calibri" w:hAnsi="Calibri" w:cs="Calibri"/>
                <w:b/>
                <w:bCs/>
                <w:color w:val="FFFFFF"/>
                <w:sz w:val="19"/>
                <w:szCs w:val="19"/>
              </w:rPr>
              <w:t>Category</w:t>
            </w:r>
          </w:p>
        </w:tc>
        <w:tc>
          <w:tcPr>
            <w:tcW w:w="3200" w:type="dxa"/>
            <w:shd w:val="clear" w:color="auto" w:fill="7030A0"/>
            <w:tcMar>
              <w:top w:w="100" w:type="dxa"/>
              <w:left w:w="120" w:type="dxa"/>
              <w:bottom w:w="100" w:type="dxa"/>
              <w:right w:w="120" w:type="dxa"/>
            </w:tcMar>
          </w:tcPr>
          <w:p w14:paraId="44C9CAD4" w14:textId="77777777" w:rsidR="008F0DB7" w:rsidRDefault="00000000">
            <w:r>
              <w:rPr>
                <w:rFonts w:ascii="Calibri" w:eastAsia="Calibri" w:hAnsi="Calibri" w:cs="Calibri"/>
                <w:b/>
                <w:bCs/>
                <w:color w:val="FFFFFF"/>
                <w:sz w:val="19"/>
                <w:szCs w:val="19"/>
              </w:rPr>
              <w:t>Default value</w:t>
            </w:r>
          </w:p>
        </w:tc>
        <w:tc>
          <w:tcPr>
            <w:tcW w:w="3140" w:type="dxa"/>
            <w:shd w:val="clear" w:color="auto" w:fill="7030A0"/>
            <w:tcMar>
              <w:top w:w="100" w:type="dxa"/>
              <w:left w:w="120" w:type="dxa"/>
              <w:bottom w:w="100" w:type="dxa"/>
              <w:right w:w="120" w:type="dxa"/>
            </w:tcMar>
          </w:tcPr>
          <w:p w14:paraId="0C770C3F" w14:textId="77777777" w:rsidR="008F0DB7" w:rsidRDefault="00000000">
            <w:r>
              <w:rPr>
                <w:rFonts w:ascii="Calibri" w:eastAsia="Calibri" w:hAnsi="Calibri" w:cs="Calibri"/>
                <w:b/>
                <w:bCs/>
                <w:color w:val="FFFFFF"/>
                <w:sz w:val="19"/>
                <w:szCs w:val="19"/>
              </w:rPr>
              <w:t>Purpose</w:t>
            </w:r>
          </w:p>
        </w:tc>
      </w:tr>
      <w:tr w:rsidR="008F0DB7" w14:paraId="78BA4D9A" w14:textId="77777777">
        <w:tc>
          <w:tcPr>
            <w:tcW w:w="3200" w:type="dxa"/>
            <w:shd w:val="clear" w:color="auto" w:fill="FFFFFF"/>
            <w:tcMar>
              <w:top w:w="90" w:type="dxa"/>
              <w:left w:w="120" w:type="dxa"/>
              <w:bottom w:w="90" w:type="dxa"/>
              <w:right w:w="120" w:type="dxa"/>
            </w:tcMar>
          </w:tcPr>
          <w:p w14:paraId="5F19C734" w14:textId="77777777" w:rsidR="008F0DB7" w:rsidRDefault="00000000">
            <w:pPr>
              <w:spacing w:after="40"/>
            </w:pPr>
            <w:proofErr w:type="spellStart"/>
            <w:r>
              <w:rPr>
                <w:rFonts w:ascii="Calibri" w:eastAsia="Calibri" w:hAnsi="Calibri" w:cs="Calibri"/>
                <w:color w:val="2B2B2B"/>
                <w:sz w:val="19"/>
                <w:szCs w:val="19"/>
              </w:rPr>
              <w:t>Avg</w:t>
            </w:r>
            <w:proofErr w:type="spellEnd"/>
            <w:r>
              <w:rPr>
                <w:rFonts w:ascii="Calibri" w:eastAsia="Calibri" w:hAnsi="Calibri" w:cs="Calibri"/>
                <w:color w:val="2B2B2B"/>
                <w:sz w:val="19"/>
                <w:szCs w:val="19"/>
              </w:rPr>
              <w:t xml:space="preserve"> response time (pass/fail gate)</w:t>
            </w:r>
          </w:p>
        </w:tc>
        <w:tc>
          <w:tcPr>
            <w:tcW w:w="3200" w:type="dxa"/>
            <w:shd w:val="clear" w:color="auto" w:fill="FFFFFF"/>
            <w:tcMar>
              <w:top w:w="90" w:type="dxa"/>
              <w:left w:w="120" w:type="dxa"/>
              <w:bottom w:w="90" w:type="dxa"/>
              <w:right w:w="120" w:type="dxa"/>
            </w:tcMar>
          </w:tcPr>
          <w:p w14:paraId="7AFBF6B2" w14:textId="77777777" w:rsidR="008F0DB7" w:rsidRDefault="00000000">
            <w:pPr>
              <w:spacing w:after="40"/>
            </w:pPr>
            <w:r>
              <w:rPr>
                <w:rFonts w:ascii="Calibri" w:eastAsia="Calibri" w:hAnsi="Calibri" w:cs="Calibri"/>
                <w:color w:val="2B2B2B"/>
                <w:sz w:val="19"/>
                <w:szCs w:val="19"/>
              </w:rPr>
              <w:t>&lt; 1.0 s</w:t>
            </w:r>
          </w:p>
        </w:tc>
        <w:tc>
          <w:tcPr>
            <w:tcW w:w="3140" w:type="dxa"/>
            <w:shd w:val="clear" w:color="auto" w:fill="FFFFFF"/>
            <w:tcMar>
              <w:top w:w="90" w:type="dxa"/>
              <w:left w:w="120" w:type="dxa"/>
              <w:bottom w:w="90" w:type="dxa"/>
              <w:right w:w="120" w:type="dxa"/>
            </w:tcMar>
          </w:tcPr>
          <w:p w14:paraId="2F33FE94" w14:textId="77777777" w:rsidR="008F0DB7" w:rsidRDefault="00000000">
            <w:pPr>
              <w:spacing w:after="40"/>
            </w:pPr>
            <w:r>
              <w:rPr>
                <w:rFonts w:ascii="Calibri" w:eastAsia="Calibri" w:hAnsi="Calibri" w:cs="Calibri"/>
                <w:color w:val="2B2B2B"/>
                <w:sz w:val="19"/>
                <w:szCs w:val="19"/>
              </w:rPr>
              <w:t>Overall verdict gate</w:t>
            </w:r>
          </w:p>
        </w:tc>
      </w:tr>
      <w:tr w:rsidR="008F0DB7" w14:paraId="2E87073E" w14:textId="77777777">
        <w:tc>
          <w:tcPr>
            <w:tcW w:w="3200" w:type="dxa"/>
            <w:shd w:val="clear" w:color="auto" w:fill="F5F7F6"/>
            <w:tcMar>
              <w:top w:w="90" w:type="dxa"/>
              <w:left w:w="120" w:type="dxa"/>
              <w:bottom w:w="90" w:type="dxa"/>
              <w:right w:w="120" w:type="dxa"/>
            </w:tcMar>
          </w:tcPr>
          <w:p w14:paraId="1E4004FC" w14:textId="77777777" w:rsidR="008F0DB7" w:rsidRDefault="00000000">
            <w:pPr>
              <w:spacing w:after="40"/>
            </w:pPr>
            <w:r>
              <w:rPr>
                <w:rFonts w:ascii="Calibri" w:eastAsia="Calibri" w:hAnsi="Calibri" w:cs="Calibri"/>
                <w:color w:val="2B2B2B"/>
                <w:sz w:val="19"/>
                <w:szCs w:val="19"/>
              </w:rPr>
              <w:t>p95 latency</w:t>
            </w:r>
          </w:p>
        </w:tc>
        <w:tc>
          <w:tcPr>
            <w:tcW w:w="3200" w:type="dxa"/>
            <w:shd w:val="clear" w:color="auto" w:fill="F5F7F6"/>
            <w:tcMar>
              <w:top w:w="90" w:type="dxa"/>
              <w:left w:w="120" w:type="dxa"/>
              <w:bottom w:w="90" w:type="dxa"/>
              <w:right w:w="120" w:type="dxa"/>
            </w:tcMar>
          </w:tcPr>
          <w:p w14:paraId="190BEA93" w14:textId="77777777" w:rsidR="008F0DB7" w:rsidRDefault="00000000">
            <w:pPr>
              <w:spacing w:after="40"/>
            </w:pPr>
            <w:r>
              <w:rPr>
                <w:rFonts w:ascii="Calibri" w:eastAsia="Calibri" w:hAnsi="Calibri" w:cs="Calibri"/>
                <w:color w:val="2B2B2B"/>
                <w:sz w:val="19"/>
                <w:szCs w:val="19"/>
              </w:rPr>
              <w:t xml:space="preserve">2000 </w:t>
            </w:r>
            <w:proofErr w:type="spellStart"/>
            <w:r>
              <w:rPr>
                <w:rFonts w:ascii="Calibri" w:eastAsia="Calibri" w:hAnsi="Calibri" w:cs="Calibri"/>
                <w:color w:val="2B2B2B"/>
                <w:sz w:val="19"/>
                <w:szCs w:val="19"/>
              </w:rPr>
              <w:t>ms</w:t>
            </w:r>
            <w:proofErr w:type="spellEnd"/>
          </w:p>
        </w:tc>
        <w:tc>
          <w:tcPr>
            <w:tcW w:w="3140" w:type="dxa"/>
            <w:shd w:val="clear" w:color="auto" w:fill="F5F7F6"/>
            <w:tcMar>
              <w:top w:w="90" w:type="dxa"/>
              <w:left w:w="120" w:type="dxa"/>
              <w:bottom w:w="90" w:type="dxa"/>
              <w:right w:w="120" w:type="dxa"/>
            </w:tcMar>
          </w:tcPr>
          <w:p w14:paraId="7932D7A0" w14:textId="77777777" w:rsidR="008F0DB7" w:rsidRDefault="00000000">
            <w:pPr>
              <w:spacing w:after="40"/>
            </w:pPr>
            <w:r>
              <w:rPr>
                <w:rFonts w:ascii="Calibri" w:eastAsia="Calibri" w:hAnsi="Calibri" w:cs="Calibri"/>
                <w:color w:val="2B2B2B"/>
                <w:sz w:val="19"/>
                <w:szCs w:val="19"/>
              </w:rPr>
              <w:t>Threshold-agent SLA rule</w:t>
            </w:r>
          </w:p>
        </w:tc>
      </w:tr>
      <w:tr w:rsidR="008F0DB7" w14:paraId="4FDFAB1B" w14:textId="77777777">
        <w:tc>
          <w:tcPr>
            <w:tcW w:w="3200" w:type="dxa"/>
            <w:shd w:val="clear" w:color="auto" w:fill="FFFFFF"/>
            <w:tcMar>
              <w:top w:w="90" w:type="dxa"/>
              <w:left w:w="120" w:type="dxa"/>
              <w:bottom w:w="90" w:type="dxa"/>
              <w:right w:w="120" w:type="dxa"/>
            </w:tcMar>
          </w:tcPr>
          <w:p w14:paraId="0D2DA194" w14:textId="77777777" w:rsidR="008F0DB7" w:rsidRDefault="00000000">
            <w:pPr>
              <w:spacing w:after="40"/>
            </w:pPr>
            <w:r>
              <w:rPr>
                <w:rFonts w:ascii="Calibri" w:eastAsia="Calibri" w:hAnsi="Calibri" w:cs="Calibri"/>
                <w:color w:val="2B2B2B"/>
                <w:sz w:val="19"/>
                <w:szCs w:val="19"/>
              </w:rPr>
              <w:t>Error rate</w:t>
            </w:r>
          </w:p>
        </w:tc>
        <w:tc>
          <w:tcPr>
            <w:tcW w:w="3200" w:type="dxa"/>
            <w:shd w:val="clear" w:color="auto" w:fill="FFFFFF"/>
            <w:tcMar>
              <w:top w:w="90" w:type="dxa"/>
              <w:left w:w="120" w:type="dxa"/>
              <w:bottom w:w="90" w:type="dxa"/>
              <w:right w:w="120" w:type="dxa"/>
            </w:tcMar>
          </w:tcPr>
          <w:p w14:paraId="2A9C6C41" w14:textId="77777777" w:rsidR="008F0DB7" w:rsidRDefault="00000000">
            <w:pPr>
              <w:spacing w:after="40"/>
            </w:pPr>
            <w:r>
              <w:rPr>
                <w:rFonts w:ascii="Calibri" w:eastAsia="Calibri" w:hAnsi="Calibri" w:cs="Calibri"/>
                <w:color w:val="2B2B2B"/>
                <w:sz w:val="19"/>
                <w:szCs w:val="19"/>
              </w:rPr>
              <w:t>≤ 1.0%</w:t>
            </w:r>
          </w:p>
        </w:tc>
        <w:tc>
          <w:tcPr>
            <w:tcW w:w="3140" w:type="dxa"/>
            <w:shd w:val="clear" w:color="auto" w:fill="FFFFFF"/>
            <w:tcMar>
              <w:top w:w="90" w:type="dxa"/>
              <w:left w:w="120" w:type="dxa"/>
              <w:bottom w:w="90" w:type="dxa"/>
              <w:right w:w="120" w:type="dxa"/>
            </w:tcMar>
          </w:tcPr>
          <w:p w14:paraId="4DF1CA03" w14:textId="77777777" w:rsidR="008F0DB7" w:rsidRDefault="00000000">
            <w:pPr>
              <w:spacing w:after="40"/>
            </w:pPr>
            <w:r>
              <w:rPr>
                <w:rFonts w:ascii="Calibri" w:eastAsia="Calibri" w:hAnsi="Calibri" w:cs="Calibri"/>
                <w:color w:val="2B2B2B"/>
                <w:sz w:val="19"/>
                <w:szCs w:val="19"/>
              </w:rPr>
              <w:t>Threshold-agent SLA rule</w:t>
            </w:r>
          </w:p>
        </w:tc>
      </w:tr>
      <w:tr w:rsidR="008F0DB7" w14:paraId="2808F92F" w14:textId="77777777">
        <w:tc>
          <w:tcPr>
            <w:tcW w:w="3200" w:type="dxa"/>
            <w:shd w:val="clear" w:color="auto" w:fill="F5F7F6"/>
            <w:tcMar>
              <w:top w:w="90" w:type="dxa"/>
              <w:left w:w="120" w:type="dxa"/>
              <w:bottom w:w="90" w:type="dxa"/>
              <w:right w:w="120" w:type="dxa"/>
            </w:tcMar>
          </w:tcPr>
          <w:p w14:paraId="52B418BA" w14:textId="77777777" w:rsidR="008F0DB7" w:rsidRDefault="00000000">
            <w:pPr>
              <w:spacing w:after="40"/>
            </w:pPr>
            <w:r>
              <w:rPr>
                <w:rFonts w:ascii="Calibri" w:eastAsia="Calibri" w:hAnsi="Calibri" w:cs="Calibri"/>
                <w:color w:val="2B2B2B"/>
                <w:sz w:val="19"/>
                <w:szCs w:val="19"/>
              </w:rPr>
              <w:t>TPS drop alert</w:t>
            </w:r>
          </w:p>
        </w:tc>
        <w:tc>
          <w:tcPr>
            <w:tcW w:w="3200" w:type="dxa"/>
            <w:shd w:val="clear" w:color="auto" w:fill="F5F7F6"/>
            <w:tcMar>
              <w:top w:w="90" w:type="dxa"/>
              <w:left w:w="120" w:type="dxa"/>
              <w:bottom w:w="90" w:type="dxa"/>
              <w:right w:w="120" w:type="dxa"/>
            </w:tcMar>
          </w:tcPr>
          <w:p w14:paraId="62258351" w14:textId="77777777" w:rsidR="008F0DB7" w:rsidRDefault="00000000">
            <w:pPr>
              <w:spacing w:after="40"/>
            </w:pPr>
            <w:r>
              <w:rPr>
                <w:rFonts w:ascii="Calibri" w:eastAsia="Calibri" w:hAnsi="Calibri" w:cs="Calibri"/>
                <w:color w:val="2B2B2B"/>
                <w:sz w:val="19"/>
                <w:szCs w:val="19"/>
              </w:rPr>
              <w:t>&gt; 20% vs. baseline</w:t>
            </w:r>
          </w:p>
        </w:tc>
        <w:tc>
          <w:tcPr>
            <w:tcW w:w="3140" w:type="dxa"/>
            <w:shd w:val="clear" w:color="auto" w:fill="F5F7F6"/>
            <w:tcMar>
              <w:top w:w="90" w:type="dxa"/>
              <w:left w:w="120" w:type="dxa"/>
              <w:bottom w:w="90" w:type="dxa"/>
              <w:right w:w="120" w:type="dxa"/>
            </w:tcMar>
          </w:tcPr>
          <w:p w14:paraId="542B9BE8" w14:textId="77777777" w:rsidR="008F0DB7" w:rsidRDefault="00000000">
            <w:pPr>
              <w:spacing w:after="40"/>
            </w:pPr>
            <w:r>
              <w:rPr>
                <w:rFonts w:ascii="Calibri" w:eastAsia="Calibri" w:hAnsi="Calibri" w:cs="Calibri"/>
                <w:color w:val="2B2B2B"/>
                <w:sz w:val="19"/>
                <w:szCs w:val="19"/>
              </w:rPr>
              <w:t>Throughput degradation alert</w:t>
            </w:r>
          </w:p>
        </w:tc>
      </w:tr>
      <w:tr w:rsidR="008F0DB7" w14:paraId="2D8CD06B" w14:textId="77777777">
        <w:tc>
          <w:tcPr>
            <w:tcW w:w="3200" w:type="dxa"/>
            <w:shd w:val="clear" w:color="auto" w:fill="FFFFFF"/>
            <w:tcMar>
              <w:top w:w="90" w:type="dxa"/>
              <w:left w:w="120" w:type="dxa"/>
              <w:bottom w:w="90" w:type="dxa"/>
              <w:right w:w="120" w:type="dxa"/>
            </w:tcMar>
          </w:tcPr>
          <w:p w14:paraId="7B4C5B1C" w14:textId="77777777" w:rsidR="008F0DB7" w:rsidRDefault="00000000">
            <w:pPr>
              <w:spacing w:after="40"/>
            </w:pPr>
            <w:r>
              <w:rPr>
                <w:rFonts w:ascii="Calibri" w:eastAsia="Calibri" w:hAnsi="Calibri" w:cs="Calibri"/>
                <w:color w:val="2B2B2B"/>
                <w:sz w:val="19"/>
                <w:szCs w:val="19"/>
              </w:rPr>
              <w:lastRenderedPageBreak/>
              <w:t>CPU</w:t>
            </w:r>
          </w:p>
        </w:tc>
        <w:tc>
          <w:tcPr>
            <w:tcW w:w="3200" w:type="dxa"/>
            <w:shd w:val="clear" w:color="auto" w:fill="FFFFFF"/>
            <w:tcMar>
              <w:top w:w="90" w:type="dxa"/>
              <w:left w:w="120" w:type="dxa"/>
              <w:bottom w:w="90" w:type="dxa"/>
              <w:right w:w="120" w:type="dxa"/>
            </w:tcMar>
          </w:tcPr>
          <w:p w14:paraId="3B50359C" w14:textId="77777777" w:rsidR="008F0DB7" w:rsidRDefault="00000000">
            <w:pPr>
              <w:spacing w:after="40"/>
            </w:pPr>
            <w:r>
              <w:rPr>
                <w:rFonts w:ascii="Calibri" w:eastAsia="Calibri" w:hAnsi="Calibri" w:cs="Calibri"/>
                <w:color w:val="2B2B2B"/>
                <w:sz w:val="19"/>
                <w:szCs w:val="19"/>
              </w:rPr>
              <w:t>85%</w:t>
            </w:r>
          </w:p>
        </w:tc>
        <w:tc>
          <w:tcPr>
            <w:tcW w:w="3140" w:type="dxa"/>
            <w:shd w:val="clear" w:color="auto" w:fill="FFFFFF"/>
            <w:tcMar>
              <w:top w:w="90" w:type="dxa"/>
              <w:left w:w="120" w:type="dxa"/>
              <w:bottom w:w="90" w:type="dxa"/>
              <w:right w:w="120" w:type="dxa"/>
            </w:tcMar>
          </w:tcPr>
          <w:p w14:paraId="0F2585DB" w14:textId="77777777" w:rsidR="008F0DB7" w:rsidRDefault="00000000">
            <w:pPr>
              <w:spacing w:after="40"/>
            </w:pPr>
            <w:r>
              <w:rPr>
                <w:rFonts w:ascii="Calibri" w:eastAsia="Calibri" w:hAnsi="Calibri" w:cs="Calibri"/>
                <w:color w:val="2B2B2B"/>
                <w:sz w:val="19"/>
                <w:szCs w:val="19"/>
              </w:rPr>
              <w:t>Resource alert threshold</w:t>
            </w:r>
          </w:p>
        </w:tc>
      </w:tr>
      <w:tr w:rsidR="008F0DB7" w14:paraId="26ED925F" w14:textId="77777777">
        <w:tc>
          <w:tcPr>
            <w:tcW w:w="3200" w:type="dxa"/>
            <w:shd w:val="clear" w:color="auto" w:fill="F5F7F6"/>
            <w:tcMar>
              <w:top w:w="90" w:type="dxa"/>
              <w:left w:w="120" w:type="dxa"/>
              <w:bottom w:w="90" w:type="dxa"/>
              <w:right w:w="120" w:type="dxa"/>
            </w:tcMar>
          </w:tcPr>
          <w:p w14:paraId="0E2452A5" w14:textId="77777777" w:rsidR="008F0DB7" w:rsidRDefault="00000000">
            <w:pPr>
              <w:spacing w:after="40"/>
            </w:pPr>
            <w:r>
              <w:rPr>
                <w:rFonts w:ascii="Calibri" w:eastAsia="Calibri" w:hAnsi="Calibri" w:cs="Calibri"/>
                <w:color w:val="2B2B2B"/>
                <w:sz w:val="19"/>
                <w:szCs w:val="19"/>
              </w:rPr>
              <w:t>Memory</w:t>
            </w:r>
          </w:p>
        </w:tc>
        <w:tc>
          <w:tcPr>
            <w:tcW w:w="3200" w:type="dxa"/>
            <w:shd w:val="clear" w:color="auto" w:fill="F5F7F6"/>
            <w:tcMar>
              <w:top w:w="90" w:type="dxa"/>
              <w:left w:w="120" w:type="dxa"/>
              <w:bottom w:w="90" w:type="dxa"/>
              <w:right w:w="120" w:type="dxa"/>
            </w:tcMar>
          </w:tcPr>
          <w:p w14:paraId="22833925" w14:textId="77777777" w:rsidR="008F0DB7" w:rsidRDefault="00000000">
            <w:pPr>
              <w:spacing w:after="40"/>
            </w:pPr>
            <w:r>
              <w:rPr>
                <w:rFonts w:ascii="Calibri" w:eastAsia="Calibri" w:hAnsi="Calibri" w:cs="Calibri"/>
                <w:color w:val="2B2B2B"/>
                <w:sz w:val="19"/>
                <w:szCs w:val="19"/>
              </w:rPr>
              <w:t>90%</w:t>
            </w:r>
          </w:p>
        </w:tc>
        <w:tc>
          <w:tcPr>
            <w:tcW w:w="3140" w:type="dxa"/>
            <w:shd w:val="clear" w:color="auto" w:fill="F5F7F6"/>
            <w:tcMar>
              <w:top w:w="90" w:type="dxa"/>
              <w:left w:w="120" w:type="dxa"/>
              <w:bottom w:w="90" w:type="dxa"/>
              <w:right w:w="120" w:type="dxa"/>
            </w:tcMar>
          </w:tcPr>
          <w:p w14:paraId="1F33F292" w14:textId="77777777" w:rsidR="008F0DB7" w:rsidRDefault="00000000">
            <w:pPr>
              <w:spacing w:after="40"/>
            </w:pPr>
            <w:r>
              <w:rPr>
                <w:rFonts w:ascii="Calibri" w:eastAsia="Calibri" w:hAnsi="Calibri" w:cs="Calibri"/>
                <w:color w:val="2B2B2B"/>
                <w:sz w:val="19"/>
                <w:szCs w:val="19"/>
              </w:rPr>
              <w:t>Resource alert threshold</w:t>
            </w:r>
          </w:p>
        </w:tc>
      </w:tr>
      <w:tr w:rsidR="008F0DB7" w14:paraId="451EBC40" w14:textId="77777777">
        <w:tc>
          <w:tcPr>
            <w:tcW w:w="3200" w:type="dxa"/>
            <w:shd w:val="clear" w:color="auto" w:fill="FFFFFF"/>
            <w:tcMar>
              <w:top w:w="90" w:type="dxa"/>
              <w:left w:w="120" w:type="dxa"/>
              <w:bottom w:w="90" w:type="dxa"/>
              <w:right w:w="120" w:type="dxa"/>
            </w:tcMar>
          </w:tcPr>
          <w:p w14:paraId="03151D5C" w14:textId="77777777" w:rsidR="008F0DB7" w:rsidRDefault="00000000">
            <w:pPr>
              <w:spacing w:after="40"/>
            </w:pPr>
            <w:r>
              <w:rPr>
                <w:rFonts w:ascii="Calibri" w:eastAsia="Calibri" w:hAnsi="Calibri" w:cs="Calibri"/>
                <w:color w:val="2B2B2B"/>
                <w:sz w:val="19"/>
                <w:szCs w:val="19"/>
              </w:rPr>
              <w:t>Disk queue length</w:t>
            </w:r>
          </w:p>
        </w:tc>
        <w:tc>
          <w:tcPr>
            <w:tcW w:w="3200" w:type="dxa"/>
            <w:shd w:val="clear" w:color="auto" w:fill="FFFFFF"/>
            <w:tcMar>
              <w:top w:w="90" w:type="dxa"/>
              <w:left w:w="120" w:type="dxa"/>
              <w:bottom w:w="90" w:type="dxa"/>
              <w:right w:w="120" w:type="dxa"/>
            </w:tcMar>
          </w:tcPr>
          <w:p w14:paraId="5C13F38A" w14:textId="77777777" w:rsidR="008F0DB7" w:rsidRDefault="00000000">
            <w:pPr>
              <w:spacing w:after="40"/>
            </w:pPr>
            <w:r>
              <w:rPr>
                <w:rFonts w:ascii="Calibri" w:eastAsia="Calibri" w:hAnsi="Calibri" w:cs="Calibri"/>
                <w:color w:val="2B2B2B"/>
                <w:sz w:val="19"/>
                <w:szCs w:val="19"/>
              </w:rPr>
              <w:t>2.0</w:t>
            </w:r>
          </w:p>
        </w:tc>
        <w:tc>
          <w:tcPr>
            <w:tcW w:w="3140" w:type="dxa"/>
            <w:shd w:val="clear" w:color="auto" w:fill="FFFFFF"/>
            <w:tcMar>
              <w:top w:w="90" w:type="dxa"/>
              <w:left w:w="120" w:type="dxa"/>
              <w:bottom w:w="90" w:type="dxa"/>
              <w:right w:w="120" w:type="dxa"/>
            </w:tcMar>
          </w:tcPr>
          <w:p w14:paraId="0472D9EB" w14:textId="77777777" w:rsidR="008F0DB7" w:rsidRDefault="00000000">
            <w:pPr>
              <w:spacing w:after="40"/>
            </w:pPr>
            <w:r>
              <w:rPr>
                <w:rFonts w:ascii="Calibri" w:eastAsia="Calibri" w:hAnsi="Calibri" w:cs="Calibri"/>
                <w:color w:val="2B2B2B"/>
                <w:sz w:val="19"/>
                <w:szCs w:val="19"/>
              </w:rPr>
              <w:t>Resource alert threshold</w:t>
            </w:r>
          </w:p>
        </w:tc>
      </w:tr>
      <w:tr w:rsidR="008F0DB7" w14:paraId="6F16DC25" w14:textId="77777777">
        <w:tc>
          <w:tcPr>
            <w:tcW w:w="3200" w:type="dxa"/>
            <w:shd w:val="clear" w:color="auto" w:fill="F5F7F6"/>
            <w:tcMar>
              <w:top w:w="90" w:type="dxa"/>
              <w:left w:w="120" w:type="dxa"/>
              <w:bottom w:w="90" w:type="dxa"/>
              <w:right w:w="120" w:type="dxa"/>
            </w:tcMar>
          </w:tcPr>
          <w:p w14:paraId="4728BFB6" w14:textId="77777777" w:rsidR="008F0DB7" w:rsidRDefault="00000000">
            <w:pPr>
              <w:spacing w:after="40"/>
            </w:pPr>
            <w:r>
              <w:rPr>
                <w:rFonts w:ascii="Calibri" w:eastAsia="Calibri" w:hAnsi="Calibri" w:cs="Calibri"/>
                <w:color w:val="2B2B2B"/>
                <w:sz w:val="19"/>
                <w:szCs w:val="19"/>
              </w:rPr>
              <w:t>Anomaly z-score</w:t>
            </w:r>
          </w:p>
        </w:tc>
        <w:tc>
          <w:tcPr>
            <w:tcW w:w="3200" w:type="dxa"/>
            <w:shd w:val="clear" w:color="auto" w:fill="F5F7F6"/>
            <w:tcMar>
              <w:top w:w="90" w:type="dxa"/>
              <w:left w:w="120" w:type="dxa"/>
              <w:bottom w:w="90" w:type="dxa"/>
              <w:right w:w="120" w:type="dxa"/>
            </w:tcMar>
          </w:tcPr>
          <w:p w14:paraId="014F8881" w14:textId="77777777" w:rsidR="008F0DB7" w:rsidRDefault="00000000">
            <w:pPr>
              <w:spacing w:after="40"/>
            </w:pPr>
            <w:r>
              <w:rPr>
                <w:rFonts w:ascii="Calibri" w:eastAsia="Calibri" w:hAnsi="Calibri" w:cs="Calibri"/>
                <w:color w:val="2B2B2B"/>
                <w:sz w:val="19"/>
                <w:szCs w:val="19"/>
              </w:rPr>
              <w:t>3.0</w:t>
            </w:r>
          </w:p>
        </w:tc>
        <w:tc>
          <w:tcPr>
            <w:tcW w:w="3140" w:type="dxa"/>
            <w:shd w:val="clear" w:color="auto" w:fill="F5F7F6"/>
            <w:tcMar>
              <w:top w:w="90" w:type="dxa"/>
              <w:left w:w="120" w:type="dxa"/>
              <w:bottom w:w="90" w:type="dxa"/>
              <w:right w:w="120" w:type="dxa"/>
            </w:tcMar>
          </w:tcPr>
          <w:p w14:paraId="6334791B" w14:textId="77777777" w:rsidR="008F0DB7" w:rsidRDefault="00000000">
            <w:pPr>
              <w:spacing w:after="40"/>
            </w:pPr>
            <w:r>
              <w:rPr>
                <w:rFonts w:ascii="Calibri" w:eastAsia="Calibri" w:hAnsi="Calibri" w:cs="Calibri"/>
                <w:color w:val="2B2B2B"/>
                <w:sz w:val="19"/>
                <w:szCs w:val="19"/>
              </w:rPr>
              <w:t>Anomaly-agent sensitivity</w:t>
            </w:r>
          </w:p>
        </w:tc>
      </w:tr>
      <w:tr w:rsidR="008F0DB7" w14:paraId="2728C684" w14:textId="77777777">
        <w:tc>
          <w:tcPr>
            <w:tcW w:w="3200" w:type="dxa"/>
            <w:shd w:val="clear" w:color="auto" w:fill="FFFFFF"/>
            <w:tcMar>
              <w:top w:w="90" w:type="dxa"/>
              <w:left w:w="120" w:type="dxa"/>
              <w:bottom w:w="90" w:type="dxa"/>
              <w:right w:w="120" w:type="dxa"/>
            </w:tcMar>
          </w:tcPr>
          <w:p w14:paraId="5B086CDA" w14:textId="77777777" w:rsidR="008F0DB7" w:rsidRDefault="00000000">
            <w:pPr>
              <w:spacing w:after="40"/>
            </w:pPr>
            <w:r>
              <w:rPr>
                <w:rFonts w:ascii="Calibri" w:eastAsia="Calibri" w:hAnsi="Calibri" w:cs="Calibri"/>
                <w:color w:val="2B2B2B"/>
                <w:sz w:val="19"/>
                <w:szCs w:val="19"/>
              </w:rPr>
              <w:t>Isolation Forest contamination</w:t>
            </w:r>
          </w:p>
        </w:tc>
        <w:tc>
          <w:tcPr>
            <w:tcW w:w="3200" w:type="dxa"/>
            <w:shd w:val="clear" w:color="auto" w:fill="FFFFFF"/>
            <w:tcMar>
              <w:top w:w="90" w:type="dxa"/>
              <w:left w:w="120" w:type="dxa"/>
              <w:bottom w:w="90" w:type="dxa"/>
              <w:right w:w="120" w:type="dxa"/>
            </w:tcMar>
          </w:tcPr>
          <w:p w14:paraId="6D44D94F" w14:textId="77777777" w:rsidR="008F0DB7" w:rsidRDefault="00000000">
            <w:pPr>
              <w:spacing w:after="40"/>
            </w:pPr>
            <w:r>
              <w:rPr>
                <w:rFonts w:ascii="Calibri" w:eastAsia="Calibri" w:hAnsi="Calibri" w:cs="Calibri"/>
                <w:color w:val="2B2B2B"/>
                <w:sz w:val="19"/>
                <w:szCs w:val="19"/>
              </w:rPr>
              <w:t>0.05</w:t>
            </w:r>
          </w:p>
        </w:tc>
        <w:tc>
          <w:tcPr>
            <w:tcW w:w="3140" w:type="dxa"/>
            <w:shd w:val="clear" w:color="auto" w:fill="FFFFFF"/>
            <w:tcMar>
              <w:top w:w="90" w:type="dxa"/>
              <w:left w:w="120" w:type="dxa"/>
              <w:bottom w:w="90" w:type="dxa"/>
              <w:right w:w="120" w:type="dxa"/>
            </w:tcMar>
          </w:tcPr>
          <w:p w14:paraId="05519E0B" w14:textId="77777777" w:rsidR="008F0DB7" w:rsidRDefault="00000000">
            <w:pPr>
              <w:spacing w:after="40"/>
            </w:pPr>
            <w:r>
              <w:rPr>
                <w:rFonts w:ascii="Calibri" w:eastAsia="Calibri" w:hAnsi="Calibri" w:cs="Calibri"/>
                <w:color w:val="2B2B2B"/>
                <w:sz w:val="19"/>
                <w:szCs w:val="19"/>
              </w:rPr>
              <w:t>Anomaly-agent sensitivity</w:t>
            </w:r>
          </w:p>
        </w:tc>
      </w:tr>
      <w:tr w:rsidR="008F0DB7" w14:paraId="7051642A" w14:textId="77777777">
        <w:tc>
          <w:tcPr>
            <w:tcW w:w="3200" w:type="dxa"/>
            <w:shd w:val="clear" w:color="auto" w:fill="F5F7F6"/>
            <w:tcMar>
              <w:top w:w="90" w:type="dxa"/>
              <w:left w:w="120" w:type="dxa"/>
              <w:bottom w:w="90" w:type="dxa"/>
              <w:right w:w="120" w:type="dxa"/>
            </w:tcMar>
          </w:tcPr>
          <w:p w14:paraId="62548A78" w14:textId="77777777" w:rsidR="008F0DB7" w:rsidRDefault="00000000">
            <w:pPr>
              <w:spacing w:after="40"/>
            </w:pPr>
            <w:r>
              <w:rPr>
                <w:rFonts w:ascii="Calibri" w:eastAsia="Calibri" w:hAnsi="Calibri" w:cs="Calibri"/>
                <w:color w:val="2B2B2B"/>
                <w:sz w:val="19"/>
                <w:szCs w:val="19"/>
              </w:rPr>
              <w:t>Rolling window</w:t>
            </w:r>
          </w:p>
        </w:tc>
        <w:tc>
          <w:tcPr>
            <w:tcW w:w="3200" w:type="dxa"/>
            <w:shd w:val="clear" w:color="auto" w:fill="F5F7F6"/>
            <w:tcMar>
              <w:top w:w="90" w:type="dxa"/>
              <w:left w:w="120" w:type="dxa"/>
              <w:bottom w:w="90" w:type="dxa"/>
              <w:right w:w="120" w:type="dxa"/>
            </w:tcMar>
          </w:tcPr>
          <w:p w14:paraId="60511999" w14:textId="77777777" w:rsidR="008F0DB7" w:rsidRDefault="00000000">
            <w:pPr>
              <w:spacing w:after="40"/>
            </w:pPr>
            <w:r>
              <w:rPr>
                <w:rFonts w:ascii="Calibri" w:eastAsia="Calibri" w:hAnsi="Calibri" w:cs="Calibri"/>
                <w:color w:val="2B2B2B"/>
                <w:sz w:val="19"/>
                <w:szCs w:val="19"/>
              </w:rPr>
              <w:t>60 s</w:t>
            </w:r>
          </w:p>
        </w:tc>
        <w:tc>
          <w:tcPr>
            <w:tcW w:w="3140" w:type="dxa"/>
            <w:shd w:val="clear" w:color="auto" w:fill="F5F7F6"/>
            <w:tcMar>
              <w:top w:w="90" w:type="dxa"/>
              <w:left w:w="120" w:type="dxa"/>
              <w:bottom w:w="90" w:type="dxa"/>
              <w:right w:w="120" w:type="dxa"/>
            </w:tcMar>
          </w:tcPr>
          <w:p w14:paraId="224FF407" w14:textId="77777777" w:rsidR="008F0DB7" w:rsidRDefault="00000000">
            <w:pPr>
              <w:spacing w:after="40"/>
            </w:pPr>
            <w:r>
              <w:rPr>
                <w:rFonts w:ascii="Calibri" w:eastAsia="Calibri" w:hAnsi="Calibri" w:cs="Calibri"/>
                <w:color w:val="2B2B2B"/>
                <w:sz w:val="19"/>
                <w:szCs w:val="19"/>
              </w:rPr>
              <w:t>Anomaly-agent aggregation window</w:t>
            </w:r>
          </w:p>
        </w:tc>
      </w:tr>
      <w:tr w:rsidR="008F0DB7" w14:paraId="1A698864" w14:textId="77777777">
        <w:tc>
          <w:tcPr>
            <w:tcW w:w="3200" w:type="dxa"/>
            <w:shd w:val="clear" w:color="auto" w:fill="FFFFFF"/>
            <w:tcMar>
              <w:top w:w="90" w:type="dxa"/>
              <w:left w:w="120" w:type="dxa"/>
              <w:bottom w:w="90" w:type="dxa"/>
              <w:right w:w="120" w:type="dxa"/>
            </w:tcMar>
          </w:tcPr>
          <w:p w14:paraId="7D7CA53A" w14:textId="77777777" w:rsidR="008F0DB7" w:rsidRDefault="00000000">
            <w:pPr>
              <w:spacing w:after="40"/>
            </w:pPr>
            <w:r>
              <w:rPr>
                <w:rFonts w:ascii="Calibri" w:eastAsia="Calibri" w:hAnsi="Calibri" w:cs="Calibri"/>
                <w:color w:val="2B2B2B"/>
                <w:sz w:val="19"/>
                <w:szCs w:val="19"/>
              </w:rPr>
              <w:t>Test phases (default)</w:t>
            </w:r>
          </w:p>
        </w:tc>
        <w:tc>
          <w:tcPr>
            <w:tcW w:w="3200" w:type="dxa"/>
            <w:shd w:val="clear" w:color="auto" w:fill="FFFFFF"/>
            <w:tcMar>
              <w:top w:w="90" w:type="dxa"/>
              <w:left w:w="120" w:type="dxa"/>
              <w:bottom w:w="90" w:type="dxa"/>
              <w:right w:w="120" w:type="dxa"/>
            </w:tcMar>
          </w:tcPr>
          <w:p w14:paraId="31DB9995" w14:textId="77777777" w:rsidR="008F0DB7" w:rsidRDefault="00000000">
            <w:pPr>
              <w:spacing w:after="40"/>
            </w:pPr>
            <w:r>
              <w:rPr>
                <w:rFonts w:ascii="Calibri" w:eastAsia="Calibri" w:hAnsi="Calibri" w:cs="Calibri"/>
                <w:color w:val="2B2B2B"/>
                <w:sz w:val="19"/>
                <w:szCs w:val="19"/>
              </w:rPr>
              <w:t>5 / 20 / 5 min ramp-up / steady-state / ramp-down</w:t>
            </w:r>
          </w:p>
        </w:tc>
        <w:tc>
          <w:tcPr>
            <w:tcW w:w="3140" w:type="dxa"/>
            <w:shd w:val="clear" w:color="auto" w:fill="FFFFFF"/>
            <w:tcMar>
              <w:top w:w="90" w:type="dxa"/>
              <w:left w:w="120" w:type="dxa"/>
              <w:bottom w:w="90" w:type="dxa"/>
              <w:right w:w="120" w:type="dxa"/>
            </w:tcMar>
          </w:tcPr>
          <w:p w14:paraId="509FB82D" w14:textId="77777777" w:rsidR="008F0DB7" w:rsidRDefault="00000000">
            <w:pPr>
              <w:spacing w:after="40"/>
            </w:pPr>
            <w:r>
              <w:rPr>
                <w:rFonts w:ascii="Calibri" w:eastAsia="Calibri" w:hAnsi="Calibri" w:cs="Calibri"/>
                <w:color w:val="2B2B2B"/>
                <w:sz w:val="19"/>
                <w:szCs w:val="19"/>
              </w:rPr>
              <w:t>Overridable from LoadRunner metadata</w:t>
            </w:r>
          </w:p>
        </w:tc>
      </w:tr>
    </w:tbl>
    <w:p w14:paraId="5DA22956" w14:textId="77777777" w:rsidR="008F0DB7" w:rsidRDefault="008F0DB7">
      <w:pPr>
        <w:spacing w:before="200"/>
      </w:pPr>
    </w:p>
    <w:p w14:paraId="3118AD3F" w14:textId="77777777" w:rsidR="008F0DB7" w:rsidRDefault="00000000">
      <w:pPr>
        <w:spacing w:after="160" w:line="276" w:lineRule="auto"/>
        <w:rPr>
          <w:rFonts w:ascii="Calibri" w:eastAsia="Calibri" w:hAnsi="Calibri" w:cs="Calibri"/>
          <w:color w:val="2B2B2B"/>
          <w:sz w:val="21"/>
          <w:szCs w:val="21"/>
        </w:rPr>
      </w:pPr>
      <w:r>
        <w:rPr>
          <w:rFonts w:ascii="Calibri" w:eastAsia="Calibri" w:hAnsi="Calibri" w:cs="Calibri"/>
          <w:color w:val="2B2B2B"/>
          <w:sz w:val="21"/>
          <w:szCs w:val="21"/>
        </w:rPr>
        <w:t xml:space="preserve">Recommendation: capture Intact Insurance's actual SLA targets during Pilot Week 1–2 and produce a client-specific </w:t>
      </w:r>
      <w:proofErr w:type="spellStart"/>
      <w:proofErr w:type="gramStart"/>
      <w:r>
        <w:rPr>
          <w:rFonts w:ascii="Calibri" w:eastAsia="Calibri" w:hAnsi="Calibri" w:cs="Calibri"/>
          <w:color w:val="2B2B2B"/>
          <w:sz w:val="21"/>
          <w:szCs w:val="21"/>
        </w:rPr>
        <w:t>config.local</w:t>
      </w:r>
      <w:proofErr w:type="gramEnd"/>
      <w:r>
        <w:rPr>
          <w:rFonts w:ascii="Calibri" w:eastAsia="Calibri" w:hAnsi="Calibri" w:cs="Calibri"/>
          <w:color w:val="2B2B2B"/>
          <w:sz w:val="21"/>
          <w:szCs w:val="21"/>
        </w:rPr>
        <w:t>.yaml</w:t>
      </w:r>
      <w:proofErr w:type="spellEnd"/>
      <w:r>
        <w:rPr>
          <w:rFonts w:ascii="Calibri" w:eastAsia="Calibri" w:hAnsi="Calibri" w:cs="Calibri"/>
          <w:color w:val="2B2B2B"/>
          <w:sz w:val="21"/>
          <w:szCs w:val="21"/>
        </w:rPr>
        <w:t xml:space="preserve"> (the config format already supports local overrides without modifying the base file).</w:t>
      </w:r>
    </w:p>
    <w:p w14:paraId="1FC154B6" w14:textId="77777777" w:rsidR="006D6243" w:rsidRDefault="006D6243">
      <w:pPr>
        <w:spacing w:after="160" w:line="276" w:lineRule="auto"/>
        <w:rPr>
          <w:rFonts w:ascii="Calibri" w:eastAsia="Calibri" w:hAnsi="Calibri" w:cs="Calibri"/>
          <w:color w:val="2B2B2B"/>
          <w:sz w:val="21"/>
          <w:szCs w:val="21"/>
        </w:rPr>
      </w:pPr>
    </w:p>
    <w:p w14:paraId="3D9BFFD2" w14:textId="77777777" w:rsidR="006D6243" w:rsidRDefault="006D6243">
      <w:pPr>
        <w:spacing w:after="160" w:line="276" w:lineRule="auto"/>
        <w:rPr>
          <w:rFonts w:ascii="Calibri" w:eastAsia="Calibri" w:hAnsi="Calibri" w:cs="Calibri"/>
          <w:color w:val="2B2B2B"/>
          <w:sz w:val="21"/>
          <w:szCs w:val="21"/>
        </w:rPr>
      </w:pPr>
    </w:p>
    <w:p w14:paraId="5BA272D0" w14:textId="77777777" w:rsidR="006D6243" w:rsidRDefault="006D6243">
      <w:pPr>
        <w:spacing w:after="160" w:line="276" w:lineRule="auto"/>
        <w:rPr>
          <w:rFonts w:ascii="Calibri" w:eastAsia="Calibri" w:hAnsi="Calibri" w:cs="Calibri"/>
          <w:color w:val="2B2B2B"/>
          <w:sz w:val="21"/>
          <w:szCs w:val="21"/>
        </w:rPr>
      </w:pPr>
    </w:p>
    <w:p w14:paraId="727F0939" w14:textId="77777777" w:rsidR="006D6243" w:rsidRDefault="006D6243">
      <w:pPr>
        <w:spacing w:after="160" w:line="276" w:lineRule="auto"/>
        <w:rPr>
          <w:rFonts w:ascii="Calibri" w:eastAsia="Calibri" w:hAnsi="Calibri" w:cs="Calibri"/>
          <w:color w:val="2B2B2B"/>
          <w:sz w:val="21"/>
          <w:szCs w:val="21"/>
        </w:rPr>
      </w:pPr>
    </w:p>
    <w:p w14:paraId="0AAE48A7" w14:textId="77777777" w:rsidR="006D6243" w:rsidRDefault="006D6243">
      <w:pPr>
        <w:spacing w:after="160" w:line="276" w:lineRule="auto"/>
      </w:pPr>
    </w:p>
    <w:p w14:paraId="1ABB1E09"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11. Rollout Plan</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1900"/>
        <w:gridCol w:w="1500"/>
        <w:gridCol w:w="6140"/>
      </w:tblGrid>
      <w:tr w:rsidR="008F0DB7" w14:paraId="0AFC5F82" w14:textId="77777777" w:rsidTr="006D6243">
        <w:trPr>
          <w:tblHeader/>
        </w:trPr>
        <w:tc>
          <w:tcPr>
            <w:tcW w:w="1900" w:type="dxa"/>
            <w:shd w:val="clear" w:color="auto" w:fill="7030A0"/>
            <w:tcMar>
              <w:top w:w="100" w:type="dxa"/>
              <w:left w:w="120" w:type="dxa"/>
              <w:bottom w:w="100" w:type="dxa"/>
              <w:right w:w="120" w:type="dxa"/>
            </w:tcMar>
          </w:tcPr>
          <w:p w14:paraId="177BF213" w14:textId="77777777" w:rsidR="008F0DB7" w:rsidRDefault="00000000">
            <w:r>
              <w:rPr>
                <w:rFonts w:ascii="Calibri" w:eastAsia="Calibri" w:hAnsi="Calibri" w:cs="Calibri"/>
                <w:b/>
                <w:bCs/>
                <w:color w:val="FFFFFF"/>
                <w:sz w:val="19"/>
                <w:szCs w:val="19"/>
              </w:rPr>
              <w:t>Phase</w:t>
            </w:r>
          </w:p>
        </w:tc>
        <w:tc>
          <w:tcPr>
            <w:tcW w:w="1500" w:type="dxa"/>
            <w:shd w:val="clear" w:color="auto" w:fill="7030A0"/>
            <w:tcMar>
              <w:top w:w="100" w:type="dxa"/>
              <w:left w:w="120" w:type="dxa"/>
              <w:bottom w:w="100" w:type="dxa"/>
              <w:right w:w="120" w:type="dxa"/>
            </w:tcMar>
          </w:tcPr>
          <w:p w14:paraId="09027C3A" w14:textId="77777777" w:rsidR="008F0DB7" w:rsidRDefault="00000000">
            <w:r>
              <w:rPr>
                <w:rFonts w:ascii="Calibri" w:eastAsia="Calibri" w:hAnsi="Calibri" w:cs="Calibri"/>
                <w:b/>
                <w:bCs/>
                <w:color w:val="FFFFFF"/>
                <w:sz w:val="19"/>
                <w:szCs w:val="19"/>
              </w:rPr>
              <w:t>Timeline</w:t>
            </w:r>
          </w:p>
        </w:tc>
        <w:tc>
          <w:tcPr>
            <w:tcW w:w="6140" w:type="dxa"/>
            <w:shd w:val="clear" w:color="auto" w:fill="7030A0"/>
            <w:tcMar>
              <w:top w:w="100" w:type="dxa"/>
              <w:left w:w="120" w:type="dxa"/>
              <w:bottom w:w="100" w:type="dxa"/>
              <w:right w:w="120" w:type="dxa"/>
            </w:tcMar>
          </w:tcPr>
          <w:p w14:paraId="3F646ED3" w14:textId="77777777" w:rsidR="008F0DB7" w:rsidRDefault="00000000">
            <w:r>
              <w:rPr>
                <w:rFonts w:ascii="Calibri" w:eastAsia="Calibri" w:hAnsi="Calibri" w:cs="Calibri"/>
                <w:b/>
                <w:bCs/>
                <w:color w:val="FFFFFF"/>
                <w:sz w:val="19"/>
                <w:szCs w:val="19"/>
              </w:rPr>
              <w:t>Key activities</w:t>
            </w:r>
          </w:p>
        </w:tc>
      </w:tr>
      <w:tr w:rsidR="008F0DB7" w14:paraId="59F6F3C4" w14:textId="77777777">
        <w:tc>
          <w:tcPr>
            <w:tcW w:w="1900" w:type="dxa"/>
            <w:shd w:val="clear" w:color="auto" w:fill="FFFFFF"/>
            <w:tcMar>
              <w:top w:w="90" w:type="dxa"/>
              <w:left w:w="120" w:type="dxa"/>
              <w:bottom w:w="90" w:type="dxa"/>
              <w:right w:w="120" w:type="dxa"/>
            </w:tcMar>
          </w:tcPr>
          <w:p w14:paraId="0EE8C350" w14:textId="77777777" w:rsidR="008F0DB7" w:rsidRDefault="00000000">
            <w:pPr>
              <w:spacing w:after="40"/>
            </w:pPr>
            <w:r>
              <w:rPr>
                <w:rFonts w:ascii="Calibri" w:eastAsia="Calibri" w:hAnsi="Calibri" w:cs="Calibri"/>
                <w:color w:val="2B2B2B"/>
                <w:sz w:val="19"/>
                <w:szCs w:val="19"/>
              </w:rPr>
              <w:t>1. Pilot</w:t>
            </w:r>
          </w:p>
        </w:tc>
        <w:tc>
          <w:tcPr>
            <w:tcW w:w="1500" w:type="dxa"/>
            <w:shd w:val="clear" w:color="auto" w:fill="FFFFFF"/>
            <w:tcMar>
              <w:top w:w="90" w:type="dxa"/>
              <w:left w:w="120" w:type="dxa"/>
              <w:bottom w:w="90" w:type="dxa"/>
              <w:right w:w="120" w:type="dxa"/>
            </w:tcMar>
          </w:tcPr>
          <w:p w14:paraId="129999AD" w14:textId="77777777" w:rsidR="008F0DB7" w:rsidRDefault="00000000">
            <w:pPr>
              <w:spacing w:after="40"/>
            </w:pPr>
            <w:r>
              <w:rPr>
                <w:rFonts w:ascii="Calibri" w:eastAsia="Calibri" w:hAnsi="Calibri" w:cs="Calibri"/>
                <w:color w:val="2B2B2B"/>
                <w:sz w:val="19"/>
                <w:szCs w:val="19"/>
              </w:rPr>
              <w:t>Weeks 1–2</w:t>
            </w:r>
          </w:p>
        </w:tc>
        <w:tc>
          <w:tcPr>
            <w:tcW w:w="6140" w:type="dxa"/>
            <w:shd w:val="clear" w:color="auto" w:fill="FFFFFF"/>
            <w:tcMar>
              <w:top w:w="90" w:type="dxa"/>
              <w:left w:w="120" w:type="dxa"/>
              <w:bottom w:w="90" w:type="dxa"/>
              <w:right w:w="120" w:type="dxa"/>
            </w:tcMar>
          </w:tcPr>
          <w:p w14:paraId="29A92B82" w14:textId="77777777" w:rsidR="008F0DB7" w:rsidRDefault="00000000">
            <w:pPr>
              <w:spacing w:after="40"/>
            </w:pPr>
            <w:r>
              <w:rPr>
                <w:rFonts w:ascii="Calibri" w:eastAsia="Calibri" w:hAnsi="Calibri" w:cs="Calibri"/>
                <w:color w:val="2B2B2B"/>
                <w:sz w:val="19"/>
                <w:szCs w:val="19"/>
              </w:rPr>
              <w:t>Run pipeline against one existing test cycle's logs; validate parsing accuracy vs. manual RCA; tune anomaly &amp; threshold rules to Intact Insurance's SLAs; resolve the Section 6 LLM-path decision.</w:t>
            </w:r>
          </w:p>
        </w:tc>
      </w:tr>
      <w:tr w:rsidR="008F0DB7" w14:paraId="7743EA0B" w14:textId="77777777">
        <w:tc>
          <w:tcPr>
            <w:tcW w:w="1900" w:type="dxa"/>
            <w:shd w:val="clear" w:color="auto" w:fill="F5F7F6"/>
            <w:tcMar>
              <w:top w:w="90" w:type="dxa"/>
              <w:left w:w="120" w:type="dxa"/>
              <w:bottom w:w="90" w:type="dxa"/>
              <w:right w:w="120" w:type="dxa"/>
            </w:tcMar>
          </w:tcPr>
          <w:p w14:paraId="71F2825D" w14:textId="77777777" w:rsidR="008F0DB7" w:rsidRDefault="00000000">
            <w:pPr>
              <w:spacing w:after="40"/>
            </w:pPr>
            <w:r>
              <w:rPr>
                <w:rFonts w:ascii="Calibri" w:eastAsia="Calibri" w:hAnsi="Calibri" w:cs="Calibri"/>
                <w:color w:val="2B2B2B"/>
                <w:sz w:val="19"/>
                <w:szCs w:val="19"/>
              </w:rPr>
              <w:t>2. Integration</w:t>
            </w:r>
          </w:p>
        </w:tc>
        <w:tc>
          <w:tcPr>
            <w:tcW w:w="1500" w:type="dxa"/>
            <w:shd w:val="clear" w:color="auto" w:fill="F5F7F6"/>
            <w:tcMar>
              <w:top w:w="90" w:type="dxa"/>
              <w:left w:w="120" w:type="dxa"/>
              <w:bottom w:w="90" w:type="dxa"/>
              <w:right w:w="120" w:type="dxa"/>
            </w:tcMar>
          </w:tcPr>
          <w:p w14:paraId="7F8013A8" w14:textId="77777777" w:rsidR="008F0DB7" w:rsidRDefault="00000000">
            <w:pPr>
              <w:spacing w:after="40"/>
            </w:pPr>
            <w:r>
              <w:rPr>
                <w:rFonts w:ascii="Calibri" w:eastAsia="Calibri" w:hAnsi="Calibri" w:cs="Calibri"/>
                <w:color w:val="2B2B2B"/>
                <w:sz w:val="19"/>
                <w:szCs w:val="19"/>
              </w:rPr>
              <w:t>Weeks 3–6</w:t>
            </w:r>
          </w:p>
        </w:tc>
        <w:tc>
          <w:tcPr>
            <w:tcW w:w="6140" w:type="dxa"/>
            <w:shd w:val="clear" w:color="auto" w:fill="F5F7F6"/>
            <w:tcMar>
              <w:top w:w="90" w:type="dxa"/>
              <w:left w:w="120" w:type="dxa"/>
              <w:bottom w:w="90" w:type="dxa"/>
              <w:right w:w="120" w:type="dxa"/>
            </w:tcMar>
          </w:tcPr>
          <w:p w14:paraId="6F7F0732" w14:textId="77777777" w:rsidR="008F0DB7" w:rsidRDefault="00000000">
            <w:pPr>
              <w:spacing w:after="40"/>
            </w:pPr>
            <w:r>
              <w:rPr>
                <w:rFonts w:ascii="Calibri" w:eastAsia="Calibri" w:hAnsi="Calibri" w:cs="Calibri"/>
                <w:color w:val="2B2B2B"/>
                <w:sz w:val="19"/>
                <w:szCs w:val="19"/>
              </w:rPr>
              <w:t>Connect live log drop folder / CI pipeline; enable watch mode for automatic processing; stand up a shared report dashboard for the team.</w:t>
            </w:r>
          </w:p>
        </w:tc>
      </w:tr>
      <w:tr w:rsidR="008F0DB7" w14:paraId="2857D84C" w14:textId="77777777">
        <w:tc>
          <w:tcPr>
            <w:tcW w:w="1900" w:type="dxa"/>
            <w:shd w:val="clear" w:color="auto" w:fill="FFFFFF"/>
            <w:tcMar>
              <w:top w:w="90" w:type="dxa"/>
              <w:left w:w="120" w:type="dxa"/>
              <w:bottom w:w="90" w:type="dxa"/>
              <w:right w:w="120" w:type="dxa"/>
            </w:tcMar>
          </w:tcPr>
          <w:p w14:paraId="0376A2F5" w14:textId="77777777" w:rsidR="008F0DB7" w:rsidRDefault="00000000">
            <w:pPr>
              <w:spacing w:after="40"/>
            </w:pPr>
            <w:r>
              <w:rPr>
                <w:rFonts w:ascii="Calibri" w:eastAsia="Calibri" w:hAnsi="Calibri" w:cs="Calibri"/>
                <w:color w:val="2B2B2B"/>
                <w:sz w:val="19"/>
                <w:szCs w:val="19"/>
              </w:rPr>
              <w:t>3. Scale-up</w:t>
            </w:r>
          </w:p>
        </w:tc>
        <w:tc>
          <w:tcPr>
            <w:tcW w:w="1500" w:type="dxa"/>
            <w:shd w:val="clear" w:color="auto" w:fill="FFFFFF"/>
            <w:tcMar>
              <w:top w:w="90" w:type="dxa"/>
              <w:left w:w="120" w:type="dxa"/>
              <w:bottom w:w="90" w:type="dxa"/>
              <w:right w:w="120" w:type="dxa"/>
            </w:tcMar>
          </w:tcPr>
          <w:p w14:paraId="79564753" w14:textId="77777777" w:rsidR="008F0DB7" w:rsidRDefault="00000000">
            <w:pPr>
              <w:spacing w:after="40"/>
            </w:pPr>
            <w:r>
              <w:rPr>
                <w:rFonts w:ascii="Calibri" w:eastAsia="Calibri" w:hAnsi="Calibri" w:cs="Calibri"/>
                <w:color w:val="2B2B2B"/>
                <w:sz w:val="19"/>
                <w:szCs w:val="19"/>
              </w:rPr>
              <w:t>Weeks 7–10</w:t>
            </w:r>
          </w:p>
        </w:tc>
        <w:tc>
          <w:tcPr>
            <w:tcW w:w="6140" w:type="dxa"/>
            <w:shd w:val="clear" w:color="auto" w:fill="FFFFFF"/>
            <w:tcMar>
              <w:top w:w="90" w:type="dxa"/>
              <w:left w:w="120" w:type="dxa"/>
              <w:bottom w:w="90" w:type="dxa"/>
              <w:right w:w="120" w:type="dxa"/>
            </w:tcMar>
          </w:tcPr>
          <w:p w14:paraId="7DFB2F70" w14:textId="77777777" w:rsidR="008F0DB7" w:rsidRDefault="00000000">
            <w:pPr>
              <w:spacing w:after="40"/>
            </w:pPr>
            <w:r>
              <w:rPr>
                <w:rFonts w:ascii="Calibri" w:eastAsia="Calibri" w:hAnsi="Calibri" w:cs="Calibri"/>
                <w:color w:val="2B2B2B"/>
                <w:sz w:val="19"/>
                <w:szCs w:val="19"/>
              </w:rPr>
              <w:t>Roll out across all active test projects; add project-specific thresholds &amp; patterns; train the QA/performance team on reading RCA reports.</w:t>
            </w:r>
          </w:p>
        </w:tc>
      </w:tr>
      <w:tr w:rsidR="008F0DB7" w14:paraId="7D2B7E53" w14:textId="77777777">
        <w:tc>
          <w:tcPr>
            <w:tcW w:w="1900" w:type="dxa"/>
            <w:shd w:val="clear" w:color="auto" w:fill="F5F7F6"/>
            <w:tcMar>
              <w:top w:w="90" w:type="dxa"/>
              <w:left w:w="120" w:type="dxa"/>
              <w:bottom w:w="90" w:type="dxa"/>
              <w:right w:w="120" w:type="dxa"/>
            </w:tcMar>
          </w:tcPr>
          <w:p w14:paraId="4D1191C8" w14:textId="77777777" w:rsidR="008F0DB7" w:rsidRDefault="00000000">
            <w:pPr>
              <w:spacing w:after="40"/>
            </w:pPr>
            <w:r>
              <w:rPr>
                <w:rFonts w:ascii="Calibri" w:eastAsia="Calibri" w:hAnsi="Calibri" w:cs="Calibri"/>
                <w:color w:val="2B2B2B"/>
                <w:sz w:val="19"/>
                <w:szCs w:val="19"/>
              </w:rPr>
              <w:t>4. Continuous improvement</w:t>
            </w:r>
          </w:p>
        </w:tc>
        <w:tc>
          <w:tcPr>
            <w:tcW w:w="1500" w:type="dxa"/>
            <w:shd w:val="clear" w:color="auto" w:fill="F5F7F6"/>
            <w:tcMar>
              <w:top w:w="90" w:type="dxa"/>
              <w:left w:w="120" w:type="dxa"/>
              <w:bottom w:w="90" w:type="dxa"/>
              <w:right w:w="120" w:type="dxa"/>
            </w:tcMar>
          </w:tcPr>
          <w:p w14:paraId="36128C02" w14:textId="77777777" w:rsidR="008F0DB7" w:rsidRDefault="00000000">
            <w:pPr>
              <w:spacing w:after="40"/>
            </w:pPr>
            <w:r>
              <w:rPr>
                <w:rFonts w:ascii="Calibri" w:eastAsia="Calibri" w:hAnsi="Calibri" w:cs="Calibri"/>
                <w:color w:val="2B2B2B"/>
                <w:sz w:val="19"/>
                <w:szCs w:val="19"/>
              </w:rPr>
              <w:t>Ongoing</w:t>
            </w:r>
          </w:p>
        </w:tc>
        <w:tc>
          <w:tcPr>
            <w:tcW w:w="6140" w:type="dxa"/>
            <w:shd w:val="clear" w:color="auto" w:fill="F5F7F6"/>
            <w:tcMar>
              <w:top w:w="90" w:type="dxa"/>
              <w:left w:w="120" w:type="dxa"/>
              <w:bottom w:w="90" w:type="dxa"/>
              <w:right w:w="120" w:type="dxa"/>
            </w:tcMar>
          </w:tcPr>
          <w:p w14:paraId="00920737" w14:textId="77777777" w:rsidR="008F0DB7" w:rsidRDefault="00000000">
            <w:pPr>
              <w:spacing w:after="40"/>
            </w:pPr>
            <w:r>
              <w:rPr>
                <w:rFonts w:ascii="Calibri" w:eastAsia="Calibri" w:hAnsi="Calibri" w:cs="Calibri"/>
                <w:color w:val="2B2B2B"/>
                <w:sz w:val="19"/>
                <w:szCs w:val="19"/>
              </w:rPr>
              <w:t>Track RCA time savings against baseline; refine causal &amp; pattern models with new incidents; quarterly review of accuracy and coverage.</w:t>
            </w:r>
          </w:p>
        </w:tc>
      </w:tr>
    </w:tbl>
    <w:p w14:paraId="089A42F3"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12. Roles &amp; Responsibilities</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2600"/>
        <w:gridCol w:w="2600"/>
        <w:gridCol w:w="4340"/>
      </w:tblGrid>
      <w:tr w:rsidR="008F0DB7" w14:paraId="05229102" w14:textId="77777777" w:rsidTr="006D6243">
        <w:trPr>
          <w:tblHeader/>
        </w:trPr>
        <w:tc>
          <w:tcPr>
            <w:tcW w:w="2600" w:type="dxa"/>
            <w:shd w:val="clear" w:color="auto" w:fill="7030A0"/>
            <w:tcMar>
              <w:top w:w="100" w:type="dxa"/>
              <w:left w:w="120" w:type="dxa"/>
              <w:bottom w:w="100" w:type="dxa"/>
              <w:right w:w="120" w:type="dxa"/>
            </w:tcMar>
          </w:tcPr>
          <w:p w14:paraId="21070878" w14:textId="77777777" w:rsidR="008F0DB7" w:rsidRDefault="00000000">
            <w:r>
              <w:rPr>
                <w:rFonts w:ascii="Calibri" w:eastAsia="Calibri" w:hAnsi="Calibri" w:cs="Calibri"/>
                <w:b/>
                <w:bCs/>
                <w:color w:val="FFFFFF"/>
                <w:sz w:val="19"/>
                <w:szCs w:val="19"/>
              </w:rPr>
              <w:lastRenderedPageBreak/>
              <w:t>Role</w:t>
            </w:r>
          </w:p>
        </w:tc>
        <w:tc>
          <w:tcPr>
            <w:tcW w:w="2600" w:type="dxa"/>
            <w:shd w:val="clear" w:color="auto" w:fill="7030A0"/>
            <w:tcMar>
              <w:top w:w="100" w:type="dxa"/>
              <w:left w:w="120" w:type="dxa"/>
              <w:bottom w:w="100" w:type="dxa"/>
              <w:right w:w="120" w:type="dxa"/>
            </w:tcMar>
          </w:tcPr>
          <w:p w14:paraId="25DCB32B" w14:textId="77777777" w:rsidR="008F0DB7" w:rsidRDefault="00000000">
            <w:r>
              <w:rPr>
                <w:rFonts w:ascii="Calibri" w:eastAsia="Calibri" w:hAnsi="Calibri" w:cs="Calibri"/>
                <w:b/>
                <w:bCs/>
                <w:color w:val="FFFFFF"/>
                <w:sz w:val="19"/>
                <w:szCs w:val="19"/>
              </w:rPr>
              <w:t>Owner</w:t>
            </w:r>
          </w:p>
        </w:tc>
        <w:tc>
          <w:tcPr>
            <w:tcW w:w="4340" w:type="dxa"/>
            <w:shd w:val="clear" w:color="auto" w:fill="7030A0"/>
            <w:tcMar>
              <w:top w:w="100" w:type="dxa"/>
              <w:left w:w="120" w:type="dxa"/>
              <w:bottom w:w="100" w:type="dxa"/>
              <w:right w:w="120" w:type="dxa"/>
            </w:tcMar>
          </w:tcPr>
          <w:p w14:paraId="1ED24EB7" w14:textId="77777777" w:rsidR="008F0DB7" w:rsidRDefault="00000000">
            <w:r>
              <w:rPr>
                <w:rFonts w:ascii="Calibri" w:eastAsia="Calibri" w:hAnsi="Calibri" w:cs="Calibri"/>
                <w:b/>
                <w:bCs/>
                <w:color w:val="FFFFFF"/>
                <w:sz w:val="19"/>
                <w:szCs w:val="19"/>
              </w:rPr>
              <w:t>Responsibility</w:t>
            </w:r>
          </w:p>
        </w:tc>
      </w:tr>
      <w:tr w:rsidR="008F0DB7" w14:paraId="38DBE2ED" w14:textId="77777777">
        <w:tc>
          <w:tcPr>
            <w:tcW w:w="2600" w:type="dxa"/>
            <w:shd w:val="clear" w:color="auto" w:fill="FFFFFF"/>
            <w:tcMar>
              <w:top w:w="90" w:type="dxa"/>
              <w:left w:w="120" w:type="dxa"/>
              <w:bottom w:w="90" w:type="dxa"/>
              <w:right w:w="120" w:type="dxa"/>
            </w:tcMar>
          </w:tcPr>
          <w:p w14:paraId="1A21BAFE" w14:textId="77777777" w:rsidR="008F0DB7" w:rsidRDefault="00000000">
            <w:pPr>
              <w:spacing w:after="40"/>
            </w:pPr>
            <w:r>
              <w:rPr>
                <w:rFonts w:ascii="Calibri" w:eastAsia="Calibri" w:hAnsi="Calibri" w:cs="Calibri"/>
                <w:color w:val="2B2B2B"/>
                <w:sz w:val="19"/>
                <w:szCs w:val="19"/>
              </w:rPr>
              <w:t>Solution owner / implementation lead</w:t>
            </w:r>
          </w:p>
        </w:tc>
        <w:tc>
          <w:tcPr>
            <w:tcW w:w="2600" w:type="dxa"/>
            <w:shd w:val="clear" w:color="auto" w:fill="FFFFFF"/>
            <w:tcMar>
              <w:top w:w="90" w:type="dxa"/>
              <w:left w:w="120" w:type="dxa"/>
              <w:bottom w:w="90" w:type="dxa"/>
              <w:right w:w="120" w:type="dxa"/>
            </w:tcMar>
          </w:tcPr>
          <w:p w14:paraId="1B0F5DC5" w14:textId="5592ABEF" w:rsidR="008F0DB7" w:rsidRDefault="00000000">
            <w:pPr>
              <w:spacing w:after="40"/>
            </w:pPr>
            <w:r>
              <w:rPr>
                <w:rFonts w:ascii="Calibri" w:eastAsia="Calibri" w:hAnsi="Calibri" w:cs="Calibri"/>
                <w:color w:val="2B2B2B"/>
                <w:sz w:val="19"/>
                <w:szCs w:val="19"/>
              </w:rPr>
              <w:t>Pankaj Sharma (Capgemini)</w:t>
            </w:r>
          </w:p>
        </w:tc>
        <w:tc>
          <w:tcPr>
            <w:tcW w:w="4340" w:type="dxa"/>
            <w:shd w:val="clear" w:color="auto" w:fill="FFFFFF"/>
            <w:tcMar>
              <w:top w:w="90" w:type="dxa"/>
              <w:left w:w="120" w:type="dxa"/>
              <w:bottom w:w="90" w:type="dxa"/>
              <w:right w:w="120" w:type="dxa"/>
            </w:tcMar>
          </w:tcPr>
          <w:p w14:paraId="378D0A96" w14:textId="77777777" w:rsidR="008F0DB7" w:rsidRDefault="00000000">
            <w:pPr>
              <w:spacing w:after="40"/>
            </w:pPr>
            <w:r>
              <w:rPr>
                <w:rFonts w:ascii="Calibri" w:eastAsia="Calibri" w:hAnsi="Calibri" w:cs="Calibri"/>
                <w:color w:val="2B2B2B"/>
                <w:sz w:val="19"/>
                <w:szCs w:val="19"/>
              </w:rPr>
              <w:t>Overall design, build, and rollout of the pipeline</w:t>
            </w:r>
          </w:p>
        </w:tc>
      </w:tr>
      <w:tr w:rsidR="008F0DB7" w14:paraId="446AB886" w14:textId="77777777">
        <w:tc>
          <w:tcPr>
            <w:tcW w:w="2600" w:type="dxa"/>
            <w:shd w:val="clear" w:color="auto" w:fill="F5F7F6"/>
            <w:tcMar>
              <w:top w:w="90" w:type="dxa"/>
              <w:left w:w="120" w:type="dxa"/>
              <w:bottom w:w="90" w:type="dxa"/>
              <w:right w:w="120" w:type="dxa"/>
            </w:tcMar>
          </w:tcPr>
          <w:p w14:paraId="669D6E0B" w14:textId="77777777" w:rsidR="008F0DB7" w:rsidRDefault="00000000">
            <w:pPr>
              <w:spacing w:after="40"/>
            </w:pPr>
            <w:r>
              <w:rPr>
                <w:rFonts w:ascii="Calibri" w:eastAsia="Calibri" w:hAnsi="Calibri" w:cs="Calibri"/>
                <w:color w:val="2B2B2B"/>
                <w:sz w:val="19"/>
                <w:szCs w:val="19"/>
              </w:rPr>
              <w:t>Client stakeholders</w:t>
            </w:r>
          </w:p>
        </w:tc>
        <w:tc>
          <w:tcPr>
            <w:tcW w:w="2600" w:type="dxa"/>
            <w:shd w:val="clear" w:color="auto" w:fill="F5F7F6"/>
            <w:tcMar>
              <w:top w:w="90" w:type="dxa"/>
              <w:left w:w="120" w:type="dxa"/>
              <w:bottom w:w="90" w:type="dxa"/>
              <w:right w:w="120" w:type="dxa"/>
            </w:tcMar>
          </w:tcPr>
          <w:p w14:paraId="409394EE" w14:textId="77777777" w:rsidR="008F0DB7" w:rsidRDefault="00000000">
            <w:pPr>
              <w:spacing w:after="40"/>
            </w:pPr>
            <w:r>
              <w:rPr>
                <w:rFonts w:ascii="Calibri" w:eastAsia="Calibri" w:hAnsi="Calibri" w:cs="Calibri"/>
                <w:color w:val="2B2B2B"/>
                <w:sz w:val="19"/>
                <w:szCs w:val="19"/>
              </w:rPr>
              <w:t>Donald, Pramod (Intact Insurance)</w:t>
            </w:r>
          </w:p>
        </w:tc>
        <w:tc>
          <w:tcPr>
            <w:tcW w:w="4340" w:type="dxa"/>
            <w:shd w:val="clear" w:color="auto" w:fill="F5F7F6"/>
            <w:tcMar>
              <w:top w:w="90" w:type="dxa"/>
              <w:left w:w="120" w:type="dxa"/>
              <w:bottom w:w="90" w:type="dxa"/>
              <w:right w:w="120" w:type="dxa"/>
            </w:tcMar>
          </w:tcPr>
          <w:p w14:paraId="78C54EBE" w14:textId="77777777" w:rsidR="008F0DB7" w:rsidRDefault="00000000">
            <w:pPr>
              <w:spacing w:after="40"/>
            </w:pPr>
            <w:r>
              <w:rPr>
                <w:rFonts w:ascii="Calibri" w:eastAsia="Calibri" w:hAnsi="Calibri" w:cs="Calibri"/>
                <w:color w:val="2B2B2B"/>
                <w:sz w:val="19"/>
                <w:szCs w:val="19"/>
              </w:rPr>
              <w:t>Demo sponsors; client-side validation and acceptance of RCA output</w:t>
            </w:r>
          </w:p>
        </w:tc>
      </w:tr>
      <w:tr w:rsidR="008F0DB7" w14:paraId="10C8EA3F" w14:textId="77777777">
        <w:tc>
          <w:tcPr>
            <w:tcW w:w="2600" w:type="dxa"/>
            <w:shd w:val="clear" w:color="auto" w:fill="FFFFFF"/>
            <w:tcMar>
              <w:top w:w="90" w:type="dxa"/>
              <w:left w:w="120" w:type="dxa"/>
              <w:bottom w:w="90" w:type="dxa"/>
              <w:right w:w="120" w:type="dxa"/>
            </w:tcMar>
          </w:tcPr>
          <w:p w14:paraId="4D35BCED" w14:textId="77777777" w:rsidR="008F0DB7" w:rsidRDefault="00000000">
            <w:pPr>
              <w:spacing w:after="40"/>
            </w:pPr>
            <w:r>
              <w:rPr>
                <w:rFonts w:ascii="Calibri" w:eastAsia="Calibri" w:hAnsi="Calibri" w:cs="Calibri"/>
                <w:color w:val="2B2B2B"/>
                <w:sz w:val="19"/>
                <w:szCs w:val="19"/>
              </w:rPr>
              <w:t>AI governance team</w:t>
            </w:r>
          </w:p>
        </w:tc>
        <w:tc>
          <w:tcPr>
            <w:tcW w:w="2600" w:type="dxa"/>
            <w:shd w:val="clear" w:color="auto" w:fill="FFFFFF"/>
            <w:tcMar>
              <w:top w:w="90" w:type="dxa"/>
              <w:left w:w="120" w:type="dxa"/>
              <w:bottom w:w="90" w:type="dxa"/>
              <w:right w:w="120" w:type="dxa"/>
            </w:tcMar>
          </w:tcPr>
          <w:p w14:paraId="219DBE8B" w14:textId="7EEC3A59" w:rsidR="008F0DB7" w:rsidRDefault="006D6243">
            <w:pPr>
              <w:spacing w:after="40"/>
            </w:pPr>
            <w:r>
              <w:rPr>
                <w:rFonts w:ascii="Calibri" w:eastAsia="Calibri" w:hAnsi="Calibri" w:cs="Calibri"/>
                <w:color w:val="2B2B2B"/>
                <w:sz w:val="19"/>
                <w:szCs w:val="19"/>
              </w:rPr>
              <w:t>Intact AI governance</w:t>
            </w:r>
          </w:p>
        </w:tc>
        <w:tc>
          <w:tcPr>
            <w:tcW w:w="4340" w:type="dxa"/>
            <w:shd w:val="clear" w:color="auto" w:fill="FFFFFF"/>
            <w:tcMar>
              <w:top w:w="90" w:type="dxa"/>
              <w:left w:w="120" w:type="dxa"/>
              <w:bottom w:w="90" w:type="dxa"/>
              <w:right w:w="120" w:type="dxa"/>
            </w:tcMar>
          </w:tcPr>
          <w:p w14:paraId="3BA3AA4C" w14:textId="77777777" w:rsidR="008F0DB7" w:rsidRDefault="00000000">
            <w:pPr>
              <w:spacing w:after="40"/>
            </w:pPr>
            <w:r>
              <w:rPr>
                <w:rFonts w:ascii="Calibri" w:eastAsia="Calibri" w:hAnsi="Calibri" w:cs="Calibri"/>
                <w:color w:val="2B2B2B"/>
                <w:sz w:val="19"/>
                <w:szCs w:val="19"/>
              </w:rPr>
              <w:t>Sign-off on the LLM call-path decision (Section 6) and ongoing model-use compliance</w:t>
            </w:r>
          </w:p>
        </w:tc>
      </w:tr>
      <w:tr w:rsidR="008F0DB7" w14:paraId="4F460B28" w14:textId="77777777">
        <w:tc>
          <w:tcPr>
            <w:tcW w:w="2600" w:type="dxa"/>
            <w:shd w:val="clear" w:color="auto" w:fill="F5F7F6"/>
            <w:tcMar>
              <w:top w:w="90" w:type="dxa"/>
              <w:left w:w="120" w:type="dxa"/>
              <w:bottom w:w="90" w:type="dxa"/>
              <w:right w:w="120" w:type="dxa"/>
            </w:tcMar>
          </w:tcPr>
          <w:p w14:paraId="06CF350D" w14:textId="77777777" w:rsidR="008F0DB7" w:rsidRDefault="00000000">
            <w:pPr>
              <w:spacing w:after="40"/>
            </w:pPr>
            <w:r>
              <w:rPr>
                <w:rFonts w:ascii="Calibri" w:eastAsia="Calibri" w:hAnsi="Calibri" w:cs="Calibri"/>
                <w:color w:val="2B2B2B"/>
                <w:sz w:val="19"/>
                <w:szCs w:val="19"/>
              </w:rPr>
              <w:t>Client infrastructure / security team</w:t>
            </w:r>
          </w:p>
        </w:tc>
        <w:tc>
          <w:tcPr>
            <w:tcW w:w="2600" w:type="dxa"/>
            <w:shd w:val="clear" w:color="auto" w:fill="F5F7F6"/>
            <w:tcMar>
              <w:top w:w="90" w:type="dxa"/>
              <w:left w:w="120" w:type="dxa"/>
              <w:bottom w:w="90" w:type="dxa"/>
              <w:right w:w="120" w:type="dxa"/>
            </w:tcMar>
          </w:tcPr>
          <w:p w14:paraId="5632F61C" w14:textId="77777777" w:rsidR="008F0DB7" w:rsidRDefault="00000000">
            <w:pPr>
              <w:spacing w:after="40"/>
            </w:pPr>
            <w:r>
              <w:rPr>
                <w:rFonts w:ascii="Calibri" w:eastAsia="Calibri" w:hAnsi="Calibri" w:cs="Calibri"/>
                <w:color w:val="2B2B2B"/>
                <w:sz w:val="19"/>
                <w:szCs w:val="19"/>
              </w:rPr>
              <w:t>Intact Insurance IT</w:t>
            </w:r>
          </w:p>
        </w:tc>
        <w:tc>
          <w:tcPr>
            <w:tcW w:w="4340" w:type="dxa"/>
            <w:shd w:val="clear" w:color="auto" w:fill="F5F7F6"/>
            <w:tcMar>
              <w:top w:w="90" w:type="dxa"/>
              <w:left w:w="120" w:type="dxa"/>
              <w:bottom w:w="90" w:type="dxa"/>
              <w:right w:w="120" w:type="dxa"/>
            </w:tcMar>
          </w:tcPr>
          <w:p w14:paraId="7C186776" w14:textId="77777777" w:rsidR="008F0DB7" w:rsidRDefault="00000000">
            <w:pPr>
              <w:spacing w:after="40"/>
            </w:pPr>
            <w:r>
              <w:rPr>
                <w:rFonts w:ascii="Calibri" w:eastAsia="Calibri" w:hAnsi="Calibri" w:cs="Calibri"/>
                <w:color w:val="2B2B2B"/>
                <w:sz w:val="19"/>
                <w:szCs w:val="19"/>
              </w:rPr>
              <w:t>Firewall/proxy allow-listing, environment provisioning, deployment approval</w:t>
            </w:r>
          </w:p>
        </w:tc>
      </w:tr>
      <w:tr w:rsidR="008F0DB7" w14:paraId="61456AF6" w14:textId="77777777">
        <w:tc>
          <w:tcPr>
            <w:tcW w:w="2600" w:type="dxa"/>
            <w:shd w:val="clear" w:color="auto" w:fill="FFFFFF"/>
            <w:tcMar>
              <w:top w:w="90" w:type="dxa"/>
              <w:left w:w="120" w:type="dxa"/>
              <w:bottom w:w="90" w:type="dxa"/>
              <w:right w:w="120" w:type="dxa"/>
            </w:tcMar>
          </w:tcPr>
          <w:p w14:paraId="4D26EFF2" w14:textId="77777777" w:rsidR="008F0DB7" w:rsidRDefault="00000000">
            <w:pPr>
              <w:spacing w:after="40"/>
            </w:pPr>
            <w:r>
              <w:rPr>
                <w:rFonts w:ascii="Calibri" w:eastAsia="Calibri" w:hAnsi="Calibri" w:cs="Calibri"/>
                <w:color w:val="2B2B2B"/>
                <w:sz w:val="19"/>
                <w:szCs w:val="19"/>
              </w:rPr>
              <w:t>QA / performance team</w:t>
            </w:r>
          </w:p>
        </w:tc>
        <w:tc>
          <w:tcPr>
            <w:tcW w:w="2600" w:type="dxa"/>
            <w:shd w:val="clear" w:color="auto" w:fill="FFFFFF"/>
            <w:tcMar>
              <w:top w:w="90" w:type="dxa"/>
              <w:left w:w="120" w:type="dxa"/>
              <w:bottom w:w="90" w:type="dxa"/>
              <w:right w:w="120" w:type="dxa"/>
            </w:tcMar>
          </w:tcPr>
          <w:p w14:paraId="69CFFEC3" w14:textId="536EFDB4" w:rsidR="008F0DB7" w:rsidRDefault="006D6243">
            <w:pPr>
              <w:spacing w:after="40"/>
            </w:pPr>
            <w:r>
              <w:rPr>
                <w:rFonts w:ascii="Calibri" w:eastAsia="Calibri" w:hAnsi="Calibri" w:cs="Calibri"/>
                <w:color w:val="2B2B2B"/>
                <w:sz w:val="19"/>
                <w:szCs w:val="19"/>
              </w:rPr>
              <w:t>Client perf team</w:t>
            </w:r>
          </w:p>
        </w:tc>
        <w:tc>
          <w:tcPr>
            <w:tcW w:w="4340" w:type="dxa"/>
            <w:shd w:val="clear" w:color="auto" w:fill="FFFFFF"/>
            <w:tcMar>
              <w:top w:w="90" w:type="dxa"/>
              <w:left w:w="120" w:type="dxa"/>
              <w:bottom w:w="90" w:type="dxa"/>
              <w:right w:w="120" w:type="dxa"/>
            </w:tcMar>
          </w:tcPr>
          <w:p w14:paraId="6B6D7599" w14:textId="77777777" w:rsidR="008F0DB7" w:rsidRDefault="00000000">
            <w:pPr>
              <w:spacing w:after="40"/>
            </w:pPr>
            <w:r>
              <w:rPr>
                <w:rFonts w:ascii="Calibri" w:eastAsia="Calibri" w:hAnsi="Calibri" w:cs="Calibri"/>
                <w:color w:val="2B2B2B"/>
                <w:sz w:val="19"/>
                <w:szCs w:val="19"/>
              </w:rPr>
              <w:t>Day-to-day use of the tool; reading and acting on RCA reports; SLA/threshold tuning input</w:t>
            </w:r>
          </w:p>
        </w:tc>
      </w:tr>
    </w:tbl>
    <w:p w14:paraId="3F254D4A"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13. Risks &amp; Mitigations</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2700"/>
        <w:gridCol w:w="2000"/>
        <w:gridCol w:w="4840"/>
      </w:tblGrid>
      <w:tr w:rsidR="008F0DB7" w14:paraId="513DCCDC" w14:textId="77777777" w:rsidTr="006D6243">
        <w:trPr>
          <w:tblHeader/>
        </w:trPr>
        <w:tc>
          <w:tcPr>
            <w:tcW w:w="2700" w:type="dxa"/>
            <w:shd w:val="clear" w:color="auto" w:fill="7030A0"/>
            <w:tcMar>
              <w:top w:w="100" w:type="dxa"/>
              <w:left w:w="120" w:type="dxa"/>
              <w:bottom w:w="100" w:type="dxa"/>
              <w:right w:w="120" w:type="dxa"/>
            </w:tcMar>
          </w:tcPr>
          <w:p w14:paraId="1512D545" w14:textId="77777777" w:rsidR="008F0DB7" w:rsidRDefault="00000000">
            <w:r>
              <w:rPr>
                <w:rFonts w:ascii="Calibri" w:eastAsia="Calibri" w:hAnsi="Calibri" w:cs="Calibri"/>
                <w:b/>
                <w:bCs/>
                <w:color w:val="FFFFFF"/>
                <w:sz w:val="19"/>
                <w:szCs w:val="19"/>
              </w:rPr>
              <w:t>Risk</w:t>
            </w:r>
          </w:p>
        </w:tc>
        <w:tc>
          <w:tcPr>
            <w:tcW w:w="2000" w:type="dxa"/>
            <w:shd w:val="clear" w:color="auto" w:fill="7030A0"/>
            <w:tcMar>
              <w:top w:w="100" w:type="dxa"/>
              <w:left w:w="120" w:type="dxa"/>
              <w:bottom w:w="100" w:type="dxa"/>
              <w:right w:w="120" w:type="dxa"/>
            </w:tcMar>
          </w:tcPr>
          <w:p w14:paraId="0E8C7330" w14:textId="77777777" w:rsidR="008F0DB7" w:rsidRDefault="00000000">
            <w:r>
              <w:rPr>
                <w:rFonts w:ascii="Calibri" w:eastAsia="Calibri" w:hAnsi="Calibri" w:cs="Calibri"/>
                <w:b/>
                <w:bCs/>
                <w:color w:val="FFFFFF"/>
                <w:sz w:val="19"/>
                <w:szCs w:val="19"/>
              </w:rPr>
              <w:t>Impact</w:t>
            </w:r>
          </w:p>
        </w:tc>
        <w:tc>
          <w:tcPr>
            <w:tcW w:w="4840" w:type="dxa"/>
            <w:shd w:val="clear" w:color="auto" w:fill="7030A0"/>
            <w:tcMar>
              <w:top w:w="100" w:type="dxa"/>
              <w:left w:w="120" w:type="dxa"/>
              <w:bottom w:w="100" w:type="dxa"/>
              <w:right w:w="120" w:type="dxa"/>
            </w:tcMar>
          </w:tcPr>
          <w:p w14:paraId="3D2BB7FA" w14:textId="77777777" w:rsidR="008F0DB7" w:rsidRDefault="00000000">
            <w:r>
              <w:rPr>
                <w:rFonts w:ascii="Calibri" w:eastAsia="Calibri" w:hAnsi="Calibri" w:cs="Calibri"/>
                <w:b/>
                <w:bCs/>
                <w:color w:val="FFFFFF"/>
                <w:sz w:val="19"/>
                <w:szCs w:val="19"/>
              </w:rPr>
              <w:t>Mitigation</w:t>
            </w:r>
          </w:p>
        </w:tc>
      </w:tr>
      <w:tr w:rsidR="008F0DB7" w14:paraId="5C660893" w14:textId="77777777">
        <w:tc>
          <w:tcPr>
            <w:tcW w:w="2700" w:type="dxa"/>
            <w:shd w:val="clear" w:color="auto" w:fill="FFFFFF"/>
            <w:tcMar>
              <w:top w:w="90" w:type="dxa"/>
              <w:left w:w="120" w:type="dxa"/>
              <w:bottom w:w="90" w:type="dxa"/>
              <w:right w:w="120" w:type="dxa"/>
            </w:tcMar>
          </w:tcPr>
          <w:p w14:paraId="4AE8E1FF" w14:textId="77777777" w:rsidR="008F0DB7" w:rsidRDefault="00000000">
            <w:pPr>
              <w:spacing w:after="40"/>
            </w:pPr>
            <w:r>
              <w:rPr>
                <w:rFonts w:ascii="Calibri" w:eastAsia="Calibri" w:hAnsi="Calibri" w:cs="Calibri"/>
                <w:color w:val="2B2B2B"/>
                <w:sz w:val="19"/>
                <w:szCs w:val="19"/>
              </w:rPr>
              <w:t>LLM call-path decision (Section 6) not resolved before Integration</w:t>
            </w:r>
          </w:p>
        </w:tc>
        <w:tc>
          <w:tcPr>
            <w:tcW w:w="2000" w:type="dxa"/>
            <w:shd w:val="clear" w:color="auto" w:fill="FFFFFF"/>
            <w:tcMar>
              <w:top w:w="90" w:type="dxa"/>
              <w:left w:w="120" w:type="dxa"/>
              <w:bottom w:w="90" w:type="dxa"/>
              <w:right w:w="120" w:type="dxa"/>
            </w:tcMar>
          </w:tcPr>
          <w:p w14:paraId="6332D7D0" w14:textId="77777777" w:rsidR="008F0DB7" w:rsidRDefault="00000000">
            <w:pPr>
              <w:spacing w:after="40"/>
            </w:pPr>
            <w:r>
              <w:rPr>
                <w:rFonts w:ascii="Calibri" w:eastAsia="Calibri" w:hAnsi="Calibri" w:cs="Calibri"/>
                <w:color w:val="2B2B2B"/>
                <w:sz w:val="19"/>
                <w:szCs w:val="19"/>
              </w:rPr>
              <w:t>Blocks watch-mode/live rollout</w:t>
            </w:r>
          </w:p>
        </w:tc>
        <w:tc>
          <w:tcPr>
            <w:tcW w:w="4840" w:type="dxa"/>
            <w:shd w:val="clear" w:color="auto" w:fill="FFFFFF"/>
            <w:tcMar>
              <w:top w:w="90" w:type="dxa"/>
              <w:left w:w="120" w:type="dxa"/>
              <w:bottom w:w="90" w:type="dxa"/>
              <w:right w:w="120" w:type="dxa"/>
            </w:tcMar>
          </w:tcPr>
          <w:p w14:paraId="308E4125" w14:textId="77777777" w:rsidR="008F0DB7" w:rsidRDefault="00000000">
            <w:pPr>
              <w:spacing w:after="40"/>
            </w:pPr>
            <w:r>
              <w:rPr>
                <w:rFonts w:ascii="Calibri" w:eastAsia="Calibri" w:hAnsi="Calibri" w:cs="Calibri"/>
                <w:color w:val="2B2B2B"/>
                <w:sz w:val="19"/>
                <w:szCs w:val="19"/>
              </w:rPr>
              <w:t>Run Pilot on synthetic/scrubbed data now; escalate the decision to governance in parallel (Section 15)</w:t>
            </w:r>
          </w:p>
        </w:tc>
      </w:tr>
      <w:tr w:rsidR="008F0DB7" w14:paraId="744DCE79" w14:textId="77777777">
        <w:tc>
          <w:tcPr>
            <w:tcW w:w="2700" w:type="dxa"/>
            <w:shd w:val="clear" w:color="auto" w:fill="F5F7F6"/>
            <w:tcMar>
              <w:top w:w="90" w:type="dxa"/>
              <w:left w:w="120" w:type="dxa"/>
              <w:bottom w:w="90" w:type="dxa"/>
              <w:right w:w="120" w:type="dxa"/>
            </w:tcMar>
          </w:tcPr>
          <w:p w14:paraId="5163CAF7" w14:textId="77777777" w:rsidR="008F0DB7" w:rsidRDefault="00000000">
            <w:pPr>
              <w:spacing w:after="40"/>
            </w:pPr>
            <w:r>
              <w:rPr>
                <w:rFonts w:ascii="Calibri" w:eastAsia="Calibri" w:hAnsi="Calibri" w:cs="Calibri"/>
                <w:color w:val="2B2B2B"/>
                <w:sz w:val="19"/>
                <w:szCs w:val="19"/>
              </w:rPr>
              <w:t>Log data inadvertently contains sensitive detail (hostnames, internal paths, stack traces)</w:t>
            </w:r>
          </w:p>
        </w:tc>
        <w:tc>
          <w:tcPr>
            <w:tcW w:w="2000" w:type="dxa"/>
            <w:shd w:val="clear" w:color="auto" w:fill="F5F7F6"/>
            <w:tcMar>
              <w:top w:w="90" w:type="dxa"/>
              <w:left w:w="120" w:type="dxa"/>
              <w:bottom w:w="90" w:type="dxa"/>
              <w:right w:w="120" w:type="dxa"/>
            </w:tcMar>
          </w:tcPr>
          <w:p w14:paraId="7C6E3E38" w14:textId="77777777" w:rsidR="008F0DB7" w:rsidRDefault="00000000">
            <w:pPr>
              <w:spacing w:after="40"/>
            </w:pPr>
            <w:r>
              <w:rPr>
                <w:rFonts w:ascii="Calibri" w:eastAsia="Calibri" w:hAnsi="Calibri" w:cs="Calibri"/>
                <w:color w:val="2B2B2B"/>
                <w:sz w:val="19"/>
                <w:szCs w:val="19"/>
              </w:rPr>
              <w:t>Data-exposure risk if sent to an external LLM</w:t>
            </w:r>
          </w:p>
        </w:tc>
        <w:tc>
          <w:tcPr>
            <w:tcW w:w="4840" w:type="dxa"/>
            <w:shd w:val="clear" w:color="auto" w:fill="F5F7F6"/>
            <w:tcMar>
              <w:top w:w="90" w:type="dxa"/>
              <w:left w:w="120" w:type="dxa"/>
              <w:bottom w:w="90" w:type="dxa"/>
              <w:right w:w="120" w:type="dxa"/>
            </w:tcMar>
          </w:tcPr>
          <w:p w14:paraId="2C55D80A" w14:textId="77777777" w:rsidR="008F0DB7" w:rsidRDefault="00000000">
            <w:pPr>
              <w:spacing w:after="40"/>
            </w:pPr>
            <w:r>
              <w:rPr>
                <w:rFonts w:ascii="Calibri" w:eastAsia="Calibri" w:hAnsi="Calibri" w:cs="Calibri"/>
                <w:color w:val="2B2B2B"/>
                <w:sz w:val="19"/>
                <w:szCs w:val="19"/>
              </w:rPr>
              <w:t>Confirm data classification with client governance (7.2); consider a redaction pass before the Pattern/Causal agents run, especially under Option B</w:t>
            </w:r>
          </w:p>
        </w:tc>
      </w:tr>
      <w:tr w:rsidR="008F0DB7" w14:paraId="1DA25ABA" w14:textId="77777777">
        <w:tc>
          <w:tcPr>
            <w:tcW w:w="2700" w:type="dxa"/>
            <w:shd w:val="clear" w:color="auto" w:fill="FFFFFF"/>
            <w:tcMar>
              <w:top w:w="90" w:type="dxa"/>
              <w:left w:w="120" w:type="dxa"/>
              <w:bottom w:w="90" w:type="dxa"/>
              <w:right w:w="120" w:type="dxa"/>
            </w:tcMar>
          </w:tcPr>
          <w:p w14:paraId="67F6E5CD" w14:textId="77777777" w:rsidR="008F0DB7" w:rsidRDefault="00000000">
            <w:pPr>
              <w:spacing w:after="40"/>
            </w:pPr>
            <w:proofErr w:type="spellStart"/>
            <w:r>
              <w:rPr>
                <w:rFonts w:ascii="Calibri" w:eastAsia="Calibri" w:hAnsi="Calibri" w:cs="Calibri"/>
                <w:color w:val="2B2B2B"/>
                <w:sz w:val="19"/>
                <w:szCs w:val="19"/>
              </w:rPr>
              <w:t>DuckDB</w:t>
            </w:r>
            <w:proofErr w:type="spellEnd"/>
            <w:r>
              <w:rPr>
                <w:rFonts w:ascii="Calibri" w:eastAsia="Calibri" w:hAnsi="Calibri" w:cs="Calibri"/>
                <w:color w:val="2B2B2B"/>
                <w:sz w:val="19"/>
                <w:szCs w:val="19"/>
              </w:rPr>
              <w:t xml:space="preserve"> store placed on a network-mounted drive</w:t>
            </w:r>
          </w:p>
        </w:tc>
        <w:tc>
          <w:tcPr>
            <w:tcW w:w="2000" w:type="dxa"/>
            <w:shd w:val="clear" w:color="auto" w:fill="FFFFFF"/>
            <w:tcMar>
              <w:top w:w="90" w:type="dxa"/>
              <w:left w:w="120" w:type="dxa"/>
              <w:bottom w:w="90" w:type="dxa"/>
              <w:right w:w="120" w:type="dxa"/>
            </w:tcMar>
          </w:tcPr>
          <w:p w14:paraId="05DACE41" w14:textId="77777777" w:rsidR="008F0DB7" w:rsidRDefault="00000000">
            <w:pPr>
              <w:spacing w:after="40"/>
            </w:pPr>
            <w:r>
              <w:rPr>
                <w:rFonts w:ascii="Calibri" w:eastAsia="Calibri" w:hAnsi="Calibri" w:cs="Calibri"/>
                <w:color w:val="2B2B2B"/>
                <w:sz w:val="19"/>
                <w:szCs w:val="19"/>
              </w:rPr>
              <w:t>WAL-locking failures / pipeline instability</w:t>
            </w:r>
          </w:p>
        </w:tc>
        <w:tc>
          <w:tcPr>
            <w:tcW w:w="4840" w:type="dxa"/>
            <w:shd w:val="clear" w:color="auto" w:fill="FFFFFF"/>
            <w:tcMar>
              <w:top w:w="90" w:type="dxa"/>
              <w:left w:w="120" w:type="dxa"/>
              <w:bottom w:w="90" w:type="dxa"/>
              <w:right w:w="120" w:type="dxa"/>
            </w:tcMar>
          </w:tcPr>
          <w:p w14:paraId="362752DB" w14:textId="77777777" w:rsidR="008F0DB7" w:rsidRDefault="00000000">
            <w:pPr>
              <w:spacing w:after="40"/>
            </w:pPr>
            <w:r>
              <w:rPr>
                <w:rFonts w:ascii="Calibri" w:eastAsia="Calibri" w:hAnsi="Calibri" w:cs="Calibri"/>
                <w:color w:val="2B2B2B"/>
                <w:sz w:val="19"/>
                <w:szCs w:val="19"/>
              </w:rPr>
              <w:t xml:space="preserve">Enforce local-disk-only </w:t>
            </w:r>
            <w:proofErr w:type="spellStart"/>
            <w:r>
              <w:rPr>
                <w:rFonts w:ascii="Calibri" w:eastAsia="Calibri" w:hAnsi="Calibri" w:cs="Calibri"/>
                <w:color w:val="2B2B2B"/>
                <w:sz w:val="19"/>
                <w:szCs w:val="19"/>
              </w:rPr>
              <w:t>db_path</w:t>
            </w:r>
            <w:proofErr w:type="spellEnd"/>
            <w:r>
              <w:rPr>
                <w:rFonts w:ascii="Calibri" w:eastAsia="Calibri" w:hAnsi="Calibri" w:cs="Calibri"/>
                <w:color w:val="2B2B2B"/>
                <w:sz w:val="19"/>
                <w:szCs w:val="19"/>
              </w:rPr>
              <w:t xml:space="preserve"> in deployment config, as already required by the tool's design</w:t>
            </w:r>
          </w:p>
        </w:tc>
      </w:tr>
      <w:tr w:rsidR="008F0DB7" w14:paraId="6749917A" w14:textId="77777777">
        <w:tc>
          <w:tcPr>
            <w:tcW w:w="2700" w:type="dxa"/>
            <w:shd w:val="clear" w:color="auto" w:fill="F5F7F6"/>
            <w:tcMar>
              <w:top w:w="90" w:type="dxa"/>
              <w:left w:w="120" w:type="dxa"/>
              <w:bottom w:w="90" w:type="dxa"/>
              <w:right w:w="120" w:type="dxa"/>
            </w:tcMar>
          </w:tcPr>
          <w:p w14:paraId="787F49C3" w14:textId="77777777" w:rsidR="008F0DB7" w:rsidRDefault="00000000">
            <w:pPr>
              <w:spacing w:after="40"/>
            </w:pPr>
            <w:r>
              <w:rPr>
                <w:rFonts w:ascii="Calibri" w:eastAsia="Calibri" w:hAnsi="Calibri" w:cs="Calibri"/>
                <w:color w:val="2B2B2B"/>
                <w:sz w:val="19"/>
                <w:szCs w:val="19"/>
              </w:rPr>
              <w:t>Firewall/proxy blocks outbound LLM calls in the client network</w:t>
            </w:r>
          </w:p>
        </w:tc>
        <w:tc>
          <w:tcPr>
            <w:tcW w:w="2000" w:type="dxa"/>
            <w:shd w:val="clear" w:color="auto" w:fill="F5F7F6"/>
            <w:tcMar>
              <w:top w:w="90" w:type="dxa"/>
              <w:left w:w="120" w:type="dxa"/>
              <w:bottom w:w="90" w:type="dxa"/>
              <w:right w:w="120" w:type="dxa"/>
            </w:tcMar>
          </w:tcPr>
          <w:p w14:paraId="463DC6E2" w14:textId="77777777" w:rsidR="008F0DB7" w:rsidRDefault="00000000">
            <w:pPr>
              <w:spacing w:after="40"/>
            </w:pPr>
            <w:r>
              <w:rPr>
                <w:rFonts w:ascii="Calibri" w:eastAsia="Calibri" w:hAnsi="Calibri" w:cs="Calibri"/>
                <w:color w:val="2B2B2B"/>
                <w:sz w:val="19"/>
                <w:szCs w:val="19"/>
              </w:rPr>
              <w:t>Pattern/Causal agents fail; pipeline falls back to partial results</w:t>
            </w:r>
          </w:p>
        </w:tc>
        <w:tc>
          <w:tcPr>
            <w:tcW w:w="4840" w:type="dxa"/>
            <w:shd w:val="clear" w:color="auto" w:fill="F5F7F6"/>
            <w:tcMar>
              <w:top w:w="90" w:type="dxa"/>
              <w:left w:w="120" w:type="dxa"/>
              <w:bottom w:w="90" w:type="dxa"/>
              <w:right w:w="120" w:type="dxa"/>
            </w:tcMar>
          </w:tcPr>
          <w:p w14:paraId="4B03AE7B" w14:textId="77777777" w:rsidR="008F0DB7" w:rsidRDefault="00000000">
            <w:pPr>
              <w:spacing w:after="40"/>
            </w:pPr>
            <w:r>
              <w:rPr>
                <w:rFonts w:ascii="Calibri" w:eastAsia="Calibri" w:hAnsi="Calibri" w:cs="Calibri"/>
                <w:color w:val="2B2B2B"/>
                <w:sz w:val="19"/>
                <w:szCs w:val="19"/>
              </w:rPr>
              <w:t>Request the specific allow-list entry (Section 9) as part of the Integration-phase change request; validate connectivity in Pilot</w:t>
            </w:r>
          </w:p>
        </w:tc>
      </w:tr>
      <w:tr w:rsidR="008F0DB7" w14:paraId="35F15C74" w14:textId="77777777">
        <w:tc>
          <w:tcPr>
            <w:tcW w:w="2700" w:type="dxa"/>
            <w:shd w:val="clear" w:color="auto" w:fill="FFFFFF"/>
            <w:tcMar>
              <w:top w:w="90" w:type="dxa"/>
              <w:left w:w="120" w:type="dxa"/>
              <w:bottom w:w="90" w:type="dxa"/>
              <w:right w:w="120" w:type="dxa"/>
            </w:tcMar>
          </w:tcPr>
          <w:p w14:paraId="0C5EEBA3" w14:textId="77777777" w:rsidR="008F0DB7" w:rsidRDefault="00000000">
            <w:pPr>
              <w:spacing w:after="40"/>
            </w:pPr>
            <w:r>
              <w:rPr>
                <w:rFonts w:ascii="Calibri" w:eastAsia="Calibri" w:hAnsi="Calibri" w:cs="Calibri"/>
                <w:color w:val="2B2B2B"/>
                <w:sz w:val="19"/>
                <w:szCs w:val="19"/>
              </w:rPr>
              <w:t>Parsing accuracy gap vs. manual RCA on client-specific log formats</w:t>
            </w:r>
          </w:p>
        </w:tc>
        <w:tc>
          <w:tcPr>
            <w:tcW w:w="2000" w:type="dxa"/>
            <w:shd w:val="clear" w:color="auto" w:fill="FFFFFF"/>
            <w:tcMar>
              <w:top w:w="90" w:type="dxa"/>
              <w:left w:w="120" w:type="dxa"/>
              <w:bottom w:w="90" w:type="dxa"/>
              <w:right w:w="120" w:type="dxa"/>
            </w:tcMar>
          </w:tcPr>
          <w:p w14:paraId="3082786C" w14:textId="77777777" w:rsidR="008F0DB7" w:rsidRDefault="00000000">
            <w:pPr>
              <w:spacing w:after="40"/>
            </w:pPr>
            <w:r>
              <w:rPr>
                <w:rFonts w:ascii="Calibri" w:eastAsia="Calibri" w:hAnsi="Calibri" w:cs="Calibri"/>
                <w:color w:val="2B2B2B"/>
                <w:sz w:val="19"/>
                <w:szCs w:val="19"/>
              </w:rPr>
              <w:t>Reduces trust in automated verdicts</w:t>
            </w:r>
          </w:p>
        </w:tc>
        <w:tc>
          <w:tcPr>
            <w:tcW w:w="4840" w:type="dxa"/>
            <w:shd w:val="clear" w:color="auto" w:fill="FFFFFF"/>
            <w:tcMar>
              <w:top w:w="90" w:type="dxa"/>
              <w:left w:w="120" w:type="dxa"/>
              <w:bottom w:w="90" w:type="dxa"/>
              <w:right w:w="120" w:type="dxa"/>
            </w:tcMar>
          </w:tcPr>
          <w:p w14:paraId="1852A785" w14:textId="77777777" w:rsidR="008F0DB7" w:rsidRDefault="00000000">
            <w:pPr>
              <w:spacing w:after="40"/>
            </w:pPr>
            <w:r>
              <w:rPr>
                <w:rFonts w:ascii="Calibri" w:eastAsia="Calibri" w:hAnsi="Calibri" w:cs="Calibri"/>
                <w:color w:val="2B2B2B"/>
                <w:sz w:val="19"/>
                <w:szCs w:val="19"/>
              </w:rPr>
              <w:t>Explicit parsing-accuracy validation step built into Pilot Week 1–2</w:t>
            </w:r>
          </w:p>
        </w:tc>
      </w:tr>
      <w:tr w:rsidR="008F0DB7" w14:paraId="3069818D" w14:textId="77777777">
        <w:tc>
          <w:tcPr>
            <w:tcW w:w="2700" w:type="dxa"/>
            <w:shd w:val="clear" w:color="auto" w:fill="F5F7F6"/>
            <w:tcMar>
              <w:top w:w="90" w:type="dxa"/>
              <w:left w:w="120" w:type="dxa"/>
              <w:bottom w:w="90" w:type="dxa"/>
              <w:right w:w="120" w:type="dxa"/>
            </w:tcMar>
          </w:tcPr>
          <w:p w14:paraId="07749E65" w14:textId="77777777" w:rsidR="008F0DB7" w:rsidRDefault="00000000">
            <w:pPr>
              <w:spacing w:after="40"/>
            </w:pPr>
            <w:r>
              <w:rPr>
                <w:rFonts w:ascii="Calibri" w:eastAsia="Calibri" w:hAnsi="Calibri" w:cs="Calibri"/>
                <w:color w:val="2B2B2B"/>
                <w:sz w:val="19"/>
                <w:szCs w:val="19"/>
              </w:rPr>
              <w:t>Model/API cost or rate-limit exposure at Scale-up</w:t>
            </w:r>
          </w:p>
        </w:tc>
        <w:tc>
          <w:tcPr>
            <w:tcW w:w="2000" w:type="dxa"/>
            <w:shd w:val="clear" w:color="auto" w:fill="F5F7F6"/>
            <w:tcMar>
              <w:top w:w="90" w:type="dxa"/>
              <w:left w:w="120" w:type="dxa"/>
              <w:bottom w:w="90" w:type="dxa"/>
              <w:right w:w="120" w:type="dxa"/>
            </w:tcMar>
          </w:tcPr>
          <w:p w14:paraId="1FED2A69" w14:textId="77777777" w:rsidR="008F0DB7" w:rsidRDefault="00000000">
            <w:pPr>
              <w:spacing w:after="40"/>
            </w:pPr>
            <w:r>
              <w:rPr>
                <w:rFonts w:ascii="Calibri" w:eastAsia="Calibri" w:hAnsi="Calibri" w:cs="Calibri"/>
                <w:color w:val="2B2B2B"/>
                <w:sz w:val="19"/>
                <w:szCs w:val="19"/>
              </w:rPr>
              <w:t>Cost overrun or throttling once rolled out across all active test projects</w:t>
            </w:r>
          </w:p>
        </w:tc>
        <w:tc>
          <w:tcPr>
            <w:tcW w:w="4840" w:type="dxa"/>
            <w:shd w:val="clear" w:color="auto" w:fill="F5F7F6"/>
            <w:tcMar>
              <w:top w:w="90" w:type="dxa"/>
              <w:left w:w="120" w:type="dxa"/>
              <w:bottom w:w="90" w:type="dxa"/>
              <w:right w:w="120" w:type="dxa"/>
            </w:tcMar>
          </w:tcPr>
          <w:p w14:paraId="6880CDF1" w14:textId="77777777" w:rsidR="008F0DB7" w:rsidRDefault="00000000">
            <w:pPr>
              <w:spacing w:after="40"/>
            </w:pPr>
            <w:r>
              <w:rPr>
                <w:rFonts w:ascii="Calibri" w:eastAsia="Calibri" w:hAnsi="Calibri" w:cs="Calibri"/>
                <w:color w:val="2B2B2B"/>
                <w:sz w:val="19"/>
                <w:szCs w:val="19"/>
              </w:rPr>
              <w:t>Track usage during Integration; confirm Azure OpenAI quota (Option A) or API budget (Option B) before Scale-up</w:t>
            </w:r>
          </w:p>
        </w:tc>
      </w:tr>
    </w:tbl>
    <w:p w14:paraId="5A9BC062"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14. Success Metrics</w:t>
      </w:r>
    </w:p>
    <w:p w14:paraId="2430585A" w14:textId="15E80CFC" w:rsidR="008F0DB7" w:rsidRDefault="00000000">
      <w:pPr>
        <w:pStyle w:val="ListParagraph"/>
        <w:numPr>
          <w:ilvl w:val="0"/>
          <w:numId w:val="2"/>
        </w:numPr>
        <w:spacing w:after="80" w:line="264" w:lineRule="auto"/>
      </w:pPr>
      <w:r>
        <w:rPr>
          <w:rFonts w:ascii="Calibri" w:eastAsia="Calibri" w:hAnsi="Calibri" w:cs="Calibri"/>
          <w:color w:val="2B2B2B"/>
          <w:sz w:val="21"/>
          <w:szCs w:val="21"/>
        </w:rPr>
        <w:t>Primary: ≥</w:t>
      </w:r>
      <w:r w:rsidR="00FA6D37">
        <w:rPr>
          <w:rFonts w:ascii="Calibri" w:eastAsia="Calibri" w:hAnsi="Calibri" w:cs="Calibri"/>
          <w:color w:val="2B2B2B"/>
          <w:sz w:val="21"/>
          <w:szCs w:val="21"/>
        </w:rPr>
        <w:t>6</w:t>
      </w:r>
      <w:r>
        <w:rPr>
          <w:rFonts w:ascii="Calibri" w:eastAsia="Calibri" w:hAnsi="Calibri" w:cs="Calibri"/>
          <w:color w:val="2B2B2B"/>
          <w:sz w:val="21"/>
          <w:szCs w:val="21"/>
        </w:rPr>
        <w:t>0% reduction in RCA turnaround time vs. the manual baseline, measured from Pilot onward.</w:t>
      </w:r>
    </w:p>
    <w:p w14:paraId="6DBA4BFC"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Parsing/analysis accuracy validated against manual RCA on the Pilot test cycle before Integration begins.</w:t>
      </w:r>
    </w:p>
    <w:p w14:paraId="1F01F3D7" w14:textId="20C45B7E" w:rsidR="008F0DB7" w:rsidRDefault="00000000">
      <w:pPr>
        <w:pStyle w:val="ListParagraph"/>
        <w:numPr>
          <w:ilvl w:val="0"/>
          <w:numId w:val="2"/>
        </w:numPr>
        <w:spacing w:after="80" w:line="264" w:lineRule="auto"/>
      </w:pPr>
      <w:r>
        <w:rPr>
          <w:rFonts w:ascii="Calibri" w:eastAsia="Calibri" w:hAnsi="Calibri" w:cs="Calibri"/>
          <w:color w:val="2B2B2B"/>
          <w:sz w:val="21"/>
          <w:szCs w:val="21"/>
        </w:rPr>
        <w:lastRenderedPageBreak/>
        <w:t xml:space="preserve">Adoption: </w:t>
      </w:r>
      <w:r w:rsidR="00FA6D37">
        <w:rPr>
          <w:rFonts w:ascii="Calibri" w:eastAsia="Calibri" w:hAnsi="Calibri" w:cs="Calibri"/>
          <w:color w:val="2B2B2B"/>
          <w:sz w:val="21"/>
          <w:szCs w:val="21"/>
        </w:rPr>
        <w:t>P</w:t>
      </w:r>
      <w:r>
        <w:rPr>
          <w:rFonts w:ascii="Calibri" w:eastAsia="Calibri" w:hAnsi="Calibri" w:cs="Calibri"/>
          <w:color w:val="2B2B2B"/>
          <w:sz w:val="21"/>
          <w:szCs w:val="21"/>
        </w:rPr>
        <w:t>erformance team actively using the shared dashboard by end of Scale-up (Week 10).</w:t>
      </w:r>
    </w:p>
    <w:p w14:paraId="28F44B29"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Quarterly accuracy/coverage review shows stable or improving causal- and pattern-agent findings as more incidents are seen.</w:t>
      </w:r>
    </w:p>
    <w:p w14:paraId="3EF42562"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15. Open Items &amp; Governance Decisions Required</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500"/>
        <w:gridCol w:w="4700"/>
        <w:gridCol w:w="2340"/>
        <w:gridCol w:w="2000"/>
      </w:tblGrid>
      <w:tr w:rsidR="008F0DB7" w14:paraId="4AC43B75" w14:textId="77777777" w:rsidTr="00FA6D37">
        <w:trPr>
          <w:tblHeader/>
        </w:trPr>
        <w:tc>
          <w:tcPr>
            <w:tcW w:w="500" w:type="dxa"/>
            <w:shd w:val="clear" w:color="auto" w:fill="7030A0"/>
            <w:tcMar>
              <w:top w:w="100" w:type="dxa"/>
              <w:left w:w="120" w:type="dxa"/>
              <w:bottom w:w="100" w:type="dxa"/>
              <w:right w:w="120" w:type="dxa"/>
            </w:tcMar>
          </w:tcPr>
          <w:p w14:paraId="374AF100" w14:textId="77777777" w:rsidR="008F0DB7" w:rsidRDefault="00000000">
            <w:r>
              <w:rPr>
                <w:rFonts w:ascii="Calibri" w:eastAsia="Calibri" w:hAnsi="Calibri" w:cs="Calibri"/>
                <w:b/>
                <w:bCs/>
                <w:color w:val="FFFFFF"/>
                <w:sz w:val="19"/>
                <w:szCs w:val="19"/>
              </w:rPr>
              <w:t>#</w:t>
            </w:r>
          </w:p>
        </w:tc>
        <w:tc>
          <w:tcPr>
            <w:tcW w:w="4700" w:type="dxa"/>
            <w:shd w:val="clear" w:color="auto" w:fill="7030A0"/>
            <w:tcMar>
              <w:top w:w="100" w:type="dxa"/>
              <w:left w:w="120" w:type="dxa"/>
              <w:bottom w:w="100" w:type="dxa"/>
              <w:right w:w="120" w:type="dxa"/>
            </w:tcMar>
          </w:tcPr>
          <w:p w14:paraId="510C6304" w14:textId="77777777" w:rsidR="008F0DB7" w:rsidRDefault="00000000">
            <w:r>
              <w:rPr>
                <w:rFonts w:ascii="Calibri" w:eastAsia="Calibri" w:hAnsi="Calibri" w:cs="Calibri"/>
                <w:b/>
                <w:bCs/>
                <w:color w:val="FFFFFF"/>
                <w:sz w:val="19"/>
                <w:szCs w:val="19"/>
              </w:rPr>
              <w:t>Open item</w:t>
            </w:r>
          </w:p>
        </w:tc>
        <w:tc>
          <w:tcPr>
            <w:tcW w:w="2340" w:type="dxa"/>
            <w:shd w:val="clear" w:color="auto" w:fill="7030A0"/>
            <w:tcMar>
              <w:top w:w="100" w:type="dxa"/>
              <w:left w:w="120" w:type="dxa"/>
              <w:bottom w:w="100" w:type="dxa"/>
              <w:right w:w="120" w:type="dxa"/>
            </w:tcMar>
          </w:tcPr>
          <w:p w14:paraId="633F7E5F" w14:textId="77777777" w:rsidR="008F0DB7" w:rsidRDefault="00000000">
            <w:r>
              <w:rPr>
                <w:rFonts w:ascii="Calibri" w:eastAsia="Calibri" w:hAnsi="Calibri" w:cs="Calibri"/>
                <w:b/>
                <w:bCs/>
                <w:color w:val="FFFFFF"/>
                <w:sz w:val="19"/>
                <w:szCs w:val="19"/>
              </w:rPr>
              <w:t>Decision needed from</w:t>
            </w:r>
          </w:p>
        </w:tc>
        <w:tc>
          <w:tcPr>
            <w:tcW w:w="2000" w:type="dxa"/>
            <w:shd w:val="clear" w:color="auto" w:fill="7030A0"/>
            <w:tcMar>
              <w:top w:w="100" w:type="dxa"/>
              <w:left w:w="120" w:type="dxa"/>
              <w:bottom w:w="100" w:type="dxa"/>
              <w:right w:w="120" w:type="dxa"/>
            </w:tcMar>
          </w:tcPr>
          <w:p w14:paraId="15DFEE43" w14:textId="77777777" w:rsidR="008F0DB7" w:rsidRDefault="00000000">
            <w:r>
              <w:rPr>
                <w:rFonts w:ascii="Calibri" w:eastAsia="Calibri" w:hAnsi="Calibri" w:cs="Calibri"/>
                <w:b/>
                <w:bCs/>
                <w:color w:val="FFFFFF"/>
                <w:sz w:val="19"/>
                <w:szCs w:val="19"/>
              </w:rPr>
              <w:t>Target resolution</w:t>
            </w:r>
          </w:p>
        </w:tc>
      </w:tr>
      <w:tr w:rsidR="008F0DB7" w14:paraId="4CDA11F3" w14:textId="77777777">
        <w:tc>
          <w:tcPr>
            <w:tcW w:w="500" w:type="dxa"/>
            <w:shd w:val="clear" w:color="auto" w:fill="FFFFFF"/>
            <w:tcMar>
              <w:top w:w="90" w:type="dxa"/>
              <w:left w:w="120" w:type="dxa"/>
              <w:bottom w:w="90" w:type="dxa"/>
              <w:right w:w="120" w:type="dxa"/>
            </w:tcMar>
          </w:tcPr>
          <w:p w14:paraId="6529DD68" w14:textId="77777777" w:rsidR="008F0DB7" w:rsidRDefault="00000000">
            <w:pPr>
              <w:spacing w:after="40"/>
            </w:pPr>
            <w:r>
              <w:rPr>
                <w:rFonts w:ascii="Calibri" w:eastAsia="Calibri" w:hAnsi="Calibri" w:cs="Calibri"/>
                <w:color w:val="2B2B2B"/>
                <w:sz w:val="19"/>
                <w:szCs w:val="19"/>
              </w:rPr>
              <w:t>1</w:t>
            </w:r>
          </w:p>
        </w:tc>
        <w:tc>
          <w:tcPr>
            <w:tcW w:w="4700" w:type="dxa"/>
            <w:shd w:val="clear" w:color="auto" w:fill="FFFFFF"/>
            <w:tcMar>
              <w:top w:w="90" w:type="dxa"/>
              <w:left w:w="120" w:type="dxa"/>
              <w:bottom w:w="90" w:type="dxa"/>
              <w:right w:w="120" w:type="dxa"/>
            </w:tcMar>
          </w:tcPr>
          <w:p w14:paraId="121FB9D2" w14:textId="77777777" w:rsidR="008F0DB7" w:rsidRDefault="00000000">
            <w:pPr>
              <w:spacing w:after="40"/>
            </w:pPr>
            <w:r>
              <w:rPr>
                <w:rFonts w:ascii="Calibri" w:eastAsia="Calibri" w:hAnsi="Calibri" w:cs="Calibri"/>
                <w:color w:val="2B2B2B"/>
                <w:sz w:val="19"/>
                <w:szCs w:val="19"/>
              </w:rPr>
              <w:t>Confirm Option A vs. Option B (or a scoped interim) for the LLM call path (Section 6)</w:t>
            </w:r>
          </w:p>
        </w:tc>
        <w:tc>
          <w:tcPr>
            <w:tcW w:w="2340" w:type="dxa"/>
            <w:shd w:val="clear" w:color="auto" w:fill="FFFFFF"/>
            <w:tcMar>
              <w:top w:w="90" w:type="dxa"/>
              <w:left w:w="120" w:type="dxa"/>
              <w:bottom w:w="90" w:type="dxa"/>
              <w:right w:w="120" w:type="dxa"/>
            </w:tcMar>
          </w:tcPr>
          <w:p w14:paraId="66287B5D" w14:textId="77777777" w:rsidR="008F0DB7" w:rsidRDefault="00000000">
            <w:pPr>
              <w:spacing w:after="40"/>
            </w:pPr>
            <w:r>
              <w:rPr>
                <w:rFonts w:ascii="Calibri" w:eastAsia="Calibri" w:hAnsi="Calibri" w:cs="Calibri"/>
                <w:color w:val="2B2B2B"/>
                <w:sz w:val="19"/>
                <w:szCs w:val="19"/>
              </w:rPr>
              <w:t>AI governance + client security</w:t>
            </w:r>
          </w:p>
        </w:tc>
        <w:tc>
          <w:tcPr>
            <w:tcW w:w="2000" w:type="dxa"/>
            <w:shd w:val="clear" w:color="auto" w:fill="FFFFFF"/>
            <w:tcMar>
              <w:top w:w="90" w:type="dxa"/>
              <w:left w:w="120" w:type="dxa"/>
              <w:bottom w:w="90" w:type="dxa"/>
              <w:right w:w="120" w:type="dxa"/>
            </w:tcMar>
          </w:tcPr>
          <w:p w14:paraId="3A1182F7" w14:textId="77777777" w:rsidR="008F0DB7" w:rsidRDefault="00000000">
            <w:pPr>
              <w:spacing w:after="40"/>
            </w:pPr>
            <w:r>
              <w:rPr>
                <w:rFonts w:ascii="Calibri" w:eastAsia="Calibri" w:hAnsi="Calibri" w:cs="Calibri"/>
                <w:color w:val="2B2B2B"/>
                <w:sz w:val="19"/>
                <w:szCs w:val="19"/>
              </w:rPr>
              <w:t>Before end of Pilot (Week 2)</w:t>
            </w:r>
          </w:p>
        </w:tc>
      </w:tr>
      <w:tr w:rsidR="008F0DB7" w14:paraId="0DD96530" w14:textId="77777777">
        <w:tc>
          <w:tcPr>
            <w:tcW w:w="500" w:type="dxa"/>
            <w:shd w:val="clear" w:color="auto" w:fill="F5F7F6"/>
            <w:tcMar>
              <w:top w:w="90" w:type="dxa"/>
              <w:left w:w="120" w:type="dxa"/>
              <w:bottom w:w="90" w:type="dxa"/>
              <w:right w:w="120" w:type="dxa"/>
            </w:tcMar>
          </w:tcPr>
          <w:p w14:paraId="64EF7769" w14:textId="77777777" w:rsidR="008F0DB7" w:rsidRDefault="00000000">
            <w:pPr>
              <w:spacing w:after="40"/>
            </w:pPr>
            <w:r>
              <w:rPr>
                <w:rFonts w:ascii="Calibri" w:eastAsia="Calibri" w:hAnsi="Calibri" w:cs="Calibri"/>
                <w:color w:val="2B2B2B"/>
                <w:sz w:val="19"/>
                <w:szCs w:val="19"/>
              </w:rPr>
              <w:t>2</w:t>
            </w:r>
          </w:p>
        </w:tc>
        <w:tc>
          <w:tcPr>
            <w:tcW w:w="4700" w:type="dxa"/>
            <w:shd w:val="clear" w:color="auto" w:fill="F5F7F6"/>
            <w:tcMar>
              <w:top w:w="90" w:type="dxa"/>
              <w:left w:w="120" w:type="dxa"/>
              <w:bottom w:w="90" w:type="dxa"/>
              <w:right w:w="120" w:type="dxa"/>
            </w:tcMar>
          </w:tcPr>
          <w:p w14:paraId="51C4D2B5" w14:textId="77777777" w:rsidR="008F0DB7" w:rsidRDefault="00000000">
            <w:pPr>
              <w:spacing w:after="40"/>
            </w:pPr>
            <w:r>
              <w:rPr>
                <w:rFonts w:ascii="Calibri" w:eastAsia="Calibri" w:hAnsi="Calibri" w:cs="Calibri"/>
                <w:color w:val="2B2B2B"/>
                <w:sz w:val="19"/>
                <w:szCs w:val="19"/>
              </w:rPr>
              <w:t>Confirm data classification of performance-test logs and whether any test cycle uses masked production data</w:t>
            </w:r>
          </w:p>
        </w:tc>
        <w:tc>
          <w:tcPr>
            <w:tcW w:w="2340" w:type="dxa"/>
            <w:shd w:val="clear" w:color="auto" w:fill="F5F7F6"/>
            <w:tcMar>
              <w:top w:w="90" w:type="dxa"/>
              <w:left w:w="120" w:type="dxa"/>
              <w:bottom w:w="90" w:type="dxa"/>
              <w:right w:w="120" w:type="dxa"/>
            </w:tcMar>
          </w:tcPr>
          <w:p w14:paraId="06D4423F" w14:textId="77777777" w:rsidR="008F0DB7" w:rsidRDefault="00000000">
            <w:pPr>
              <w:spacing w:after="40"/>
            </w:pPr>
            <w:r>
              <w:rPr>
                <w:rFonts w:ascii="Calibri" w:eastAsia="Calibri" w:hAnsi="Calibri" w:cs="Calibri"/>
                <w:color w:val="2B2B2B"/>
                <w:sz w:val="19"/>
                <w:szCs w:val="19"/>
              </w:rPr>
              <w:t>Client data-governance team</w:t>
            </w:r>
          </w:p>
        </w:tc>
        <w:tc>
          <w:tcPr>
            <w:tcW w:w="2000" w:type="dxa"/>
            <w:shd w:val="clear" w:color="auto" w:fill="F5F7F6"/>
            <w:tcMar>
              <w:top w:w="90" w:type="dxa"/>
              <w:left w:w="120" w:type="dxa"/>
              <w:bottom w:w="90" w:type="dxa"/>
              <w:right w:w="120" w:type="dxa"/>
            </w:tcMar>
          </w:tcPr>
          <w:p w14:paraId="17FE3239" w14:textId="77777777" w:rsidR="008F0DB7" w:rsidRDefault="00000000">
            <w:pPr>
              <w:spacing w:after="40"/>
            </w:pPr>
            <w:r>
              <w:rPr>
                <w:rFonts w:ascii="Calibri" w:eastAsia="Calibri" w:hAnsi="Calibri" w:cs="Calibri"/>
                <w:color w:val="2B2B2B"/>
                <w:sz w:val="19"/>
                <w:szCs w:val="19"/>
              </w:rPr>
              <w:t>Before end of Pilot (Week 2)</w:t>
            </w:r>
          </w:p>
        </w:tc>
      </w:tr>
      <w:tr w:rsidR="008F0DB7" w14:paraId="471B7842" w14:textId="77777777">
        <w:tc>
          <w:tcPr>
            <w:tcW w:w="500" w:type="dxa"/>
            <w:shd w:val="clear" w:color="auto" w:fill="FFFFFF"/>
            <w:tcMar>
              <w:top w:w="90" w:type="dxa"/>
              <w:left w:w="120" w:type="dxa"/>
              <w:bottom w:w="90" w:type="dxa"/>
              <w:right w:w="120" w:type="dxa"/>
            </w:tcMar>
          </w:tcPr>
          <w:p w14:paraId="680BA9EB" w14:textId="77777777" w:rsidR="008F0DB7" w:rsidRDefault="00000000">
            <w:pPr>
              <w:spacing w:after="40"/>
            </w:pPr>
            <w:r>
              <w:rPr>
                <w:rFonts w:ascii="Calibri" w:eastAsia="Calibri" w:hAnsi="Calibri" w:cs="Calibri"/>
                <w:color w:val="2B2B2B"/>
                <w:sz w:val="19"/>
                <w:szCs w:val="19"/>
              </w:rPr>
              <w:t>3</w:t>
            </w:r>
          </w:p>
        </w:tc>
        <w:tc>
          <w:tcPr>
            <w:tcW w:w="4700" w:type="dxa"/>
            <w:shd w:val="clear" w:color="auto" w:fill="FFFFFF"/>
            <w:tcMar>
              <w:top w:w="90" w:type="dxa"/>
              <w:left w:w="120" w:type="dxa"/>
              <w:bottom w:w="90" w:type="dxa"/>
              <w:right w:w="120" w:type="dxa"/>
            </w:tcMar>
          </w:tcPr>
          <w:p w14:paraId="22828127" w14:textId="77777777" w:rsidR="008F0DB7" w:rsidRDefault="00000000">
            <w:pPr>
              <w:spacing w:after="40"/>
            </w:pPr>
            <w:r>
              <w:rPr>
                <w:rFonts w:ascii="Calibri" w:eastAsia="Calibri" w:hAnsi="Calibri" w:cs="Calibri"/>
                <w:color w:val="2B2B2B"/>
                <w:sz w:val="19"/>
                <w:szCs w:val="19"/>
              </w:rPr>
              <w:t>Firewall/proxy allow-list request for the chosen LLM endpoint</w:t>
            </w:r>
          </w:p>
        </w:tc>
        <w:tc>
          <w:tcPr>
            <w:tcW w:w="2340" w:type="dxa"/>
            <w:shd w:val="clear" w:color="auto" w:fill="FFFFFF"/>
            <w:tcMar>
              <w:top w:w="90" w:type="dxa"/>
              <w:left w:w="120" w:type="dxa"/>
              <w:bottom w:w="90" w:type="dxa"/>
              <w:right w:w="120" w:type="dxa"/>
            </w:tcMar>
          </w:tcPr>
          <w:p w14:paraId="03A17469" w14:textId="77777777" w:rsidR="008F0DB7" w:rsidRDefault="00000000">
            <w:pPr>
              <w:spacing w:after="40"/>
            </w:pPr>
            <w:r>
              <w:rPr>
                <w:rFonts w:ascii="Calibri" w:eastAsia="Calibri" w:hAnsi="Calibri" w:cs="Calibri"/>
                <w:color w:val="2B2B2B"/>
                <w:sz w:val="19"/>
                <w:szCs w:val="19"/>
              </w:rPr>
              <w:t>Client infrastructure/security</w:t>
            </w:r>
          </w:p>
        </w:tc>
        <w:tc>
          <w:tcPr>
            <w:tcW w:w="2000" w:type="dxa"/>
            <w:shd w:val="clear" w:color="auto" w:fill="FFFFFF"/>
            <w:tcMar>
              <w:top w:w="90" w:type="dxa"/>
              <w:left w:w="120" w:type="dxa"/>
              <w:bottom w:w="90" w:type="dxa"/>
              <w:right w:w="120" w:type="dxa"/>
            </w:tcMar>
          </w:tcPr>
          <w:p w14:paraId="63FB9F4F" w14:textId="77777777" w:rsidR="008F0DB7" w:rsidRDefault="00000000">
            <w:pPr>
              <w:spacing w:after="40"/>
            </w:pPr>
            <w:r>
              <w:rPr>
                <w:rFonts w:ascii="Calibri" w:eastAsia="Calibri" w:hAnsi="Calibri" w:cs="Calibri"/>
                <w:color w:val="2B2B2B"/>
                <w:sz w:val="19"/>
                <w:szCs w:val="19"/>
              </w:rPr>
              <w:t>Start of Integration (Week 3)</w:t>
            </w:r>
          </w:p>
        </w:tc>
      </w:tr>
      <w:tr w:rsidR="008F0DB7" w14:paraId="3D989ABD" w14:textId="77777777">
        <w:tc>
          <w:tcPr>
            <w:tcW w:w="500" w:type="dxa"/>
            <w:shd w:val="clear" w:color="auto" w:fill="F5F7F6"/>
            <w:tcMar>
              <w:top w:w="90" w:type="dxa"/>
              <w:left w:w="120" w:type="dxa"/>
              <w:bottom w:w="90" w:type="dxa"/>
              <w:right w:w="120" w:type="dxa"/>
            </w:tcMar>
          </w:tcPr>
          <w:p w14:paraId="03E15EA9" w14:textId="77777777" w:rsidR="008F0DB7" w:rsidRDefault="00000000">
            <w:pPr>
              <w:spacing w:after="40"/>
            </w:pPr>
            <w:r>
              <w:rPr>
                <w:rFonts w:ascii="Calibri" w:eastAsia="Calibri" w:hAnsi="Calibri" w:cs="Calibri"/>
                <w:color w:val="2B2B2B"/>
                <w:sz w:val="19"/>
                <w:szCs w:val="19"/>
              </w:rPr>
              <w:t>4</w:t>
            </w:r>
          </w:p>
        </w:tc>
        <w:tc>
          <w:tcPr>
            <w:tcW w:w="4700" w:type="dxa"/>
            <w:shd w:val="clear" w:color="auto" w:fill="F5F7F6"/>
            <w:tcMar>
              <w:top w:w="90" w:type="dxa"/>
              <w:left w:w="120" w:type="dxa"/>
              <w:bottom w:w="90" w:type="dxa"/>
              <w:right w:w="120" w:type="dxa"/>
            </w:tcMar>
          </w:tcPr>
          <w:p w14:paraId="77F93556" w14:textId="77777777" w:rsidR="008F0DB7" w:rsidRDefault="00000000">
            <w:pPr>
              <w:spacing w:after="40"/>
            </w:pPr>
            <w:r>
              <w:rPr>
                <w:rFonts w:ascii="Calibri" w:eastAsia="Calibri" w:hAnsi="Calibri" w:cs="Calibri"/>
                <w:color w:val="2B2B2B"/>
                <w:sz w:val="19"/>
                <w:szCs w:val="19"/>
              </w:rPr>
              <w:t>Confirm final infrastructure sizing and hosting (VM vs. container, OS) for the pipeline host</w:t>
            </w:r>
          </w:p>
        </w:tc>
        <w:tc>
          <w:tcPr>
            <w:tcW w:w="2340" w:type="dxa"/>
            <w:shd w:val="clear" w:color="auto" w:fill="F5F7F6"/>
            <w:tcMar>
              <w:top w:w="90" w:type="dxa"/>
              <w:left w:w="120" w:type="dxa"/>
              <w:bottom w:w="90" w:type="dxa"/>
              <w:right w:w="120" w:type="dxa"/>
            </w:tcMar>
          </w:tcPr>
          <w:p w14:paraId="2E800A12" w14:textId="77777777" w:rsidR="008F0DB7" w:rsidRDefault="00000000">
            <w:pPr>
              <w:spacing w:after="40"/>
            </w:pPr>
            <w:r>
              <w:rPr>
                <w:rFonts w:ascii="Calibri" w:eastAsia="Calibri" w:hAnsi="Calibri" w:cs="Calibri"/>
                <w:color w:val="2B2B2B"/>
                <w:sz w:val="19"/>
                <w:szCs w:val="19"/>
              </w:rPr>
              <w:t>Client infrastructure team + Pankaj</w:t>
            </w:r>
          </w:p>
        </w:tc>
        <w:tc>
          <w:tcPr>
            <w:tcW w:w="2000" w:type="dxa"/>
            <w:shd w:val="clear" w:color="auto" w:fill="F5F7F6"/>
            <w:tcMar>
              <w:top w:w="90" w:type="dxa"/>
              <w:left w:w="120" w:type="dxa"/>
              <w:bottom w:w="90" w:type="dxa"/>
              <w:right w:w="120" w:type="dxa"/>
            </w:tcMar>
          </w:tcPr>
          <w:p w14:paraId="010F28B0" w14:textId="77777777" w:rsidR="008F0DB7" w:rsidRDefault="00000000">
            <w:pPr>
              <w:spacing w:after="40"/>
            </w:pPr>
            <w:r>
              <w:rPr>
                <w:rFonts w:ascii="Calibri" w:eastAsia="Calibri" w:hAnsi="Calibri" w:cs="Calibri"/>
                <w:color w:val="2B2B2B"/>
                <w:sz w:val="19"/>
                <w:szCs w:val="19"/>
              </w:rPr>
              <w:t>Start of Integration (Week 3)</w:t>
            </w:r>
          </w:p>
        </w:tc>
      </w:tr>
      <w:tr w:rsidR="008F0DB7" w14:paraId="6ED55A01" w14:textId="77777777">
        <w:tc>
          <w:tcPr>
            <w:tcW w:w="500" w:type="dxa"/>
            <w:shd w:val="clear" w:color="auto" w:fill="FFFFFF"/>
            <w:tcMar>
              <w:top w:w="90" w:type="dxa"/>
              <w:left w:w="120" w:type="dxa"/>
              <w:bottom w:w="90" w:type="dxa"/>
              <w:right w:w="120" w:type="dxa"/>
            </w:tcMar>
          </w:tcPr>
          <w:p w14:paraId="22752459" w14:textId="77777777" w:rsidR="008F0DB7" w:rsidRDefault="00000000">
            <w:pPr>
              <w:spacing w:after="40"/>
            </w:pPr>
            <w:r>
              <w:rPr>
                <w:rFonts w:ascii="Calibri" w:eastAsia="Calibri" w:hAnsi="Calibri" w:cs="Calibri"/>
                <w:color w:val="2B2B2B"/>
                <w:sz w:val="19"/>
                <w:szCs w:val="19"/>
              </w:rPr>
              <w:t>5</w:t>
            </w:r>
          </w:p>
        </w:tc>
        <w:tc>
          <w:tcPr>
            <w:tcW w:w="4700" w:type="dxa"/>
            <w:shd w:val="clear" w:color="auto" w:fill="FFFFFF"/>
            <w:tcMar>
              <w:top w:w="90" w:type="dxa"/>
              <w:left w:w="120" w:type="dxa"/>
              <w:bottom w:w="90" w:type="dxa"/>
              <w:right w:w="120" w:type="dxa"/>
            </w:tcMar>
          </w:tcPr>
          <w:p w14:paraId="0300278D" w14:textId="77777777" w:rsidR="008F0DB7" w:rsidRDefault="00000000">
            <w:pPr>
              <w:spacing w:after="40"/>
            </w:pPr>
            <w:r>
              <w:rPr>
                <w:rFonts w:ascii="Calibri" w:eastAsia="Calibri" w:hAnsi="Calibri" w:cs="Calibri"/>
                <w:color w:val="2B2B2B"/>
                <w:sz w:val="19"/>
                <w:szCs w:val="19"/>
              </w:rPr>
              <w:t>Secrets-management approach for LLM credentials (</w:t>
            </w:r>
            <w:proofErr w:type="gramStart"/>
            <w:r>
              <w:rPr>
                <w:rFonts w:ascii="Calibri" w:eastAsia="Calibri" w:hAnsi="Calibri" w:cs="Calibri"/>
                <w:color w:val="2B2B2B"/>
                <w:sz w:val="19"/>
                <w:szCs w:val="19"/>
              </w:rPr>
              <w:t>plain .env</w:t>
            </w:r>
            <w:proofErr w:type="gramEnd"/>
            <w:r>
              <w:rPr>
                <w:rFonts w:ascii="Calibri" w:eastAsia="Calibri" w:hAnsi="Calibri" w:cs="Calibri"/>
                <w:color w:val="2B2B2B"/>
                <w:sz w:val="19"/>
                <w:szCs w:val="19"/>
              </w:rPr>
              <w:t xml:space="preserve"> vs. client secrets manager)</w:t>
            </w:r>
          </w:p>
        </w:tc>
        <w:tc>
          <w:tcPr>
            <w:tcW w:w="2340" w:type="dxa"/>
            <w:shd w:val="clear" w:color="auto" w:fill="FFFFFF"/>
            <w:tcMar>
              <w:top w:w="90" w:type="dxa"/>
              <w:left w:w="120" w:type="dxa"/>
              <w:bottom w:w="90" w:type="dxa"/>
              <w:right w:w="120" w:type="dxa"/>
            </w:tcMar>
          </w:tcPr>
          <w:p w14:paraId="37FA0F0F" w14:textId="77777777" w:rsidR="008F0DB7" w:rsidRDefault="00000000">
            <w:pPr>
              <w:spacing w:after="40"/>
            </w:pPr>
            <w:r>
              <w:rPr>
                <w:rFonts w:ascii="Calibri" w:eastAsia="Calibri" w:hAnsi="Calibri" w:cs="Calibri"/>
                <w:color w:val="2B2B2B"/>
                <w:sz w:val="19"/>
                <w:szCs w:val="19"/>
              </w:rPr>
              <w:t>Client security + Pankaj</w:t>
            </w:r>
          </w:p>
        </w:tc>
        <w:tc>
          <w:tcPr>
            <w:tcW w:w="2000" w:type="dxa"/>
            <w:shd w:val="clear" w:color="auto" w:fill="FFFFFF"/>
            <w:tcMar>
              <w:top w:w="90" w:type="dxa"/>
              <w:left w:w="120" w:type="dxa"/>
              <w:bottom w:w="90" w:type="dxa"/>
              <w:right w:w="120" w:type="dxa"/>
            </w:tcMar>
          </w:tcPr>
          <w:p w14:paraId="0F208D31" w14:textId="77777777" w:rsidR="008F0DB7" w:rsidRDefault="00000000">
            <w:pPr>
              <w:spacing w:after="40"/>
            </w:pPr>
            <w:r>
              <w:rPr>
                <w:rFonts w:ascii="Calibri" w:eastAsia="Calibri" w:hAnsi="Calibri" w:cs="Calibri"/>
                <w:color w:val="2B2B2B"/>
                <w:sz w:val="19"/>
                <w:szCs w:val="19"/>
              </w:rPr>
              <w:t>Start of Integration (Week 3)</w:t>
            </w:r>
          </w:p>
        </w:tc>
      </w:tr>
      <w:tr w:rsidR="001537ED" w14:paraId="40262654" w14:textId="77777777">
        <w:tc>
          <w:tcPr>
            <w:tcW w:w="500" w:type="dxa"/>
          </w:tcPr>
          <w:p w14:paraId="30E822A0" w14:textId="77777777" w:rsidR="001537ED" w:rsidRDefault="00000000">
            <w:r>
              <w:t>6</w:t>
            </w:r>
          </w:p>
        </w:tc>
        <w:tc>
          <w:tcPr>
            <w:tcW w:w="4700" w:type="dxa"/>
          </w:tcPr>
          <w:p w14:paraId="54851B15" w14:textId="77777777" w:rsidR="001537ED" w:rsidRDefault="00000000">
            <w:r>
              <w:t xml:space="preserve">Confirm Azure OpenAI token pricing/cost model for Option A on </w:t>
            </w:r>
            <w:proofErr w:type="spellStart"/>
            <w:r>
              <w:t>Intact's</w:t>
            </w:r>
            <w:proofErr w:type="spellEnd"/>
            <w:r>
              <w:t xml:space="preserve"> own Azure subscription (GPT-4o-equivalent quota vs. a current-generation model)</w:t>
            </w:r>
          </w:p>
        </w:tc>
        <w:tc>
          <w:tcPr>
            <w:tcW w:w="2340" w:type="dxa"/>
          </w:tcPr>
          <w:p w14:paraId="116CCEFF" w14:textId="77777777" w:rsidR="001537ED" w:rsidRDefault="00000000">
            <w:r>
              <w:t>Intact Azure/cloud commercial team</w:t>
            </w:r>
          </w:p>
        </w:tc>
        <w:tc>
          <w:tcPr>
            <w:tcW w:w="2000" w:type="dxa"/>
          </w:tcPr>
          <w:p w14:paraId="164DC25D" w14:textId="77777777" w:rsidR="001537ED" w:rsidRDefault="00000000">
            <w:r>
              <w:t>Before end of Pilot (Week 2)</w:t>
            </w:r>
          </w:p>
        </w:tc>
      </w:tr>
      <w:tr w:rsidR="001537ED" w14:paraId="5D01DFB6" w14:textId="77777777">
        <w:tc>
          <w:tcPr>
            <w:tcW w:w="500" w:type="dxa"/>
          </w:tcPr>
          <w:p w14:paraId="1299355E" w14:textId="77777777" w:rsidR="001537ED" w:rsidRDefault="00000000">
            <w:r>
              <w:t>7</w:t>
            </w:r>
          </w:p>
        </w:tc>
        <w:tc>
          <w:tcPr>
            <w:tcW w:w="4700" w:type="dxa"/>
          </w:tcPr>
          <w:p w14:paraId="1AA10A41" w14:textId="77777777" w:rsidR="001537ED" w:rsidRDefault="00000000">
            <w:r>
              <w:t>Confirm repo/solution hosting and hand-off mechanism into the Intact network (Git host access vs. container-registry hand-off vs. managed file transfer)</w:t>
            </w:r>
          </w:p>
        </w:tc>
        <w:tc>
          <w:tcPr>
            <w:tcW w:w="2340" w:type="dxa"/>
          </w:tcPr>
          <w:p w14:paraId="2F130E72" w14:textId="77777777" w:rsidR="001537ED" w:rsidRDefault="00000000">
            <w:r>
              <w:t>Client infrastructure/security + Pankaj</w:t>
            </w:r>
          </w:p>
        </w:tc>
        <w:tc>
          <w:tcPr>
            <w:tcW w:w="2000" w:type="dxa"/>
          </w:tcPr>
          <w:p w14:paraId="091DF30D" w14:textId="77777777" w:rsidR="001537ED" w:rsidRDefault="00000000">
            <w:r>
              <w:t>Start of Integration (Week 3)</w:t>
            </w:r>
          </w:p>
        </w:tc>
      </w:tr>
    </w:tbl>
    <w:p w14:paraId="09EAC3F7"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t>16. Appendix — Supporting Assets</w:t>
      </w:r>
    </w:p>
    <w:p w14:paraId="0E6C87EA" w14:textId="378255DE" w:rsidR="008F0DB7" w:rsidRDefault="00000000">
      <w:pPr>
        <w:pStyle w:val="ListParagraph"/>
        <w:numPr>
          <w:ilvl w:val="0"/>
          <w:numId w:val="2"/>
        </w:numPr>
        <w:spacing w:after="80" w:line="264" w:lineRule="auto"/>
      </w:pPr>
      <w:r>
        <w:rPr>
          <w:rFonts w:ascii="Calibri" w:eastAsia="Calibri" w:hAnsi="Calibri" w:cs="Calibri"/>
          <w:color w:val="2B2B2B"/>
          <w:sz w:val="21"/>
          <w:szCs w:val="21"/>
        </w:rPr>
        <w:t>PT_AI_Client_Demo.pptx / PT_AI_LogMining_Client_Deck.pptx — client-facing decks used for the Intact Insurance demo</w:t>
      </w:r>
      <w:r w:rsidR="001C550A">
        <w:rPr>
          <w:rFonts w:ascii="Calibri" w:eastAsia="Calibri" w:hAnsi="Calibri" w:cs="Calibri"/>
          <w:color w:val="2B2B2B"/>
          <w:sz w:val="21"/>
          <w:szCs w:val="21"/>
        </w:rPr>
        <w:t>.</w:t>
      </w:r>
    </w:p>
    <w:p w14:paraId="74A6E3C9" w14:textId="18403903"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PT_Pipeline_HowTo_Guide.docx </w:t>
      </w:r>
    </w:p>
    <w:p w14:paraId="417D96AC" w14:textId="71E3A473" w:rsidR="008F0DB7" w:rsidRDefault="00000000">
      <w:pPr>
        <w:pStyle w:val="ListParagraph"/>
        <w:numPr>
          <w:ilvl w:val="0"/>
          <w:numId w:val="2"/>
        </w:numPr>
        <w:spacing w:after="80" w:line="264" w:lineRule="auto"/>
      </w:pPr>
      <w:r>
        <w:rPr>
          <w:rFonts w:ascii="Calibri" w:eastAsia="Calibri" w:hAnsi="Calibri" w:cs="Calibri"/>
          <w:color w:val="2B2B2B"/>
          <w:sz w:val="21"/>
          <w:szCs w:val="21"/>
        </w:rPr>
        <w:t xml:space="preserve">PT_AI_Pipeline_Diagram.pptx / ai_log_pipeline.html — architecture diagram </w:t>
      </w:r>
    </w:p>
    <w:p w14:paraId="0A0A19AE" w14:textId="3647B1A4" w:rsidR="008F0DB7" w:rsidRDefault="00000000">
      <w:pPr>
        <w:pStyle w:val="ListParagraph"/>
        <w:numPr>
          <w:ilvl w:val="0"/>
          <w:numId w:val="2"/>
        </w:numPr>
        <w:spacing w:after="80" w:line="264" w:lineRule="auto"/>
      </w:pPr>
      <w:r>
        <w:rPr>
          <w:rFonts w:ascii="Calibri" w:eastAsia="Calibri" w:hAnsi="Calibri" w:cs="Calibri"/>
          <w:color w:val="2B2B2B"/>
          <w:sz w:val="21"/>
          <w:szCs w:val="21"/>
        </w:rPr>
        <w:t>PT_AI_Pipeline_Roadmap.pdf — client rollout roadmap (source for Section 11)</w:t>
      </w:r>
    </w:p>
    <w:p w14:paraId="4087EFD8" w14:textId="1A89FCDC" w:rsidR="008F0DB7" w:rsidRDefault="00000000">
      <w:pPr>
        <w:pStyle w:val="ListParagraph"/>
        <w:numPr>
          <w:ilvl w:val="0"/>
          <w:numId w:val="2"/>
        </w:numPr>
        <w:spacing w:after="80" w:line="264" w:lineRule="auto"/>
      </w:pPr>
      <w:proofErr w:type="gramStart"/>
      <w:r>
        <w:rPr>
          <w:rFonts w:ascii="Calibri" w:eastAsia="Calibri" w:hAnsi="Calibri" w:cs="Calibri"/>
          <w:color w:val="2B2B2B"/>
          <w:sz w:val="21"/>
          <w:szCs w:val="21"/>
        </w:rPr>
        <w:t>config.yaml</w:t>
      </w:r>
      <w:proofErr w:type="gramEnd"/>
      <w:r>
        <w:rPr>
          <w:rFonts w:ascii="Calibri" w:eastAsia="Calibri" w:hAnsi="Calibri" w:cs="Calibri"/>
          <w:color w:val="2B2B2B"/>
          <w:sz w:val="21"/>
          <w:szCs w:val="21"/>
        </w:rPr>
        <w:t xml:space="preserve"> — full configuration reference (source for Section 10)</w:t>
      </w:r>
    </w:p>
    <w:p w14:paraId="3A08FDD2" w14:textId="7D13233B" w:rsidR="008F0DB7" w:rsidRDefault="00000000">
      <w:pPr>
        <w:pStyle w:val="ListParagraph"/>
        <w:numPr>
          <w:ilvl w:val="0"/>
          <w:numId w:val="2"/>
        </w:numPr>
        <w:spacing w:after="80" w:line="264" w:lineRule="auto"/>
      </w:pPr>
      <w:r>
        <w:rPr>
          <w:rFonts w:ascii="Calibri" w:eastAsia="Calibri" w:hAnsi="Calibri" w:cs="Calibri"/>
          <w:color w:val="2B2B2B"/>
          <w:sz w:val="21"/>
          <w:szCs w:val="21"/>
        </w:rPr>
        <w:t>sample_data/generate_samples.py — synthetic test-data generator, recommended for Pilot-phase validation without live client data</w:t>
      </w:r>
    </w:p>
    <w:p w14:paraId="05FE3EA7" w14:textId="77777777" w:rsidR="008F0DB7" w:rsidRDefault="00000000">
      <w:pPr>
        <w:pStyle w:val="ListParagraph"/>
        <w:numPr>
          <w:ilvl w:val="0"/>
          <w:numId w:val="2"/>
        </w:numPr>
        <w:spacing w:after="80" w:line="264" w:lineRule="auto"/>
      </w:pPr>
      <w:r>
        <w:rPr>
          <w:rFonts w:ascii="Calibri" w:eastAsia="Calibri" w:hAnsi="Calibri" w:cs="Calibri"/>
          <w:color w:val="2B2B2B"/>
          <w:sz w:val="21"/>
          <w:szCs w:val="21"/>
        </w:rPr>
        <w:t>Smoke test on synthetic data: 4,196 events ingested, 18 metrics, 252 anomalies, 3 trends, 5 threshold breaches, 1 pattern — verdict FAIL as expected from injected spikes, confirming the detection logic functions end-to-end</w:t>
      </w:r>
    </w:p>
    <w:p w14:paraId="05B64C96" w14:textId="77777777" w:rsidR="008F0DB7" w:rsidRDefault="00000000">
      <w:pPr>
        <w:pStyle w:val="Heading1"/>
        <w:pBdr>
          <w:bottom w:val="single" w:sz="8" w:space="4" w:color="2E7D6B"/>
        </w:pBdr>
        <w:spacing w:before="480" w:after="200"/>
      </w:pPr>
      <w:r>
        <w:rPr>
          <w:rFonts w:ascii="Calibri" w:eastAsia="Calibri" w:hAnsi="Calibri" w:cs="Calibri"/>
          <w:b/>
          <w:bCs/>
          <w:color w:val="1F3B57"/>
          <w:sz w:val="30"/>
          <w:szCs w:val="30"/>
        </w:rPr>
        <w:lastRenderedPageBreak/>
        <w:t>17. Approval &amp; Sign-off</w:t>
      </w:r>
    </w:p>
    <w:p w14:paraId="3DA4C7A5" w14:textId="77777777" w:rsidR="008F0DB7" w:rsidRDefault="00000000">
      <w:pPr>
        <w:spacing w:after="160" w:line="276" w:lineRule="auto"/>
      </w:pPr>
      <w:r>
        <w:rPr>
          <w:rFonts w:ascii="Calibri" w:eastAsia="Calibri" w:hAnsi="Calibri" w:cs="Calibri"/>
          <w:color w:val="2B2B2B"/>
          <w:sz w:val="21"/>
          <w:szCs w:val="21"/>
        </w:rPr>
        <w:t>This design is submitted for review and sign-off by the following stakeholders before implementation proceeds beyond the Pilot phase:</w:t>
      </w:r>
    </w:p>
    <w:tbl>
      <w:tblPr>
        <w:tblW w:w="9540" w:type="dxa"/>
        <w:tblBorders>
          <w:top w:val="single" w:sz="4" w:space="0" w:color="C9D2CF"/>
          <w:left w:val="single" w:sz="4" w:space="0" w:color="C9D2CF"/>
          <w:bottom w:val="single" w:sz="4" w:space="0" w:color="C9D2CF"/>
          <w:right w:val="single" w:sz="4" w:space="0" w:color="C9D2CF"/>
          <w:insideH w:val="single" w:sz="4" w:space="0" w:color="C9D2CF"/>
          <w:insideV w:val="single" w:sz="4" w:space="0" w:color="C9D2CF"/>
        </w:tblBorders>
        <w:tblCellMar>
          <w:left w:w="10" w:type="dxa"/>
          <w:right w:w="10" w:type="dxa"/>
        </w:tblCellMar>
        <w:tblLook w:val="04A0" w:firstRow="1" w:lastRow="0" w:firstColumn="1" w:lastColumn="0" w:noHBand="0" w:noVBand="1"/>
      </w:tblPr>
      <w:tblGrid>
        <w:gridCol w:w="3200"/>
        <w:gridCol w:w="2600"/>
        <w:gridCol w:w="1900"/>
        <w:gridCol w:w="1840"/>
      </w:tblGrid>
      <w:tr w:rsidR="008F0DB7" w14:paraId="6D6AF57F" w14:textId="77777777" w:rsidTr="00FA6D37">
        <w:trPr>
          <w:tblHeader/>
        </w:trPr>
        <w:tc>
          <w:tcPr>
            <w:tcW w:w="3200" w:type="dxa"/>
            <w:shd w:val="clear" w:color="auto" w:fill="7030A0"/>
            <w:tcMar>
              <w:top w:w="100" w:type="dxa"/>
              <w:left w:w="120" w:type="dxa"/>
              <w:bottom w:w="100" w:type="dxa"/>
              <w:right w:w="120" w:type="dxa"/>
            </w:tcMar>
          </w:tcPr>
          <w:p w14:paraId="758BE4C6" w14:textId="77777777" w:rsidR="008F0DB7" w:rsidRDefault="00000000">
            <w:r>
              <w:rPr>
                <w:rFonts w:ascii="Calibri" w:eastAsia="Calibri" w:hAnsi="Calibri" w:cs="Calibri"/>
                <w:b/>
                <w:bCs/>
                <w:color w:val="FFFFFF"/>
                <w:sz w:val="19"/>
                <w:szCs w:val="19"/>
              </w:rPr>
              <w:t>Name / Role</w:t>
            </w:r>
          </w:p>
        </w:tc>
        <w:tc>
          <w:tcPr>
            <w:tcW w:w="2600" w:type="dxa"/>
            <w:shd w:val="clear" w:color="auto" w:fill="7030A0"/>
            <w:tcMar>
              <w:top w:w="100" w:type="dxa"/>
              <w:left w:w="120" w:type="dxa"/>
              <w:bottom w:w="100" w:type="dxa"/>
              <w:right w:w="120" w:type="dxa"/>
            </w:tcMar>
          </w:tcPr>
          <w:p w14:paraId="12D465FC" w14:textId="77777777" w:rsidR="008F0DB7" w:rsidRDefault="00000000">
            <w:r>
              <w:rPr>
                <w:rFonts w:ascii="Calibri" w:eastAsia="Calibri" w:hAnsi="Calibri" w:cs="Calibri"/>
                <w:b/>
                <w:bCs/>
                <w:color w:val="FFFFFF"/>
                <w:sz w:val="19"/>
                <w:szCs w:val="19"/>
              </w:rPr>
              <w:t>Organisation</w:t>
            </w:r>
          </w:p>
        </w:tc>
        <w:tc>
          <w:tcPr>
            <w:tcW w:w="1900" w:type="dxa"/>
            <w:shd w:val="clear" w:color="auto" w:fill="7030A0"/>
            <w:tcMar>
              <w:top w:w="100" w:type="dxa"/>
              <w:left w:w="120" w:type="dxa"/>
              <w:bottom w:w="100" w:type="dxa"/>
              <w:right w:w="120" w:type="dxa"/>
            </w:tcMar>
          </w:tcPr>
          <w:p w14:paraId="79593728" w14:textId="77777777" w:rsidR="008F0DB7" w:rsidRDefault="00000000">
            <w:r>
              <w:rPr>
                <w:rFonts w:ascii="Calibri" w:eastAsia="Calibri" w:hAnsi="Calibri" w:cs="Calibri"/>
                <w:b/>
                <w:bCs/>
                <w:color w:val="FFFFFF"/>
                <w:sz w:val="19"/>
                <w:szCs w:val="19"/>
              </w:rPr>
              <w:t>Decision</w:t>
            </w:r>
          </w:p>
        </w:tc>
        <w:tc>
          <w:tcPr>
            <w:tcW w:w="1840" w:type="dxa"/>
            <w:shd w:val="clear" w:color="auto" w:fill="7030A0"/>
            <w:tcMar>
              <w:top w:w="100" w:type="dxa"/>
              <w:left w:w="120" w:type="dxa"/>
              <w:bottom w:w="100" w:type="dxa"/>
              <w:right w:w="120" w:type="dxa"/>
            </w:tcMar>
          </w:tcPr>
          <w:p w14:paraId="6EA5E5BA" w14:textId="77777777" w:rsidR="008F0DB7" w:rsidRDefault="00000000">
            <w:r>
              <w:rPr>
                <w:rFonts w:ascii="Calibri" w:eastAsia="Calibri" w:hAnsi="Calibri" w:cs="Calibri"/>
                <w:b/>
                <w:bCs/>
                <w:color w:val="FFFFFF"/>
                <w:sz w:val="19"/>
                <w:szCs w:val="19"/>
              </w:rPr>
              <w:t>Date</w:t>
            </w:r>
          </w:p>
        </w:tc>
      </w:tr>
      <w:tr w:rsidR="008F0DB7" w14:paraId="0EE5EA04" w14:textId="77777777">
        <w:tc>
          <w:tcPr>
            <w:tcW w:w="3200" w:type="dxa"/>
            <w:shd w:val="clear" w:color="auto" w:fill="FFFFFF"/>
            <w:tcMar>
              <w:top w:w="90" w:type="dxa"/>
              <w:left w:w="120" w:type="dxa"/>
              <w:bottom w:w="90" w:type="dxa"/>
              <w:right w:w="120" w:type="dxa"/>
            </w:tcMar>
          </w:tcPr>
          <w:p w14:paraId="3B58FCC0" w14:textId="77777777" w:rsidR="008F0DB7" w:rsidRDefault="00000000">
            <w:pPr>
              <w:spacing w:after="40"/>
            </w:pPr>
            <w:r>
              <w:rPr>
                <w:rFonts w:ascii="Calibri" w:eastAsia="Calibri" w:hAnsi="Calibri" w:cs="Calibri"/>
                <w:color w:val="2B2B2B"/>
                <w:sz w:val="19"/>
                <w:szCs w:val="19"/>
              </w:rPr>
              <w:t>Pankaj Kumar Sharma — Solution owner</w:t>
            </w:r>
          </w:p>
        </w:tc>
        <w:tc>
          <w:tcPr>
            <w:tcW w:w="2600" w:type="dxa"/>
            <w:shd w:val="clear" w:color="auto" w:fill="FFFFFF"/>
            <w:tcMar>
              <w:top w:w="90" w:type="dxa"/>
              <w:left w:w="120" w:type="dxa"/>
              <w:bottom w:w="90" w:type="dxa"/>
              <w:right w:w="120" w:type="dxa"/>
            </w:tcMar>
          </w:tcPr>
          <w:p w14:paraId="5FE53614" w14:textId="3F4F5729" w:rsidR="008F0DB7" w:rsidRDefault="00000000">
            <w:pPr>
              <w:spacing w:after="40"/>
            </w:pPr>
            <w:r>
              <w:rPr>
                <w:rFonts w:ascii="Calibri" w:eastAsia="Calibri" w:hAnsi="Calibri" w:cs="Calibri"/>
                <w:color w:val="2B2B2B"/>
                <w:sz w:val="19"/>
                <w:szCs w:val="19"/>
              </w:rPr>
              <w:t>Capgemini</w:t>
            </w:r>
          </w:p>
        </w:tc>
        <w:tc>
          <w:tcPr>
            <w:tcW w:w="1900" w:type="dxa"/>
            <w:shd w:val="clear" w:color="auto" w:fill="FFFFFF"/>
            <w:tcMar>
              <w:top w:w="90" w:type="dxa"/>
              <w:left w:w="120" w:type="dxa"/>
              <w:bottom w:w="90" w:type="dxa"/>
              <w:right w:w="120" w:type="dxa"/>
            </w:tcMar>
          </w:tcPr>
          <w:p w14:paraId="77587F6B" w14:textId="77777777" w:rsidR="008F0DB7" w:rsidRDefault="008F0DB7">
            <w:pPr>
              <w:spacing w:after="40"/>
            </w:pPr>
          </w:p>
        </w:tc>
        <w:tc>
          <w:tcPr>
            <w:tcW w:w="1840" w:type="dxa"/>
            <w:shd w:val="clear" w:color="auto" w:fill="FFFFFF"/>
            <w:tcMar>
              <w:top w:w="90" w:type="dxa"/>
              <w:left w:w="120" w:type="dxa"/>
              <w:bottom w:w="90" w:type="dxa"/>
              <w:right w:w="120" w:type="dxa"/>
            </w:tcMar>
          </w:tcPr>
          <w:p w14:paraId="191D2A21" w14:textId="77777777" w:rsidR="008F0DB7" w:rsidRDefault="008F0DB7">
            <w:pPr>
              <w:spacing w:after="40"/>
            </w:pPr>
          </w:p>
        </w:tc>
      </w:tr>
      <w:tr w:rsidR="008F0DB7" w14:paraId="25A584FE" w14:textId="77777777">
        <w:tc>
          <w:tcPr>
            <w:tcW w:w="3200" w:type="dxa"/>
            <w:shd w:val="clear" w:color="auto" w:fill="F5F7F6"/>
            <w:tcMar>
              <w:top w:w="90" w:type="dxa"/>
              <w:left w:w="120" w:type="dxa"/>
              <w:bottom w:w="90" w:type="dxa"/>
              <w:right w:w="120" w:type="dxa"/>
            </w:tcMar>
          </w:tcPr>
          <w:p w14:paraId="254F4D82" w14:textId="77777777" w:rsidR="008F0DB7" w:rsidRDefault="00000000">
            <w:pPr>
              <w:spacing w:after="40"/>
            </w:pPr>
            <w:r>
              <w:rPr>
                <w:rFonts w:ascii="Calibri" w:eastAsia="Calibri" w:hAnsi="Calibri" w:cs="Calibri"/>
                <w:color w:val="2B2B2B"/>
                <w:sz w:val="19"/>
                <w:szCs w:val="19"/>
              </w:rPr>
              <w:t>AI Governance representative</w:t>
            </w:r>
          </w:p>
        </w:tc>
        <w:tc>
          <w:tcPr>
            <w:tcW w:w="2600" w:type="dxa"/>
            <w:shd w:val="clear" w:color="auto" w:fill="F5F7F6"/>
            <w:tcMar>
              <w:top w:w="90" w:type="dxa"/>
              <w:left w:w="120" w:type="dxa"/>
              <w:bottom w:w="90" w:type="dxa"/>
              <w:right w:w="120" w:type="dxa"/>
            </w:tcMar>
          </w:tcPr>
          <w:p w14:paraId="6E5D3496" w14:textId="441DEA22" w:rsidR="008F0DB7" w:rsidRDefault="00FA6D37">
            <w:pPr>
              <w:spacing w:after="40"/>
            </w:pPr>
            <w:r>
              <w:rPr>
                <w:rFonts w:ascii="Calibri" w:eastAsia="Calibri" w:hAnsi="Calibri" w:cs="Calibri"/>
                <w:color w:val="2B2B2B"/>
                <w:sz w:val="19"/>
                <w:szCs w:val="19"/>
              </w:rPr>
              <w:t>Intact</w:t>
            </w:r>
          </w:p>
        </w:tc>
        <w:tc>
          <w:tcPr>
            <w:tcW w:w="1900" w:type="dxa"/>
            <w:shd w:val="clear" w:color="auto" w:fill="F5F7F6"/>
            <w:tcMar>
              <w:top w:w="90" w:type="dxa"/>
              <w:left w:w="120" w:type="dxa"/>
              <w:bottom w:w="90" w:type="dxa"/>
              <w:right w:w="120" w:type="dxa"/>
            </w:tcMar>
          </w:tcPr>
          <w:p w14:paraId="08B75FD2" w14:textId="77777777" w:rsidR="008F0DB7" w:rsidRDefault="008F0DB7">
            <w:pPr>
              <w:spacing w:after="40"/>
            </w:pPr>
          </w:p>
        </w:tc>
        <w:tc>
          <w:tcPr>
            <w:tcW w:w="1840" w:type="dxa"/>
            <w:shd w:val="clear" w:color="auto" w:fill="F5F7F6"/>
            <w:tcMar>
              <w:top w:w="90" w:type="dxa"/>
              <w:left w:w="120" w:type="dxa"/>
              <w:bottom w:w="90" w:type="dxa"/>
              <w:right w:w="120" w:type="dxa"/>
            </w:tcMar>
          </w:tcPr>
          <w:p w14:paraId="7DE3C264" w14:textId="77777777" w:rsidR="008F0DB7" w:rsidRDefault="008F0DB7">
            <w:pPr>
              <w:spacing w:after="40"/>
            </w:pPr>
          </w:p>
        </w:tc>
      </w:tr>
      <w:tr w:rsidR="008F0DB7" w14:paraId="681F01DA" w14:textId="77777777">
        <w:tc>
          <w:tcPr>
            <w:tcW w:w="3200" w:type="dxa"/>
            <w:shd w:val="clear" w:color="auto" w:fill="FFFFFF"/>
            <w:tcMar>
              <w:top w:w="90" w:type="dxa"/>
              <w:left w:w="120" w:type="dxa"/>
              <w:bottom w:w="90" w:type="dxa"/>
              <w:right w:w="120" w:type="dxa"/>
            </w:tcMar>
          </w:tcPr>
          <w:p w14:paraId="59EBD81E" w14:textId="509899A0" w:rsidR="008F0DB7" w:rsidRDefault="00000000">
            <w:pPr>
              <w:spacing w:after="40"/>
            </w:pPr>
            <w:r>
              <w:rPr>
                <w:rFonts w:ascii="Calibri" w:eastAsia="Calibri" w:hAnsi="Calibri" w:cs="Calibri"/>
                <w:color w:val="2B2B2B"/>
                <w:sz w:val="19"/>
                <w:szCs w:val="19"/>
              </w:rPr>
              <w:t xml:space="preserve">Donald </w:t>
            </w:r>
            <w:r w:rsidR="00AC3546">
              <w:rPr>
                <w:rFonts w:ascii="Calibri" w:eastAsia="Calibri" w:hAnsi="Calibri" w:cs="Calibri"/>
                <w:color w:val="2B2B2B"/>
                <w:sz w:val="19"/>
                <w:szCs w:val="19"/>
              </w:rPr>
              <w:t xml:space="preserve">Stewart </w:t>
            </w:r>
            <w:r>
              <w:rPr>
                <w:rFonts w:ascii="Calibri" w:eastAsia="Calibri" w:hAnsi="Calibri" w:cs="Calibri"/>
                <w:color w:val="2B2B2B"/>
                <w:sz w:val="19"/>
                <w:szCs w:val="19"/>
              </w:rPr>
              <w:t>— Client stakeholder</w:t>
            </w:r>
          </w:p>
        </w:tc>
        <w:tc>
          <w:tcPr>
            <w:tcW w:w="2600" w:type="dxa"/>
            <w:shd w:val="clear" w:color="auto" w:fill="FFFFFF"/>
            <w:tcMar>
              <w:top w:w="90" w:type="dxa"/>
              <w:left w:w="120" w:type="dxa"/>
              <w:bottom w:w="90" w:type="dxa"/>
              <w:right w:w="120" w:type="dxa"/>
            </w:tcMar>
          </w:tcPr>
          <w:p w14:paraId="47CEDA8E" w14:textId="77777777" w:rsidR="008F0DB7" w:rsidRDefault="00000000">
            <w:pPr>
              <w:spacing w:after="40"/>
            </w:pPr>
            <w:r>
              <w:rPr>
                <w:rFonts w:ascii="Calibri" w:eastAsia="Calibri" w:hAnsi="Calibri" w:cs="Calibri"/>
                <w:color w:val="2B2B2B"/>
                <w:sz w:val="19"/>
                <w:szCs w:val="19"/>
              </w:rPr>
              <w:t>Intact Insurance</w:t>
            </w:r>
          </w:p>
        </w:tc>
        <w:tc>
          <w:tcPr>
            <w:tcW w:w="1900" w:type="dxa"/>
            <w:shd w:val="clear" w:color="auto" w:fill="FFFFFF"/>
            <w:tcMar>
              <w:top w:w="90" w:type="dxa"/>
              <w:left w:w="120" w:type="dxa"/>
              <w:bottom w:w="90" w:type="dxa"/>
              <w:right w:w="120" w:type="dxa"/>
            </w:tcMar>
          </w:tcPr>
          <w:p w14:paraId="65A34363" w14:textId="77777777" w:rsidR="008F0DB7" w:rsidRDefault="008F0DB7">
            <w:pPr>
              <w:spacing w:after="40"/>
            </w:pPr>
          </w:p>
        </w:tc>
        <w:tc>
          <w:tcPr>
            <w:tcW w:w="1840" w:type="dxa"/>
            <w:shd w:val="clear" w:color="auto" w:fill="FFFFFF"/>
            <w:tcMar>
              <w:top w:w="90" w:type="dxa"/>
              <w:left w:w="120" w:type="dxa"/>
              <w:bottom w:w="90" w:type="dxa"/>
              <w:right w:w="120" w:type="dxa"/>
            </w:tcMar>
          </w:tcPr>
          <w:p w14:paraId="435D29F2" w14:textId="77777777" w:rsidR="008F0DB7" w:rsidRDefault="008F0DB7">
            <w:pPr>
              <w:spacing w:after="40"/>
            </w:pPr>
          </w:p>
        </w:tc>
      </w:tr>
      <w:tr w:rsidR="008F0DB7" w14:paraId="037A1ACF" w14:textId="77777777">
        <w:tc>
          <w:tcPr>
            <w:tcW w:w="3200" w:type="dxa"/>
            <w:shd w:val="clear" w:color="auto" w:fill="F5F7F6"/>
            <w:tcMar>
              <w:top w:w="90" w:type="dxa"/>
              <w:left w:w="120" w:type="dxa"/>
              <w:bottom w:w="90" w:type="dxa"/>
              <w:right w:w="120" w:type="dxa"/>
            </w:tcMar>
          </w:tcPr>
          <w:p w14:paraId="0896F957" w14:textId="74B8FA46" w:rsidR="008F0DB7" w:rsidRDefault="00000000">
            <w:pPr>
              <w:spacing w:after="40"/>
            </w:pPr>
            <w:r>
              <w:rPr>
                <w:rFonts w:ascii="Calibri" w:eastAsia="Calibri" w:hAnsi="Calibri" w:cs="Calibri"/>
                <w:color w:val="2B2B2B"/>
                <w:sz w:val="19"/>
                <w:szCs w:val="19"/>
              </w:rPr>
              <w:t xml:space="preserve">Pramod — Client stakeholder / </w:t>
            </w:r>
            <w:r w:rsidR="00FA6D37">
              <w:rPr>
                <w:rFonts w:ascii="Calibri" w:eastAsia="Calibri" w:hAnsi="Calibri" w:cs="Calibri"/>
                <w:color w:val="2B2B2B"/>
                <w:sz w:val="19"/>
                <w:szCs w:val="19"/>
              </w:rPr>
              <w:t>Engineering Team</w:t>
            </w:r>
          </w:p>
        </w:tc>
        <w:tc>
          <w:tcPr>
            <w:tcW w:w="2600" w:type="dxa"/>
            <w:shd w:val="clear" w:color="auto" w:fill="F5F7F6"/>
            <w:tcMar>
              <w:top w:w="90" w:type="dxa"/>
              <w:left w:w="120" w:type="dxa"/>
              <w:bottom w:w="90" w:type="dxa"/>
              <w:right w:w="120" w:type="dxa"/>
            </w:tcMar>
          </w:tcPr>
          <w:p w14:paraId="22E83CB9" w14:textId="0C85DC4C" w:rsidR="008F0DB7" w:rsidRDefault="00FA6D37">
            <w:pPr>
              <w:spacing w:after="40"/>
            </w:pPr>
            <w:proofErr w:type="gramStart"/>
            <w:r>
              <w:rPr>
                <w:rFonts w:ascii="Calibri" w:eastAsia="Calibri" w:hAnsi="Calibri" w:cs="Calibri"/>
                <w:color w:val="2B2B2B"/>
                <w:sz w:val="19"/>
                <w:szCs w:val="19"/>
              </w:rPr>
              <w:t>Intact  Insurance</w:t>
            </w:r>
            <w:proofErr w:type="gramEnd"/>
            <w:r>
              <w:rPr>
                <w:rFonts w:ascii="Calibri" w:eastAsia="Calibri" w:hAnsi="Calibri" w:cs="Calibri"/>
                <w:color w:val="2B2B2B"/>
                <w:sz w:val="19"/>
                <w:szCs w:val="19"/>
              </w:rPr>
              <w:t xml:space="preserve"> engagement</w:t>
            </w:r>
          </w:p>
        </w:tc>
        <w:tc>
          <w:tcPr>
            <w:tcW w:w="1900" w:type="dxa"/>
            <w:shd w:val="clear" w:color="auto" w:fill="F5F7F6"/>
            <w:tcMar>
              <w:top w:w="90" w:type="dxa"/>
              <w:left w:w="120" w:type="dxa"/>
              <w:bottom w:w="90" w:type="dxa"/>
              <w:right w:w="120" w:type="dxa"/>
            </w:tcMar>
          </w:tcPr>
          <w:p w14:paraId="426E4EF0" w14:textId="77777777" w:rsidR="008F0DB7" w:rsidRDefault="008F0DB7">
            <w:pPr>
              <w:spacing w:after="40"/>
            </w:pPr>
          </w:p>
        </w:tc>
        <w:tc>
          <w:tcPr>
            <w:tcW w:w="1840" w:type="dxa"/>
            <w:shd w:val="clear" w:color="auto" w:fill="F5F7F6"/>
            <w:tcMar>
              <w:top w:w="90" w:type="dxa"/>
              <w:left w:w="120" w:type="dxa"/>
              <w:bottom w:w="90" w:type="dxa"/>
              <w:right w:w="120" w:type="dxa"/>
            </w:tcMar>
          </w:tcPr>
          <w:p w14:paraId="1CD71CD7" w14:textId="77777777" w:rsidR="008F0DB7" w:rsidRDefault="008F0DB7">
            <w:pPr>
              <w:spacing w:after="40"/>
            </w:pPr>
          </w:p>
        </w:tc>
      </w:tr>
      <w:tr w:rsidR="008F0DB7" w14:paraId="442872EC" w14:textId="77777777">
        <w:tc>
          <w:tcPr>
            <w:tcW w:w="3200" w:type="dxa"/>
            <w:shd w:val="clear" w:color="auto" w:fill="FFFFFF"/>
            <w:tcMar>
              <w:top w:w="90" w:type="dxa"/>
              <w:left w:w="120" w:type="dxa"/>
              <w:bottom w:w="90" w:type="dxa"/>
              <w:right w:w="120" w:type="dxa"/>
            </w:tcMar>
          </w:tcPr>
          <w:p w14:paraId="7E631B3C" w14:textId="77777777" w:rsidR="008F0DB7" w:rsidRDefault="00000000">
            <w:pPr>
              <w:spacing w:after="40"/>
            </w:pPr>
            <w:r>
              <w:rPr>
                <w:rFonts w:ascii="Calibri" w:eastAsia="Calibri" w:hAnsi="Calibri" w:cs="Calibri"/>
                <w:color w:val="2B2B2B"/>
                <w:sz w:val="19"/>
                <w:szCs w:val="19"/>
              </w:rPr>
              <w:t>Client Security/Infrastructure representative</w:t>
            </w:r>
          </w:p>
        </w:tc>
        <w:tc>
          <w:tcPr>
            <w:tcW w:w="2600" w:type="dxa"/>
            <w:shd w:val="clear" w:color="auto" w:fill="FFFFFF"/>
            <w:tcMar>
              <w:top w:w="90" w:type="dxa"/>
              <w:left w:w="120" w:type="dxa"/>
              <w:bottom w:w="90" w:type="dxa"/>
              <w:right w:w="120" w:type="dxa"/>
            </w:tcMar>
          </w:tcPr>
          <w:p w14:paraId="3B18DB29" w14:textId="77777777" w:rsidR="008F0DB7" w:rsidRDefault="00000000">
            <w:pPr>
              <w:spacing w:after="40"/>
            </w:pPr>
            <w:r>
              <w:rPr>
                <w:rFonts w:ascii="Calibri" w:eastAsia="Calibri" w:hAnsi="Calibri" w:cs="Calibri"/>
                <w:color w:val="2B2B2B"/>
                <w:sz w:val="19"/>
                <w:szCs w:val="19"/>
              </w:rPr>
              <w:t>Intact Insurance IT</w:t>
            </w:r>
          </w:p>
        </w:tc>
        <w:tc>
          <w:tcPr>
            <w:tcW w:w="1900" w:type="dxa"/>
            <w:shd w:val="clear" w:color="auto" w:fill="FFFFFF"/>
            <w:tcMar>
              <w:top w:w="90" w:type="dxa"/>
              <w:left w:w="120" w:type="dxa"/>
              <w:bottom w:w="90" w:type="dxa"/>
              <w:right w:w="120" w:type="dxa"/>
            </w:tcMar>
          </w:tcPr>
          <w:p w14:paraId="439C923B" w14:textId="77777777" w:rsidR="008F0DB7" w:rsidRDefault="008F0DB7">
            <w:pPr>
              <w:spacing w:after="40"/>
            </w:pPr>
          </w:p>
        </w:tc>
        <w:tc>
          <w:tcPr>
            <w:tcW w:w="1840" w:type="dxa"/>
            <w:shd w:val="clear" w:color="auto" w:fill="FFFFFF"/>
            <w:tcMar>
              <w:top w:w="90" w:type="dxa"/>
              <w:left w:w="120" w:type="dxa"/>
              <w:bottom w:w="90" w:type="dxa"/>
              <w:right w:w="120" w:type="dxa"/>
            </w:tcMar>
          </w:tcPr>
          <w:p w14:paraId="68A2AF35" w14:textId="77777777" w:rsidR="008F0DB7" w:rsidRDefault="008F0DB7">
            <w:pPr>
              <w:spacing w:after="40"/>
            </w:pPr>
          </w:p>
        </w:tc>
      </w:tr>
    </w:tbl>
    <w:p w14:paraId="5ECDAC70" w14:textId="77777777" w:rsidR="008F0DB7" w:rsidRDefault="008F0DB7">
      <w:pPr>
        <w:spacing w:before="300"/>
      </w:pPr>
    </w:p>
    <w:p w14:paraId="135D2353" w14:textId="77777777" w:rsidR="008F0DB7" w:rsidRDefault="00000000">
      <w:pPr>
        <w:spacing w:after="160" w:line="276" w:lineRule="auto"/>
      </w:pPr>
      <w:r>
        <w:rPr>
          <w:rFonts w:ascii="Calibri" w:eastAsia="Calibri" w:hAnsi="Calibri" w:cs="Calibri"/>
          <w:i/>
          <w:iCs/>
          <w:color w:val="5B6770"/>
          <w:sz w:val="21"/>
          <w:szCs w:val="21"/>
        </w:rPr>
        <w:t>End of document.</w:t>
      </w:r>
    </w:p>
    <w:sectPr w:rsidR="008F0DB7">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2B5C2" w14:textId="77777777" w:rsidR="00E32BE9" w:rsidRDefault="00E32BE9">
      <w:r>
        <w:separator/>
      </w:r>
    </w:p>
  </w:endnote>
  <w:endnote w:type="continuationSeparator" w:id="0">
    <w:p w14:paraId="58E2C9E7" w14:textId="77777777" w:rsidR="00E32BE9" w:rsidRDefault="00E32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A31B4" w14:textId="77777777" w:rsidR="008F0DB7" w:rsidRDefault="00000000">
    <w:pPr>
      <w:jc w:val="center"/>
    </w:pPr>
    <w:r>
      <w:rPr>
        <w:rFonts w:ascii="Calibri" w:eastAsia="Calibri" w:hAnsi="Calibri" w:cs="Calibri"/>
        <w:color w:val="5B6770"/>
        <w:sz w:val="16"/>
        <w:szCs w:val="16"/>
      </w:rPr>
      <w:t xml:space="preserve">Page </w:t>
    </w:r>
    <w:r>
      <w:rPr>
        <w:rFonts w:ascii="Calibri" w:eastAsia="Calibri" w:hAnsi="Calibri" w:cs="Calibri"/>
        <w:color w:val="5B6770"/>
        <w:sz w:val="16"/>
        <w:szCs w:val="16"/>
      </w:rPr>
      <w:fldChar w:fldCharType="begin"/>
    </w:r>
    <w:r>
      <w:rPr>
        <w:rFonts w:ascii="Calibri" w:eastAsia="Calibri" w:hAnsi="Calibri" w:cs="Calibri"/>
        <w:color w:val="5B6770"/>
        <w:sz w:val="16"/>
        <w:szCs w:val="16"/>
      </w:rPr>
      <w:instrText>PAGE</w:instrText>
    </w:r>
    <w:r>
      <w:rPr>
        <w:rFonts w:ascii="Calibri" w:eastAsia="Calibri" w:hAnsi="Calibri" w:cs="Calibri"/>
        <w:color w:val="5B6770"/>
        <w:sz w:val="16"/>
        <w:szCs w:val="16"/>
      </w:rPr>
      <w:fldChar w:fldCharType="separate"/>
    </w:r>
    <w:r w:rsidR="00726EE6">
      <w:rPr>
        <w:rFonts w:ascii="Calibri" w:eastAsia="Calibri" w:hAnsi="Calibri" w:cs="Calibri"/>
        <w:noProof/>
        <w:color w:val="5B6770"/>
        <w:sz w:val="16"/>
        <w:szCs w:val="16"/>
      </w:rPr>
      <w:t>3</w:t>
    </w:r>
    <w:r>
      <w:rPr>
        <w:rFonts w:ascii="Calibri" w:eastAsia="Calibri" w:hAnsi="Calibri" w:cs="Calibri"/>
        <w:color w:val="5B6770"/>
        <w:sz w:val="16"/>
        <w:szCs w:val="16"/>
      </w:rPr>
      <w:fldChar w:fldCharType="end"/>
    </w:r>
    <w:r>
      <w:rPr>
        <w:rFonts w:ascii="Calibri" w:eastAsia="Calibri" w:hAnsi="Calibri" w:cs="Calibri"/>
        <w:color w:val="5B6770"/>
        <w:sz w:val="16"/>
        <w:szCs w:val="16"/>
      </w:rPr>
      <w:t xml:space="preserve"> of </w:t>
    </w:r>
    <w:r>
      <w:rPr>
        <w:rFonts w:ascii="Calibri" w:eastAsia="Calibri" w:hAnsi="Calibri" w:cs="Calibri"/>
        <w:color w:val="5B6770"/>
        <w:sz w:val="16"/>
        <w:szCs w:val="16"/>
      </w:rPr>
      <w:fldChar w:fldCharType="begin"/>
    </w:r>
    <w:r>
      <w:rPr>
        <w:rFonts w:ascii="Calibri" w:eastAsia="Calibri" w:hAnsi="Calibri" w:cs="Calibri"/>
        <w:color w:val="5B6770"/>
        <w:sz w:val="16"/>
        <w:szCs w:val="16"/>
      </w:rPr>
      <w:instrText>NUMPAGES</w:instrText>
    </w:r>
    <w:r>
      <w:rPr>
        <w:rFonts w:ascii="Calibri" w:eastAsia="Calibri" w:hAnsi="Calibri" w:cs="Calibri"/>
        <w:color w:val="5B6770"/>
        <w:sz w:val="16"/>
        <w:szCs w:val="16"/>
      </w:rPr>
      <w:fldChar w:fldCharType="separate"/>
    </w:r>
    <w:r w:rsidR="00726EE6">
      <w:rPr>
        <w:rFonts w:ascii="Calibri" w:eastAsia="Calibri" w:hAnsi="Calibri" w:cs="Calibri"/>
        <w:noProof/>
        <w:color w:val="5B6770"/>
        <w:sz w:val="16"/>
        <w:szCs w:val="16"/>
      </w:rPr>
      <w:t>4</w:t>
    </w:r>
    <w:r>
      <w:rPr>
        <w:rFonts w:ascii="Calibri" w:eastAsia="Calibri" w:hAnsi="Calibri" w:cs="Calibri"/>
        <w:color w:val="5B67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B471D" w14:textId="77777777" w:rsidR="00E32BE9" w:rsidRDefault="00E32BE9">
      <w:r>
        <w:separator/>
      </w:r>
    </w:p>
  </w:footnote>
  <w:footnote w:type="continuationSeparator" w:id="0">
    <w:p w14:paraId="3050831C" w14:textId="77777777" w:rsidR="00E32BE9" w:rsidRDefault="00E32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34C6A" w14:textId="77777777" w:rsidR="008F0DB7" w:rsidRDefault="00000000">
    <w:pPr>
      <w:pBdr>
        <w:bottom w:val="single" w:sz="4" w:space="4" w:color="C9D2CF"/>
      </w:pBdr>
      <w:tabs>
        <w:tab w:val="right" w:pos="9026"/>
      </w:tabs>
    </w:pPr>
    <w:r>
      <w:rPr>
        <w:rFonts w:ascii="Calibri" w:eastAsia="Calibri" w:hAnsi="Calibri" w:cs="Calibri"/>
        <w:color w:val="5B6770"/>
        <w:sz w:val="16"/>
        <w:szCs w:val="16"/>
      </w:rPr>
      <w:t>KDD — PT AI Log Mining &amp; RCA Pipeline</w:t>
    </w:r>
    <w:r>
      <w:rPr>
        <w:rFonts w:ascii="Calibri" w:eastAsia="Calibri" w:hAnsi="Calibri" w:cs="Calibri"/>
        <w:color w:val="5B6770"/>
        <w:sz w:val="16"/>
        <w:szCs w:val="16"/>
      </w:rPr>
      <w:tab/>
      <w:t>Intact Insurance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C4E11"/>
    <w:multiLevelType w:val="hybridMultilevel"/>
    <w:tmpl w:val="339C3836"/>
    <w:lvl w:ilvl="0" w:tplc="E01E9D9E">
      <w:start w:val="1"/>
      <w:numFmt w:val="bullet"/>
      <w:lvlText w:val="●"/>
      <w:lvlJc w:val="left"/>
      <w:pPr>
        <w:ind w:left="720" w:hanging="360"/>
      </w:pPr>
    </w:lvl>
    <w:lvl w:ilvl="1" w:tplc="6734D54C">
      <w:start w:val="1"/>
      <w:numFmt w:val="bullet"/>
      <w:lvlText w:val="○"/>
      <w:lvlJc w:val="left"/>
      <w:pPr>
        <w:ind w:left="1440" w:hanging="360"/>
      </w:pPr>
    </w:lvl>
    <w:lvl w:ilvl="2" w:tplc="5B7C1CE4">
      <w:start w:val="1"/>
      <w:numFmt w:val="bullet"/>
      <w:lvlText w:val="■"/>
      <w:lvlJc w:val="left"/>
      <w:pPr>
        <w:ind w:left="2160" w:hanging="360"/>
      </w:pPr>
    </w:lvl>
    <w:lvl w:ilvl="3" w:tplc="B0043434">
      <w:start w:val="1"/>
      <w:numFmt w:val="bullet"/>
      <w:lvlText w:val="●"/>
      <w:lvlJc w:val="left"/>
      <w:pPr>
        <w:ind w:left="2880" w:hanging="360"/>
      </w:pPr>
    </w:lvl>
    <w:lvl w:ilvl="4" w:tplc="0EB6B5C2">
      <w:start w:val="1"/>
      <w:numFmt w:val="bullet"/>
      <w:lvlText w:val="○"/>
      <w:lvlJc w:val="left"/>
      <w:pPr>
        <w:ind w:left="3600" w:hanging="360"/>
      </w:pPr>
    </w:lvl>
    <w:lvl w:ilvl="5" w:tplc="42FC4B64">
      <w:start w:val="1"/>
      <w:numFmt w:val="bullet"/>
      <w:lvlText w:val="■"/>
      <w:lvlJc w:val="left"/>
      <w:pPr>
        <w:ind w:left="4320" w:hanging="360"/>
      </w:pPr>
    </w:lvl>
    <w:lvl w:ilvl="6" w:tplc="99BC51C0">
      <w:start w:val="1"/>
      <w:numFmt w:val="bullet"/>
      <w:lvlText w:val="●"/>
      <w:lvlJc w:val="left"/>
      <w:pPr>
        <w:ind w:left="5040" w:hanging="360"/>
      </w:pPr>
    </w:lvl>
    <w:lvl w:ilvl="7" w:tplc="891C5D52">
      <w:start w:val="1"/>
      <w:numFmt w:val="bullet"/>
      <w:lvlText w:val="●"/>
      <w:lvlJc w:val="left"/>
      <w:pPr>
        <w:ind w:left="5760" w:hanging="360"/>
      </w:pPr>
    </w:lvl>
    <w:lvl w:ilvl="8" w:tplc="8DBA8D6E">
      <w:start w:val="1"/>
      <w:numFmt w:val="bullet"/>
      <w:lvlText w:val="●"/>
      <w:lvlJc w:val="left"/>
      <w:pPr>
        <w:ind w:left="6480" w:hanging="360"/>
      </w:pPr>
    </w:lvl>
  </w:abstractNum>
  <w:abstractNum w:abstractNumId="1" w15:restartNumberingAfterBreak="0">
    <w:nsid w:val="6E2E2045"/>
    <w:multiLevelType w:val="hybridMultilevel"/>
    <w:tmpl w:val="7146E4DE"/>
    <w:lvl w:ilvl="0" w:tplc="D56C4164">
      <w:start w:val="1"/>
      <w:numFmt w:val="bullet"/>
      <w:lvlText w:val="•"/>
      <w:lvlJc w:val="left"/>
      <w:pPr>
        <w:ind w:left="400" w:hanging="260"/>
      </w:pPr>
    </w:lvl>
    <w:lvl w:ilvl="1" w:tplc="13888C36">
      <w:start w:val="1"/>
      <w:numFmt w:val="bullet"/>
      <w:lvlText w:val="◦"/>
      <w:lvlJc w:val="left"/>
      <w:pPr>
        <w:ind w:left="760" w:hanging="260"/>
      </w:pPr>
    </w:lvl>
    <w:lvl w:ilvl="2" w:tplc="5DC261DA">
      <w:numFmt w:val="decimal"/>
      <w:lvlText w:val=""/>
      <w:lvlJc w:val="left"/>
    </w:lvl>
    <w:lvl w:ilvl="3" w:tplc="4A94808A">
      <w:numFmt w:val="decimal"/>
      <w:lvlText w:val=""/>
      <w:lvlJc w:val="left"/>
    </w:lvl>
    <w:lvl w:ilvl="4" w:tplc="9BF8DFD8">
      <w:numFmt w:val="decimal"/>
      <w:lvlText w:val=""/>
      <w:lvlJc w:val="left"/>
    </w:lvl>
    <w:lvl w:ilvl="5" w:tplc="026C53FC">
      <w:numFmt w:val="decimal"/>
      <w:lvlText w:val=""/>
      <w:lvlJc w:val="left"/>
    </w:lvl>
    <w:lvl w:ilvl="6" w:tplc="630C2A4E">
      <w:numFmt w:val="decimal"/>
      <w:lvlText w:val=""/>
      <w:lvlJc w:val="left"/>
    </w:lvl>
    <w:lvl w:ilvl="7" w:tplc="714CFC22">
      <w:numFmt w:val="decimal"/>
      <w:lvlText w:val=""/>
      <w:lvlJc w:val="left"/>
    </w:lvl>
    <w:lvl w:ilvl="8" w:tplc="4D40DE26">
      <w:numFmt w:val="decimal"/>
      <w:lvlText w:val=""/>
      <w:lvlJc w:val="left"/>
    </w:lvl>
  </w:abstractNum>
  <w:num w:numId="1" w16cid:durableId="1333024389">
    <w:abstractNumId w:val="0"/>
    <w:lvlOverride w:ilvl="0">
      <w:startOverride w:val="1"/>
    </w:lvlOverride>
  </w:num>
  <w:num w:numId="2" w16cid:durableId="172629026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DB7"/>
    <w:rsid w:val="00091B01"/>
    <w:rsid w:val="000E6C22"/>
    <w:rsid w:val="0012393D"/>
    <w:rsid w:val="00150E8C"/>
    <w:rsid w:val="001537ED"/>
    <w:rsid w:val="001C550A"/>
    <w:rsid w:val="00481779"/>
    <w:rsid w:val="004F05CD"/>
    <w:rsid w:val="0058529B"/>
    <w:rsid w:val="00655EAE"/>
    <w:rsid w:val="00680614"/>
    <w:rsid w:val="006D6243"/>
    <w:rsid w:val="006E0061"/>
    <w:rsid w:val="00726EE6"/>
    <w:rsid w:val="008F0DB7"/>
    <w:rsid w:val="00980925"/>
    <w:rsid w:val="00AC3546"/>
    <w:rsid w:val="00B07709"/>
    <w:rsid w:val="00C965A8"/>
    <w:rsid w:val="00D15921"/>
    <w:rsid w:val="00DE0512"/>
    <w:rsid w:val="00DE3344"/>
    <w:rsid w:val="00E0774E"/>
    <w:rsid w:val="00E32BE9"/>
    <w:rsid w:val="00E8581C"/>
    <w:rsid w:val="00ED16E4"/>
    <w:rsid w:val="00F149CD"/>
    <w:rsid w:val="00FA6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CA8D8D"/>
  <w15:docId w15:val="{492E76D9-039B-5842-A590-DE6D90AC1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965A8"/>
    <w:rPr>
      <w:sz w:val="16"/>
      <w:szCs w:val="16"/>
    </w:rPr>
  </w:style>
  <w:style w:type="paragraph" w:styleId="CommentText">
    <w:name w:val="annotation text"/>
    <w:basedOn w:val="Normal"/>
    <w:link w:val="CommentTextChar"/>
    <w:uiPriority w:val="99"/>
    <w:semiHidden/>
    <w:unhideWhenUsed/>
    <w:rsid w:val="00C965A8"/>
  </w:style>
  <w:style w:type="character" w:customStyle="1" w:styleId="CommentTextChar">
    <w:name w:val="Comment Text Char"/>
    <w:basedOn w:val="DefaultParagraphFont"/>
    <w:link w:val="CommentText"/>
    <w:uiPriority w:val="99"/>
    <w:semiHidden/>
    <w:rsid w:val="00C965A8"/>
  </w:style>
  <w:style w:type="paragraph" w:styleId="CommentSubject">
    <w:name w:val="annotation subject"/>
    <w:basedOn w:val="CommentText"/>
    <w:next w:val="CommentText"/>
    <w:link w:val="CommentSubjectChar"/>
    <w:uiPriority w:val="99"/>
    <w:semiHidden/>
    <w:unhideWhenUsed/>
    <w:rsid w:val="00C965A8"/>
    <w:rPr>
      <w:b/>
      <w:bCs/>
    </w:rPr>
  </w:style>
  <w:style w:type="character" w:customStyle="1" w:styleId="CommentSubjectChar">
    <w:name w:val="Comment Subject Char"/>
    <w:basedOn w:val="CommentTextChar"/>
    <w:link w:val="CommentSubject"/>
    <w:uiPriority w:val="99"/>
    <w:semiHidden/>
    <w:rsid w:val="00C965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13</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Key Design Document — PT AI Log Mining &amp; RCA Pipeline (Intact Insurance)</vt:lpstr>
    </vt:vector>
  </TitlesOfParts>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Design Document — PT AI Log Mining &amp; RCA Pipeline (Intact Insurance)</dc:title>
  <dc:creator>Pankaj Kumar Sharma</dc:creator>
  <cp:lastModifiedBy>Pankaj Kumar Sharma</cp:lastModifiedBy>
  <cp:revision>21</cp:revision>
  <dcterms:created xsi:type="dcterms:W3CDTF">2026-09-25T10:22:00Z</dcterms:created>
  <dcterms:modified xsi:type="dcterms:W3CDTF">2026-09-26T16:47:00Z</dcterms:modified>
</cp:coreProperties>
</file>