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F5C9F">
      <w:pPr>
        <w:spacing w:before="0" w:after="80"/>
      </w:pPr>
      <w:r>
        <w:rPr>
          <w:rFonts w:ascii="Calibri" w:hAnsi="Calibri"/>
          <w:b/>
          <w:color w:val="1E3A8A"/>
          <w:sz w:val="48"/>
        </w:rPr>
        <w:t>Virtual Queue Management Mobile App</w:t>
      </w:r>
    </w:p>
    <w:p w14:paraId="5D4DF449">
      <w:pPr>
        <w:spacing w:before="0" w:after="360"/>
      </w:pPr>
      <w:r>
        <w:rPr>
          <w:rFonts w:ascii="Calibri" w:hAnsi="Calibri"/>
          <w:color w:val="64748B"/>
          <w:sz w:val="28"/>
        </w:rPr>
        <w:t>Problem Statement &amp; Project Scope Document</w:t>
      </w:r>
    </w:p>
    <w:p w14:paraId="2E26A236">
      <w:pPr>
        <w:pBdr>
          <w:bottom w:val="single" w:color="2563EB" w:sz="12" w:space="1"/>
        </w:pBdr>
        <w:spacing w:before="0" w:after="240"/>
      </w:pPr>
    </w:p>
    <w:p w14:paraId="79EDBA38">
      <w:pPr>
        <w:keepNext/>
        <w:spacing w:before="280" w:after="120"/>
      </w:pPr>
      <w:r>
        <w:rPr>
          <w:rFonts w:ascii="Calibri" w:hAnsi="Calibri"/>
          <w:b/>
          <w:color w:val="1E3A8A"/>
          <w:sz w:val="32"/>
        </w:rPr>
        <w:t>1. Problem Statement</w:t>
      </w:r>
    </w:p>
    <w:p w14:paraId="67FC7A2D">
      <w:pPr>
        <w:keepNext w:val="0"/>
        <w:keepLines w:val="0"/>
        <w:widowControl/>
        <w:suppressLineNumbers w:val="0"/>
        <w:spacing w:before="0" w:beforeAutospacing="0" w:after="160" w:afterAutospacing="0" w:line="256" w:lineRule="auto"/>
        <w:ind w:left="0" w:right="0"/>
        <w:jc w:val="left"/>
        <w:rPr>
          <w:lang w:val="en-US"/>
        </w:rPr>
      </w:pPr>
    </w:p>
    <w:p w14:paraId="30A73DA0">
      <w:pPr>
        <w:keepNext w:val="0"/>
        <w:keepLines w:val="0"/>
        <w:widowControl/>
        <w:suppressLineNumbers w:val="0"/>
        <w:spacing w:before="0" w:beforeAutospacing="0" w:after="160" w:afterAutospacing="0" w:line="256" w:lineRule="auto"/>
        <w:ind w:left="0" w:right="0"/>
        <w:jc w:val="left"/>
        <w:rPr>
          <w:lang w:val="en-US"/>
        </w:rPr>
      </w:pPr>
      <w:r>
        <w:rPr>
          <w:rFonts w:hint="default" w:ascii="Calibri" w:hAnsi="Calibri" w:eastAsia="Calibri" w:cs="Times New Roman"/>
          <w:b/>
          <w:bCs/>
          <w:kern w:val="2"/>
          <w:sz w:val="22"/>
          <w:szCs w:val="22"/>
          <w:lang w:val="en-US" w:eastAsia="zh-CN" w:bidi="ar"/>
        </w:rPr>
        <w:t>1.0</w:t>
      </w:r>
      <w:r>
        <w:rPr>
          <w:rFonts w:hint="eastAsia" w:ascii="Calibri" w:hAnsi="Calibri" w:eastAsia="Calibri" w:cs="Times New Roman"/>
          <w:b/>
          <w:bCs/>
          <w:kern w:val="2"/>
          <w:sz w:val="22"/>
          <w:szCs w:val="22"/>
          <w:lang w:val="en-US" w:eastAsia="zh-CN" w:bidi="ar"/>
        </w:rPr>
        <w:t xml:space="preserve"> Background</w:t>
      </w:r>
    </w:p>
    <w:p w14:paraId="73142B28">
      <w:pPr>
        <w:keepNext w:val="0"/>
        <w:keepLines w:val="0"/>
        <w:widowControl/>
        <w:suppressLineNumbers w:val="0"/>
        <w:spacing w:before="0" w:beforeAutospacing="0" w:after="160" w:afterAutospacing="0" w:line="256" w:lineRule="auto"/>
        <w:ind w:left="0" w:right="0"/>
        <w:jc w:val="left"/>
        <w:rPr>
          <w:lang w:val="en-US"/>
        </w:rPr>
      </w:pPr>
    </w:p>
    <w:p w14:paraId="350B968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University service points such as the Registry, Finance Office, Clinic, and Accommodation Office frequently experience long physical queues, especially during peak periods such as course registration, fee payment deadlines, and hostel allocation. Students and staff are often required to wait for extended periods before receiving services.</w:t>
      </w:r>
    </w:p>
    <w:p w14:paraId="059AA0CB">
      <w:pPr>
        <w:keepNext w:val="0"/>
        <w:keepLines w:val="0"/>
        <w:widowControl/>
        <w:suppressLineNumbers w:val="0"/>
        <w:spacing w:before="0" w:beforeAutospacing="0" w:after="160" w:afterAutospacing="0" w:line="256" w:lineRule="auto"/>
        <w:ind w:left="0" w:right="0"/>
        <w:jc w:val="left"/>
        <w:rPr>
          <w:lang w:val="en-US"/>
        </w:rPr>
      </w:pPr>
    </w:p>
    <w:p w14:paraId="6DBFDF8D">
      <w:pPr>
        <w:keepNext w:val="0"/>
        <w:keepLines w:val="0"/>
        <w:widowControl/>
        <w:suppressLineNumbers w:val="0"/>
        <w:spacing w:before="0" w:beforeAutospacing="0" w:after="160" w:afterAutospacing="0" w:line="256" w:lineRule="auto"/>
        <w:ind w:left="0" w:right="0"/>
        <w:jc w:val="left"/>
        <w:rPr>
          <w:lang w:val="en-US"/>
        </w:rPr>
      </w:pPr>
      <w:r>
        <w:rPr>
          <w:rFonts w:hint="default" w:ascii="Calibri" w:hAnsi="Calibri" w:eastAsia="Calibri" w:cs="Times New Roman"/>
          <w:b/>
          <w:bCs/>
          <w:kern w:val="2"/>
          <w:sz w:val="22"/>
          <w:szCs w:val="22"/>
          <w:lang w:val="en-US" w:eastAsia="zh-CN" w:bidi="ar"/>
        </w:rPr>
        <w:t>1.1</w:t>
      </w:r>
      <w:r>
        <w:rPr>
          <w:rFonts w:hint="eastAsia" w:ascii="Calibri" w:hAnsi="Calibri" w:eastAsia="Calibri" w:cs="Times New Roman"/>
          <w:b/>
          <w:bCs/>
          <w:kern w:val="2"/>
          <w:sz w:val="22"/>
          <w:szCs w:val="22"/>
          <w:lang w:val="en-US" w:eastAsia="zh-CN" w:bidi="ar"/>
        </w:rPr>
        <w:t>The Problem</w:t>
      </w:r>
    </w:p>
    <w:p w14:paraId="698D7CA8">
      <w:pPr>
        <w:keepNext w:val="0"/>
        <w:keepLines w:val="0"/>
        <w:widowControl/>
        <w:suppressLineNumbers w:val="0"/>
        <w:spacing w:before="0" w:beforeAutospacing="0" w:after="160" w:afterAutospacing="0" w:line="256" w:lineRule="auto"/>
        <w:ind w:left="0" w:right="0"/>
        <w:jc w:val="left"/>
        <w:rPr>
          <w:lang w:val="en-US"/>
        </w:rPr>
      </w:pPr>
    </w:p>
    <w:p w14:paraId="2673356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The current physical queueing system is inefficient and creates several challenges:</w:t>
      </w:r>
    </w:p>
    <w:p w14:paraId="1B84C462">
      <w:pPr>
        <w:keepNext w:val="0"/>
        <w:keepLines w:val="0"/>
        <w:widowControl/>
        <w:suppressLineNumbers w:val="0"/>
        <w:spacing w:before="0" w:beforeAutospacing="0" w:after="160" w:afterAutospacing="0" w:line="256" w:lineRule="auto"/>
        <w:ind w:left="0" w:right="0"/>
        <w:jc w:val="left"/>
        <w:rPr>
          <w:lang w:val="en-US"/>
        </w:rPr>
      </w:pPr>
    </w:p>
    <w:p w14:paraId="3AC0177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2"/>
          <w:sz w:val="22"/>
          <w:szCs w:val="22"/>
          <w:lang w:val="en-US" w:eastAsia="zh-CN" w:bidi="ar"/>
        </w:rPr>
        <w:t>Wasted Time:</w:t>
      </w:r>
      <w:r>
        <w:rPr>
          <w:rFonts w:hint="eastAsia" w:ascii="Calibri" w:hAnsi="Calibri" w:eastAsia="Calibri" w:cs="Times New Roman"/>
          <w:kern w:val="2"/>
          <w:sz w:val="22"/>
          <w:szCs w:val="22"/>
          <w:lang w:val="en-US" w:eastAsia="zh-CN" w:bidi="ar"/>
        </w:rPr>
        <w:t xml:space="preserve"> Students spend valuable time standing in queues instead of attending classes, studying, or participating in other productive activities.</w:t>
      </w:r>
    </w:p>
    <w:p w14:paraId="1D71398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2"/>
          <w:sz w:val="22"/>
          <w:szCs w:val="22"/>
          <w:lang w:val="en-US" w:eastAsia="zh-CN" w:bidi="ar"/>
        </w:rPr>
        <w:t>Lack of Transparency:</w:t>
      </w:r>
      <w:r>
        <w:rPr>
          <w:rFonts w:hint="eastAsia" w:ascii="Calibri" w:hAnsi="Calibri" w:eastAsia="Calibri" w:cs="Times New Roman"/>
          <w:kern w:val="2"/>
          <w:sz w:val="22"/>
          <w:szCs w:val="22"/>
          <w:lang w:val="en-US" w:eastAsia="zh-CN" w:bidi="ar"/>
        </w:rPr>
        <w:t xml:space="preserve"> Users cannot see their queue position or estimate how long they will have to wait.</w:t>
      </w:r>
    </w:p>
    <w:p w14:paraId="4F19DFD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2"/>
          <w:sz w:val="22"/>
          <w:szCs w:val="22"/>
          <w:lang w:val="en-US" w:eastAsia="zh-CN" w:bidi="ar"/>
        </w:rPr>
        <w:t>Overcrowding:</w:t>
      </w:r>
      <w:r>
        <w:rPr>
          <w:rFonts w:hint="eastAsia" w:ascii="Calibri" w:hAnsi="Calibri" w:eastAsia="Calibri" w:cs="Times New Roman"/>
          <w:kern w:val="2"/>
          <w:sz w:val="22"/>
          <w:szCs w:val="22"/>
          <w:lang w:val="en-US" w:eastAsia="zh-CN" w:bidi="ar"/>
        </w:rPr>
        <w:t xml:space="preserve"> Long physical queues create congestion at service points, making the environment uncomfortable and difficult to manage.</w:t>
      </w:r>
    </w:p>
    <w:p w14:paraId="23DF9AB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2"/>
          <w:sz w:val="22"/>
          <w:szCs w:val="22"/>
          <w:lang w:val="en-US" w:eastAsia="zh-CN" w:bidi="ar"/>
        </w:rPr>
        <w:t>Missed Turns:</w:t>
      </w:r>
      <w:r>
        <w:rPr>
          <w:rFonts w:hint="eastAsia" w:ascii="Calibri" w:hAnsi="Calibri" w:eastAsia="Calibri" w:cs="Times New Roman"/>
          <w:kern w:val="2"/>
          <w:sz w:val="22"/>
          <w:szCs w:val="22"/>
          <w:lang w:val="en-US" w:eastAsia="zh-CN" w:bidi="ar"/>
        </w:rPr>
        <w:t xml:space="preserve"> Users who leave the queue briefly risk losing their place and may have to start the waiting process again.</w:t>
      </w:r>
    </w:p>
    <w:p w14:paraId="3C0C4E8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2"/>
          <w:sz w:val="22"/>
          <w:szCs w:val="22"/>
          <w:lang w:val="en-US" w:eastAsia="zh-CN" w:bidi="ar"/>
        </w:rPr>
        <w:t>Accessibility Challenges:</w:t>
      </w:r>
      <w:r>
        <w:rPr>
          <w:rFonts w:hint="eastAsia" w:ascii="Calibri" w:hAnsi="Calibri" w:eastAsia="Calibri" w:cs="Times New Roman"/>
          <w:kern w:val="2"/>
          <w:sz w:val="22"/>
          <w:szCs w:val="22"/>
          <w:lang w:val="en-US" w:eastAsia="zh-CN" w:bidi="ar"/>
        </w:rPr>
        <w:t xml:space="preserve"> Students with disabilities, mobility difficulties, or tight academic schedules are disproportionately affected by long waiting times.</w:t>
      </w:r>
    </w:p>
    <w:p w14:paraId="31A622A4">
      <w:pPr>
        <w:keepNext w:val="0"/>
        <w:keepLines w:val="0"/>
        <w:widowControl/>
        <w:suppressLineNumbers w:val="0"/>
        <w:spacing w:before="0" w:beforeAutospacing="0" w:after="160" w:afterAutospacing="0" w:line="256" w:lineRule="auto"/>
        <w:ind w:left="0" w:right="0"/>
        <w:jc w:val="left"/>
        <w:rPr>
          <w:lang w:val="en-US"/>
        </w:rPr>
      </w:pPr>
    </w:p>
    <w:p w14:paraId="6BD25C86">
      <w:pPr>
        <w:keepNext w:val="0"/>
        <w:keepLines w:val="0"/>
        <w:widowControl/>
        <w:suppressLineNumbers w:val="0"/>
        <w:spacing w:before="0" w:beforeAutospacing="0" w:after="160" w:afterAutospacing="0" w:line="256" w:lineRule="auto"/>
        <w:ind w:left="0" w:right="0"/>
        <w:jc w:val="left"/>
        <w:rPr>
          <w:lang w:val="en-US"/>
        </w:rPr>
      </w:pPr>
      <w:r>
        <w:rPr>
          <w:rFonts w:hint="default" w:ascii="Calibri" w:hAnsi="Calibri" w:eastAsia="Calibri" w:cs="Times New Roman"/>
          <w:b/>
          <w:bCs/>
          <w:kern w:val="2"/>
          <w:sz w:val="22"/>
          <w:szCs w:val="22"/>
          <w:lang w:val="en-US" w:eastAsia="zh-CN" w:bidi="ar"/>
        </w:rPr>
        <w:t xml:space="preserve">1.2 </w:t>
      </w:r>
      <w:r>
        <w:rPr>
          <w:rFonts w:hint="eastAsia" w:ascii="Calibri" w:hAnsi="Calibri" w:eastAsia="Calibri" w:cs="Times New Roman"/>
          <w:b/>
          <w:bCs/>
          <w:kern w:val="2"/>
          <w:sz w:val="22"/>
          <w:szCs w:val="22"/>
          <w:lang w:val="en-US" w:eastAsia="zh-CN" w:bidi="ar"/>
        </w:rPr>
        <w:t>Proposed Solution</w:t>
      </w:r>
    </w:p>
    <w:p w14:paraId="4870983A">
      <w:pPr>
        <w:keepNext w:val="0"/>
        <w:keepLines w:val="0"/>
        <w:widowControl/>
        <w:suppressLineNumbers w:val="0"/>
        <w:spacing w:before="0" w:beforeAutospacing="0" w:after="160" w:afterAutospacing="0" w:line="256" w:lineRule="auto"/>
        <w:ind w:left="0" w:right="0"/>
        <w:jc w:val="left"/>
        <w:rPr>
          <w:lang w:val="en-US"/>
        </w:rPr>
      </w:pPr>
    </w:p>
    <w:p w14:paraId="61EB176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 xml:space="preserve">This project proposes the design of a </w:t>
      </w:r>
      <w:r>
        <w:rPr>
          <w:rFonts w:hint="eastAsia" w:ascii="Calibri" w:hAnsi="Calibri" w:eastAsia="Calibri" w:cs="Times New Roman"/>
          <w:b/>
          <w:bCs/>
          <w:kern w:val="2"/>
          <w:sz w:val="22"/>
          <w:szCs w:val="22"/>
          <w:lang w:val="en-US" w:eastAsia="zh-CN" w:bidi="ar"/>
        </w:rPr>
        <w:t>**Virtual Queue Management Mobile Application**</w:t>
      </w:r>
      <w:r>
        <w:rPr>
          <w:rFonts w:hint="eastAsia" w:ascii="Calibri" w:hAnsi="Calibri" w:eastAsia="Calibri" w:cs="Times New Roman"/>
          <w:kern w:val="2"/>
          <w:sz w:val="22"/>
          <w:szCs w:val="22"/>
          <w:lang w:val="en-US" w:eastAsia="zh-CN" w:bidi="ar"/>
        </w:rPr>
        <w:t xml:space="preserve"> that allows users to:</w:t>
      </w:r>
    </w:p>
    <w:p w14:paraId="73D861AA">
      <w:pPr>
        <w:keepNext w:val="0"/>
        <w:keepLines w:val="0"/>
        <w:widowControl/>
        <w:suppressLineNumbers w:val="0"/>
        <w:spacing w:before="0" w:beforeAutospacing="0" w:after="160" w:afterAutospacing="0" w:line="256" w:lineRule="auto"/>
        <w:ind w:left="0" w:right="0"/>
        <w:jc w:val="left"/>
        <w:rPr>
          <w:lang w:val="en-US"/>
        </w:rPr>
      </w:pPr>
    </w:p>
    <w:p w14:paraId="698C8CC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 Join a queue remotely.</w:t>
      </w:r>
    </w:p>
    <w:p w14:paraId="2FEA65A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 View their current queue position.</w:t>
      </w:r>
    </w:p>
    <w:p w14:paraId="4735A0C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 Receive real-time updates and estimated waiting times.</w:t>
      </w:r>
    </w:p>
    <w:p w14:paraId="71B3554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 Get notifications when their turn is approaching.</w:t>
      </w:r>
    </w:p>
    <w:p w14:paraId="4DC09A2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 Confirm service completion or leave the queue when necessary.</w:t>
      </w:r>
    </w:p>
    <w:p w14:paraId="39C00505">
      <w:pPr>
        <w:keepNext w:val="0"/>
        <w:keepLines w:val="0"/>
        <w:widowControl/>
        <w:suppressLineNumbers w:val="0"/>
        <w:spacing w:before="0" w:beforeAutospacing="0" w:after="160" w:afterAutospacing="0" w:line="256" w:lineRule="auto"/>
        <w:ind w:left="0" w:right="0"/>
        <w:jc w:val="left"/>
        <w:rPr>
          <w:lang w:val="en-US"/>
        </w:rPr>
      </w:pPr>
    </w:p>
    <w:p w14:paraId="50565032">
      <w:pPr>
        <w:keepNext w:val="0"/>
        <w:keepLines w:val="0"/>
        <w:widowControl/>
        <w:suppressLineNumbers w:val="0"/>
        <w:spacing w:before="0" w:beforeAutospacing="0" w:after="160" w:afterAutospacing="0" w:line="256" w:lineRule="auto"/>
        <w:ind w:left="0" w:right="0"/>
        <w:jc w:val="left"/>
        <w:rPr>
          <w:lang w:val="en-US"/>
        </w:rPr>
      </w:pPr>
      <w:r>
        <w:rPr>
          <w:rFonts w:hint="default" w:ascii="Calibri" w:hAnsi="Calibri" w:eastAsia="Calibri" w:cs="Times New Roman"/>
          <w:b/>
          <w:bCs/>
          <w:kern w:val="2"/>
          <w:sz w:val="22"/>
          <w:szCs w:val="22"/>
          <w:lang w:val="en-US" w:eastAsia="zh-CN" w:bidi="ar"/>
        </w:rPr>
        <w:t>1.3</w:t>
      </w:r>
      <w:r>
        <w:rPr>
          <w:rFonts w:hint="eastAsia" w:ascii="Calibri" w:hAnsi="Calibri" w:eastAsia="Calibri" w:cs="Times New Roman"/>
          <w:b/>
          <w:bCs/>
          <w:kern w:val="2"/>
          <w:sz w:val="22"/>
          <w:szCs w:val="22"/>
          <w:lang w:val="en-US" w:eastAsia="zh-CN" w:bidi="ar"/>
        </w:rPr>
        <w:t>Expected Outcome</w:t>
      </w:r>
    </w:p>
    <w:p w14:paraId="40CBE7EA">
      <w:pPr>
        <w:keepNext w:val="0"/>
        <w:keepLines w:val="0"/>
        <w:widowControl/>
        <w:suppressLineNumbers w:val="0"/>
        <w:spacing w:before="0" w:beforeAutospacing="0" w:after="160" w:afterAutospacing="0" w:line="256" w:lineRule="auto"/>
        <w:ind w:left="0" w:right="0"/>
        <w:jc w:val="left"/>
        <w:rPr>
          <w:lang w:val="en-US"/>
        </w:rPr>
      </w:pPr>
    </w:p>
    <w:p w14:paraId="26F23F4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The proposed solution aims to:</w:t>
      </w:r>
    </w:p>
    <w:p w14:paraId="6FD1698D">
      <w:pPr>
        <w:keepNext w:val="0"/>
        <w:keepLines w:val="0"/>
        <w:widowControl/>
        <w:suppressLineNumbers w:val="0"/>
        <w:spacing w:before="0" w:beforeAutospacing="0" w:after="160" w:afterAutospacing="0" w:line="256" w:lineRule="auto"/>
        <w:ind w:left="0" w:right="0"/>
        <w:jc w:val="left"/>
        <w:rPr>
          <w:lang w:val="en-US"/>
        </w:rPr>
      </w:pPr>
    </w:p>
    <w:p w14:paraId="7EE921D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 Reduce physical congestion at university service points.</w:t>
      </w:r>
    </w:p>
    <w:p w14:paraId="3D849D6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 Minimize waiting time and improve productivity.</w:t>
      </w:r>
    </w:p>
    <w:p w14:paraId="5E9C8C6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 Increase transparency and fairness in queue management.</w:t>
      </w:r>
    </w:p>
    <w:p w14:paraId="09E9F0C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 Improve accessibility for all users.</w:t>
      </w:r>
    </w:p>
    <w:p w14:paraId="3C907FB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rPr>
        <w:t>* Enhance the overall user experience through a simple, mobile-friendly interface.</w:t>
      </w:r>
    </w:p>
    <w:p w14:paraId="3F00B75E">
      <w:pPr>
        <w:keepNext w:val="0"/>
        <w:keepLines w:val="0"/>
        <w:widowControl/>
        <w:suppressLineNumbers w:val="0"/>
        <w:spacing w:before="0" w:beforeAutospacing="0" w:after="160" w:afterAutospacing="0" w:line="256" w:lineRule="auto"/>
        <w:ind w:left="0" w:right="0"/>
        <w:jc w:val="left"/>
        <w:rPr>
          <w:lang w:val="en-US"/>
        </w:rPr>
      </w:pPr>
    </w:p>
    <w:p w14:paraId="459DD25F">
      <w:pPr>
        <w:keepNext w:val="0"/>
        <w:keepLines w:val="0"/>
        <w:widowControl/>
        <w:suppressLineNumbers w:val="0"/>
        <w:spacing w:before="0" w:beforeAutospacing="0" w:after="160" w:afterAutospacing="0" w:line="256" w:lineRule="auto"/>
        <w:ind w:left="0" w:right="0"/>
        <w:jc w:val="left"/>
        <w:rPr>
          <w:rFonts w:hint="default"/>
          <w:lang w:val="en-US"/>
        </w:rPr>
      </w:pPr>
      <w:r>
        <w:rPr>
          <w:rFonts w:hint="default" w:ascii="Calibri" w:hAnsi="Calibri" w:eastAsia="Calibri" w:cs="Times New Roman"/>
          <w:b/>
          <w:bCs/>
          <w:kern w:val="2"/>
          <w:sz w:val="22"/>
          <w:szCs w:val="22"/>
          <w:lang w:val="en-US" w:eastAsia="zh-CN" w:bidi="ar"/>
        </w:rPr>
        <w:t xml:space="preserve">1.4  </w:t>
      </w:r>
      <w:bookmarkStart w:id="0" w:name="_GoBack"/>
      <w:bookmarkEnd w:id="0"/>
      <w:r>
        <w:rPr>
          <w:rFonts w:hint="default" w:ascii="Calibri" w:hAnsi="Calibri" w:eastAsia="Calibri" w:cs="Times New Roman"/>
          <w:b/>
          <w:bCs/>
          <w:kern w:val="2"/>
          <w:sz w:val="22"/>
          <w:szCs w:val="22"/>
          <w:lang w:val="en-US" w:eastAsia="zh-CN" w:bidi="ar"/>
        </w:rPr>
        <w:t>Affected Stakeholders</w:t>
      </w:r>
    </w:p>
    <w:p w14:paraId="14F7A42B">
      <w:pPr>
        <w:pStyle w:val="23"/>
        <w:numPr>
          <w:numId w:val="0"/>
        </w:numPr>
        <w:spacing w:before="0" w:after="60" w:line="276" w:lineRule="auto"/>
        <w:ind w:leftChars="0" w:firstLine="110" w:firstLineChars="50"/>
      </w:pPr>
      <w:r>
        <w:rPr>
          <w:rFonts w:ascii="Calibri" w:hAnsi="Calibri"/>
          <w:b/>
          <w:color w:val="1E3A8A"/>
          <w:sz w:val="22"/>
        </w:rPr>
        <w:t xml:space="preserve">Students: </w:t>
      </w:r>
      <w:r>
        <w:rPr>
          <w:rFonts w:ascii="Calibri" w:hAnsi="Calibri"/>
          <w:color w:val="334155"/>
          <w:sz w:val="22"/>
        </w:rPr>
        <w:t>Seeking various university services and facing schedule disruptions due to long wait times.</w:t>
      </w:r>
    </w:p>
    <w:p w14:paraId="7BE1D05C">
      <w:pPr>
        <w:pStyle w:val="23"/>
        <w:spacing w:before="0" w:after="60" w:line="276" w:lineRule="auto"/>
      </w:pPr>
      <w:r>
        <w:rPr>
          <w:rFonts w:ascii="Calibri" w:hAnsi="Calibri"/>
          <w:b/>
          <w:color w:val="1E3A8A"/>
          <w:sz w:val="22"/>
        </w:rPr>
        <w:t xml:space="preserve">Registry Staff: </w:t>
      </w:r>
      <w:r>
        <w:rPr>
          <w:rFonts w:ascii="Calibri" w:hAnsi="Calibri"/>
          <w:color w:val="334155"/>
          <w:sz w:val="22"/>
        </w:rPr>
        <w:t>Managing high volumes of student inquiries and physical queues during peak administrative windows.</w:t>
      </w:r>
    </w:p>
    <w:p w14:paraId="1F4FE8BF">
      <w:pPr>
        <w:pStyle w:val="23"/>
        <w:spacing w:before="0" w:after="60" w:line="276" w:lineRule="auto"/>
      </w:pPr>
      <w:r>
        <w:rPr>
          <w:rFonts w:ascii="Calibri" w:hAnsi="Calibri"/>
          <w:b/>
          <w:color w:val="1E3A8A"/>
          <w:sz w:val="22"/>
        </w:rPr>
        <w:t xml:space="preserve">Finance Office Staff: </w:t>
      </w:r>
      <w:r>
        <w:rPr>
          <w:rFonts w:ascii="Calibri" w:hAnsi="Calibri"/>
          <w:color w:val="334155"/>
          <w:sz w:val="22"/>
        </w:rPr>
        <w:t>Handling payments and account inquiries while managing physical lines.</w:t>
      </w:r>
    </w:p>
    <w:p w14:paraId="50F2AF97">
      <w:pPr>
        <w:spacing w:before="0" w:after="80" w:line="276" w:lineRule="auto"/>
        <w:rPr>
          <w:rFonts w:hint="default"/>
          <w:lang w:val="en-US"/>
        </w:rPr>
      </w:pPr>
      <w:r>
        <w:rPr>
          <w:rFonts w:ascii="Calibri" w:hAnsi="Calibri"/>
          <w:b/>
          <w:color w:val="1E3A8A"/>
          <w:sz w:val="22"/>
        </w:rPr>
        <w:t xml:space="preserve">University Clinic Staff: </w:t>
      </w:r>
      <w:r>
        <w:rPr>
          <w:rFonts w:hint="default" w:ascii="Calibri" w:hAnsi="Calibri"/>
          <w:color w:val="334155"/>
          <w:sz w:val="22"/>
          <w:lang w:val="en-US"/>
        </w:rPr>
        <w:t>Manage students visits during busy waiting times.</w:t>
      </w:r>
    </w:p>
    <w:p w14:paraId="3FF368CF">
      <w:pPr>
        <w:pStyle w:val="23"/>
        <w:spacing w:before="0" w:after="60" w:line="276" w:lineRule="auto"/>
      </w:pPr>
      <w:r>
        <w:rPr>
          <w:rFonts w:ascii="Calibri" w:hAnsi="Calibri"/>
          <w:b/>
          <w:color w:val="1E3A8A"/>
          <w:sz w:val="22"/>
        </w:rPr>
        <w:t xml:space="preserve">Accommodation Office Staff: </w:t>
      </w:r>
      <w:r>
        <w:rPr>
          <w:rFonts w:ascii="Calibri" w:hAnsi="Calibri"/>
          <w:color w:val="334155"/>
          <w:sz w:val="22"/>
        </w:rPr>
        <w:t>Coordinating hostel applications and housing inquiries</w:t>
      </w:r>
      <w:r>
        <w:rPr>
          <w:rFonts w:hint="default" w:ascii="Calibri" w:hAnsi="Calibri"/>
          <w:color w:val="334155"/>
          <w:sz w:val="22"/>
          <w:lang w:val="en-US"/>
        </w:rPr>
        <w:t>.</w:t>
      </w:r>
    </w:p>
    <w:p w14:paraId="65A6D9C1">
      <w:pPr>
        <w:pStyle w:val="23"/>
        <w:numPr>
          <w:numId w:val="0"/>
        </w:numPr>
        <w:spacing w:before="0" w:after="60" w:line="276" w:lineRule="auto"/>
        <w:contextualSpacing/>
        <w:rPr>
          <w:rFonts w:hint="default" w:ascii="Calibri" w:hAnsi="Calibri"/>
          <w:color w:val="334155"/>
          <w:sz w:val="22"/>
          <w:lang w:val="en-US"/>
        </w:rPr>
      </w:pPr>
    </w:p>
    <w:p w14:paraId="7AE270D7">
      <w:pPr>
        <w:pStyle w:val="23"/>
        <w:numPr>
          <w:numId w:val="0"/>
        </w:numPr>
        <w:spacing w:before="0" w:after="60" w:line="276" w:lineRule="auto"/>
        <w:contextualSpacing/>
        <w:rPr>
          <w:rFonts w:hint="default" w:ascii="Calibri" w:hAnsi="Calibri"/>
          <w:color w:val="334155"/>
          <w:sz w:val="22"/>
          <w:lang w:val="en-US"/>
        </w:rPr>
      </w:pPr>
    </w:p>
    <w:p w14:paraId="3E1CF1AD">
      <w:pPr>
        <w:pStyle w:val="23"/>
        <w:numPr>
          <w:numId w:val="0"/>
        </w:numPr>
        <w:spacing w:before="0" w:after="60" w:line="276" w:lineRule="auto"/>
        <w:contextualSpacing/>
        <w:rPr>
          <w:rFonts w:hint="default" w:ascii="Calibri" w:hAnsi="Calibri"/>
          <w:color w:val="334155"/>
          <w:sz w:val="22"/>
          <w:lang w:val="en-US"/>
        </w:rPr>
      </w:pPr>
    </w:p>
    <w:p w14:paraId="12598BBD">
      <w:pPr>
        <w:pStyle w:val="23"/>
        <w:numPr>
          <w:numId w:val="0"/>
        </w:numPr>
        <w:spacing w:before="0" w:after="60" w:line="276" w:lineRule="auto"/>
        <w:contextualSpacing/>
        <w:rPr>
          <w:rFonts w:hint="default" w:ascii="Calibri" w:hAnsi="Calibri"/>
          <w:color w:val="334155"/>
          <w:sz w:val="22"/>
          <w:lang w:val="en-US"/>
        </w:rPr>
      </w:pPr>
    </w:p>
    <w:p w14:paraId="017DAB67">
      <w:pPr>
        <w:pStyle w:val="23"/>
        <w:numPr>
          <w:numId w:val="0"/>
        </w:numPr>
        <w:spacing w:before="0" w:after="60" w:line="276" w:lineRule="auto"/>
        <w:contextualSpacing/>
        <w:rPr>
          <w:rFonts w:hint="default" w:ascii="Calibri" w:hAnsi="Calibri"/>
          <w:color w:val="334155"/>
          <w:sz w:val="22"/>
          <w:lang w:val="en-US"/>
        </w:rPr>
      </w:pPr>
    </w:p>
    <w:p w14:paraId="5F39BC7E">
      <w:pPr>
        <w:pStyle w:val="23"/>
        <w:numPr>
          <w:numId w:val="0"/>
        </w:numPr>
        <w:spacing w:before="0" w:after="60" w:line="276" w:lineRule="auto"/>
        <w:contextualSpacing/>
        <w:rPr>
          <w:rFonts w:hint="default" w:ascii="Calibri" w:hAnsi="Calibri"/>
          <w:color w:val="334155"/>
          <w:sz w:val="22"/>
          <w:lang w:val="en-US"/>
        </w:rPr>
      </w:pPr>
    </w:p>
    <w:p w14:paraId="5CFE1ED3">
      <w:pPr>
        <w:pStyle w:val="23"/>
        <w:numPr>
          <w:numId w:val="0"/>
        </w:numPr>
        <w:spacing w:before="0" w:after="60" w:line="276" w:lineRule="auto"/>
        <w:contextualSpacing/>
        <w:rPr>
          <w:rFonts w:hint="default" w:ascii="Calibri" w:hAnsi="Calibri"/>
          <w:color w:val="334155"/>
          <w:sz w:val="22"/>
          <w:lang w:val="en-US"/>
        </w:rPr>
      </w:pPr>
    </w:p>
    <w:p w14:paraId="5D99452F">
      <w:pPr>
        <w:pStyle w:val="23"/>
        <w:numPr>
          <w:numId w:val="0"/>
        </w:numPr>
        <w:spacing w:before="0" w:after="60" w:line="276" w:lineRule="auto"/>
        <w:contextualSpacing/>
        <w:rPr>
          <w:rFonts w:hint="default" w:ascii="Calibri" w:hAnsi="Calibri"/>
          <w:color w:val="334155"/>
          <w:sz w:val="22"/>
          <w:lang w:val="en-US"/>
        </w:rPr>
      </w:pPr>
    </w:p>
    <w:p w14:paraId="4BBE5FE4">
      <w:pPr>
        <w:pStyle w:val="23"/>
        <w:numPr>
          <w:numId w:val="0"/>
        </w:numPr>
        <w:spacing w:before="0" w:after="60" w:line="276" w:lineRule="auto"/>
        <w:ind w:leftChars="0"/>
      </w:pPr>
    </w:p>
    <w:p w14:paraId="60347548">
      <w:pPr>
        <w:keepNext/>
        <w:spacing w:before="280" w:after="120"/>
      </w:pPr>
      <w:r>
        <w:rPr>
          <w:rFonts w:ascii="Calibri" w:hAnsi="Calibri"/>
          <w:b/>
          <w:color w:val="1E3A8A"/>
          <w:sz w:val="32"/>
        </w:rPr>
        <w:t>2. Project Scope</w:t>
      </w:r>
    </w:p>
    <w:p w14:paraId="286FE63A">
      <w:pPr>
        <w:keepNext/>
        <w:spacing w:before="200" w:after="80"/>
      </w:pPr>
      <w:r>
        <w:rPr>
          <w:rFonts w:ascii="Calibri" w:hAnsi="Calibri"/>
          <w:b/>
          <w:color w:val="2563EB"/>
          <w:sz w:val="26"/>
        </w:rPr>
        <w:t>2.1 Service Points in Scope</w:t>
      </w:r>
    </w:p>
    <w:p w14:paraId="74A5FEE2">
      <w:pPr>
        <w:pStyle w:val="23"/>
        <w:spacing w:before="0" w:after="40" w:line="276" w:lineRule="auto"/>
      </w:pPr>
      <w:r>
        <w:rPr>
          <w:rFonts w:ascii="Calibri" w:hAnsi="Calibri"/>
          <w:color w:val="334155"/>
          <w:sz w:val="22"/>
        </w:rPr>
        <w:t>Registry</w:t>
      </w:r>
    </w:p>
    <w:p w14:paraId="08FEED68">
      <w:pPr>
        <w:pStyle w:val="23"/>
        <w:spacing w:before="0" w:after="40" w:line="276" w:lineRule="auto"/>
      </w:pPr>
      <w:r>
        <w:rPr>
          <w:rFonts w:ascii="Calibri" w:hAnsi="Calibri"/>
          <w:color w:val="334155"/>
          <w:sz w:val="22"/>
        </w:rPr>
        <w:t>Finance Office</w:t>
      </w:r>
    </w:p>
    <w:p w14:paraId="529D24AE">
      <w:pPr>
        <w:pStyle w:val="23"/>
        <w:spacing w:before="0" w:after="40" w:line="276" w:lineRule="auto"/>
      </w:pPr>
      <w:r>
        <w:rPr>
          <w:rFonts w:ascii="Calibri" w:hAnsi="Calibri"/>
          <w:color w:val="334155"/>
          <w:sz w:val="22"/>
        </w:rPr>
        <w:t>University Clinic</w:t>
      </w:r>
    </w:p>
    <w:p w14:paraId="16362FD3">
      <w:pPr>
        <w:pStyle w:val="23"/>
        <w:spacing w:before="0" w:after="40" w:line="276" w:lineRule="auto"/>
      </w:pPr>
      <w:r>
        <w:rPr>
          <w:rFonts w:ascii="Calibri" w:hAnsi="Calibri"/>
          <w:color w:val="334155"/>
          <w:sz w:val="22"/>
        </w:rPr>
        <w:t>Accommodation Office</w:t>
      </w:r>
    </w:p>
    <w:p w14:paraId="29B06ECA">
      <w:pPr>
        <w:keepNext/>
        <w:spacing w:before="200" w:after="80"/>
      </w:pPr>
      <w:r>
        <w:rPr>
          <w:rFonts w:ascii="Calibri" w:hAnsi="Calibri"/>
          <w:b/>
          <w:color w:val="2563EB"/>
          <w:sz w:val="26"/>
        </w:rPr>
        <w:t>2.2 Functional Scope Comparison</w:t>
      </w:r>
    </w:p>
    <w:tbl>
      <w:tblPr>
        <w:tblStyle w:val="12"/>
        <w:tblW w:w="0" w:type="auto"/>
        <w:jc w:val="center"/>
        <w:tblLayout w:type="autofit"/>
        <w:tblCellMar>
          <w:top w:w="0" w:type="dxa"/>
          <w:left w:w="108" w:type="dxa"/>
          <w:bottom w:w="0" w:type="dxa"/>
          <w:right w:w="108" w:type="dxa"/>
        </w:tblCellMar>
      </w:tblPr>
      <w:tblGrid>
        <w:gridCol w:w="4680"/>
        <w:gridCol w:w="4680"/>
      </w:tblGrid>
      <w:tr w14:paraId="40301EFD">
        <w:tblPrEx>
          <w:tblCellMar>
            <w:top w:w="0" w:type="dxa"/>
            <w:left w:w="108" w:type="dxa"/>
            <w:bottom w:w="0" w:type="dxa"/>
            <w:right w:w="108" w:type="dxa"/>
          </w:tblCellMar>
        </w:tblPrEx>
        <w:trPr>
          <w:jc w:val="center"/>
        </w:trPr>
        <w:tc>
          <w:tcPr>
            <w:tcW w:w="4680" w:type="dxa"/>
            <w:tcBorders>
              <w:top w:val="single" w:color="E2E8F0" w:sz="4" w:space="0"/>
              <w:left w:val="single" w:color="E2E8F0" w:sz="4" w:space="0"/>
              <w:bottom w:val="single" w:color="E2E8F0" w:sz="4" w:space="0"/>
              <w:right w:val="single" w:color="E2E8F0" w:sz="4" w:space="0"/>
            </w:tcBorders>
            <w:shd w:val="clear" w:color="auto" w:fill="1E3A8A"/>
            <w:tcMar>
              <w:top w:w="120" w:type="dxa"/>
              <w:left w:w="150" w:type="dxa"/>
              <w:bottom w:w="120" w:type="dxa"/>
              <w:right w:w="150" w:type="dxa"/>
            </w:tcMar>
          </w:tcPr>
          <w:p w14:paraId="76F59BF9">
            <w:pPr>
              <w:jc w:val="left"/>
            </w:pPr>
            <w:r>
              <w:rPr>
                <w:rFonts w:ascii="Calibri" w:hAnsi="Calibri"/>
                <w:b/>
                <w:color w:val="FFFFFF"/>
                <w:sz w:val="22"/>
              </w:rPr>
              <w:t>What the App WILL Do (In-Scope)</w:t>
            </w:r>
          </w:p>
        </w:tc>
        <w:tc>
          <w:tcPr>
            <w:tcW w:w="4680" w:type="dxa"/>
            <w:tcBorders>
              <w:top w:val="single" w:color="E2E8F0" w:sz="4" w:space="0"/>
              <w:left w:val="single" w:color="E2E8F0" w:sz="4" w:space="0"/>
              <w:bottom w:val="single" w:color="E2E8F0" w:sz="4" w:space="0"/>
              <w:right w:val="single" w:color="E2E8F0" w:sz="4" w:space="0"/>
            </w:tcBorders>
            <w:shd w:val="clear" w:color="auto" w:fill="1E3A8A"/>
            <w:tcMar>
              <w:top w:w="120" w:type="dxa"/>
              <w:left w:w="150" w:type="dxa"/>
              <w:bottom w:w="120" w:type="dxa"/>
              <w:right w:w="150" w:type="dxa"/>
            </w:tcMar>
          </w:tcPr>
          <w:p w14:paraId="0A40CF98">
            <w:pPr>
              <w:jc w:val="left"/>
            </w:pPr>
            <w:r>
              <w:rPr>
                <w:rFonts w:ascii="Calibri" w:hAnsi="Calibri"/>
                <w:b/>
                <w:color w:val="FFFFFF"/>
                <w:sz w:val="22"/>
              </w:rPr>
              <w:t>What the App WILL NOT Do (Out-of-Scope)</w:t>
            </w:r>
          </w:p>
        </w:tc>
      </w:tr>
      <w:tr w14:paraId="1AD8BF2D">
        <w:tblPrEx>
          <w:tblCellMar>
            <w:top w:w="0" w:type="dxa"/>
            <w:left w:w="108" w:type="dxa"/>
            <w:bottom w:w="0" w:type="dxa"/>
            <w:right w:w="108" w:type="dxa"/>
          </w:tblCellMar>
        </w:tblPrEx>
        <w:trPr>
          <w:jc w:val="center"/>
        </w:trPr>
        <w:tc>
          <w:tcPr>
            <w:tcW w:w="4680" w:type="dxa"/>
            <w:tcBorders>
              <w:top w:val="single" w:color="E2E8F0" w:sz="4" w:space="0"/>
              <w:left w:val="single" w:color="E2E8F0" w:sz="4" w:space="0"/>
              <w:bottom w:val="single" w:color="E2E8F0" w:sz="4" w:space="0"/>
              <w:right w:val="single" w:color="E2E8F0" w:sz="4" w:space="0"/>
            </w:tcBorders>
            <w:shd w:val="clear" w:color="auto" w:fill="F8FAFC"/>
            <w:tcMar>
              <w:top w:w="80" w:type="dxa"/>
              <w:left w:w="120" w:type="dxa"/>
              <w:bottom w:w="80" w:type="dxa"/>
              <w:right w:w="120" w:type="dxa"/>
            </w:tcMar>
          </w:tcPr>
          <w:p w14:paraId="56186809">
            <w:pPr>
              <w:spacing w:after="0"/>
            </w:pPr>
            <w:r>
              <w:rPr>
                <w:rFonts w:ascii="Calibri" w:hAnsi="Calibri"/>
                <w:color w:val="166534"/>
                <w:sz w:val="20"/>
              </w:rPr>
              <w:t>✓  Allow users to select a specific service point.</w:t>
            </w:r>
          </w:p>
        </w:tc>
        <w:tc>
          <w:tcPr>
            <w:tcW w:w="4680" w:type="dxa"/>
            <w:tcBorders>
              <w:top w:val="single" w:color="E2E8F0" w:sz="4" w:space="0"/>
              <w:left w:val="single" w:color="E2E8F0" w:sz="4" w:space="0"/>
              <w:bottom w:val="single" w:color="E2E8F0" w:sz="4" w:space="0"/>
              <w:right w:val="single" w:color="E2E8F0" w:sz="4" w:space="0"/>
            </w:tcBorders>
            <w:shd w:val="clear" w:color="auto" w:fill="F8FAFC"/>
            <w:tcMar>
              <w:top w:w="80" w:type="dxa"/>
              <w:left w:w="120" w:type="dxa"/>
              <w:bottom w:w="80" w:type="dxa"/>
              <w:right w:w="120" w:type="dxa"/>
            </w:tcMar>
          </w:tcPr>
          <w:p w14:paraId="5856F6DC">
            <w:pPr>
              <w:spacing w:after="0"/>
            </w:pPr>
            <w:r>
              <w:rPr>
                <w:rFonts w:ascii="Calibri" w:hAnsi="Calibri"/>
                <w:color w:val="991B1B"/>
                <w:sz w:val="20"/>
              </w:rPr>
              <w:t>✕  Process monetary fee transactions or payments.</w:t>
            </w:r>
          </w:p>
        </w:tc>
      </w:tr>
      <w:tr w14:paraId="14F370D6">
        <w:tblPrEx>
          <w:tblCellMar>
            <w:top w:w="0" w:type="dxa"/>
            <w:left w:w="108" w:type="dxa"/>
            <w:bottom w:w="0" w:type="dxa"/>
            <w:right w:w="108" w:type="dxa"/>
          </w:tblCellMar>
        </w:tblPrEx>
        <w:trPr>
          <w:jc w:val="center"/>
        </w:trPr>
        <w:tc>
          <w:tcPr>
            <w:tcW w:w="4680" w:type="dxa"/>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2B974A7B">
            <w:pPr>
              <w:spacing w:after="0"/>
            </w:pPr>
            <w:r>
              <w:rPr>
                <w:rFonts w:ascii="Calibri" w:hAnsi="Calibri"/>
                <w:color w:val="166534"/>
                <w:sz w:val="20"/>
              </w:rPr>
              <w:t>✓  Enable students to join a virtual queue remotely.</w:t>
            </w:r>
          </w:p>
        </w:tc>
        <w:tc>
          <w:tcPr>
            <w:tcW w:w="4680" w:type="dxa"/>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6DCB88E4">
            <w:pPr>
              <w:spacing w:after="0"/>
            </w:pPr>
            <w:r>
              <w:rPr>
                <w:rFonts w:ascii="Calibri" w:hAnsi="Calibri"/>
                <w:color w:val="991B1B"/>
                <w:sz w:val="20"/>
              </w:rPr>
              <w:t>✕  Store or handle medical diagnoses and clinical records.</w:t>
            </w:r>
          </w:p>
        </w:tc>
      </w:tr>
      <w:tr w14:paraId="247C346B">
        <w:tblPrEx>
          <w:tblCellMar>
            <w:top w:w="0" w:type="dxa"/>
            <w:left w:w="108" w:type="dxa"/>
            <w:bottom w:w="0" w:type="dxa"/>
            <w:right w:w="108" w:type="dxa"/>
          </w:tblCellMar>
        </w:tblPrEx>
        <w:trPr>
          <w:jc w:val="center"/>
        </w:trPr>
        <w:tc>
          <w:tcPr>
            <w:tcW w:w="4680" w:type="dxa"/>
            <w:tcBorders>
              <w:top w:val="single" w:color="E2E8F0" w:sz="4" w:space="0"/>
              <w:left w:val="single" w:color="E2E8F0" w:sz="4" w:space="0"/>
              <w:bottom w:val="single" w:color="E2E8F0" w:sz="4" w:space="0"/>
              <w:right w:val="single" w:color="E2E8F0" w:sz="4" w:space="0"/>
            </w:tcBorders>
            <w:shd w:val="clear" w:color="auto" w:fill="F8FAFC"/>
            <w:tcMar>
              <w:top w:w="80" w:type="dxa"/>
              <w:left w:w="120" w:type="dxa"/>
              <w:bottom w:w="80" w:type="dxa"/>
              <w:right w:w="120" w:type="dxa"/>
            </w:tcMar>
          </w:tcPr>
          <w:p w14:paraId="05683A8D">
            <w:pPr>
              <w:spacing w:after="0"/>
            </w:pPr>
            <w:r>
              <w:rPr>
                <w:rFonts w:ascii="Calibri" w:hAnsi="Calibri"/>
                <w:color w:val="166534"/>
                <w:sz w:val="20"/>
              </w:rPr>
              <w:t>✓  Display real-time queue position and status.</w:t>
            </w:r>
          </w:p>
        </w:tc>
        <w:tc>
          <w:tcPr>
            <w:tcW w:w="4680" w:type="dxa"/>
            <w:tcBorders>
              <w:top w:val="single" w:color="E2E8F0" w:sz="4" w:space="0"/>
              <w:left w:val="single" w:color="E2E8F0" w:sz="4" w:space="0"/>
              <w:bottom w:val="single" w:color="E2E8F0" w:sz="4" w:space="0"/>
              <w:right w:val="single" w:color="E2E8F0" w:sz="4" w:space="0"/>
            </w:tcBorders>
            <w:shd w:val="clear" w:color="auto" w:fill="F8FAFC"/>
            <w:tcMar>
              <w:top w:w="80" w:type="dxa"/>
              <w:left w:w="120" w:type="dxa"/>
              <w:bottom w:w="80" w:type="dxa"/>
              <w:right w:w="120" w:type="dxa"/>
            </w:tcMar>
          </w:tcPr>
          <w:p w14:paraId="2F3E2018">
            <w:pPr>
              <w:spacing w:after="0"/>
            </w:pPr>
            <w:r>
              <w:rPr>
                <w:rFonts w:ascii="Calibri" w:hAnsi="Calibri"/>
                <w:color w:val="991B1B"/>
                <w:sz w:val="20"/>
              </w:rPr>
              <w:t>✕  Perform official academic course registration.</w:t>
            </w:r>
          </w:p>
        </w:tc>
      </w:tr>
      <w:tr w14:paraId="65104A72">
        <w:tblPrEx>
          <w:tblCellMar>
            <w:top w:w="0" w:type="dxa"/>
            <w:left w:w="108" w:type="dxa"/>
            <w:bottom w:w="0" w:type="dxa"/>
            <w:right w:w="108" w:type="dxa"/>
          </w:tblCellMar>
        </w:tblPrEx>
        <w:trPr>
          <w:jc w:val="center"/>
        </w:trPr>
        <w:tc>
          <w:tcPr>
            <w:tcW w:w="4680" w:type="dxa"/>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2C167E72">
            <w:pPr>
              <w:spacing w:after="0"/>
            </w:pPr>
            <w:r>
              <w:rPr>
                <w:rFonts w:ascii="Calibri" w:hAnsi="Calibri"/>
                <w:color w:val="166534"/>
                <w:sz w:val="20"/>
              </w:rPr>
              <w:t>✓  Send automated queue progress updates and notifications.</w:t>
            </w:r>
          </w:p>
        </w:tc>
        <w:tc>
          <w:tcPr>
            <w:tcW w:w="4680" w:type="dxa"/>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65FA6143">
            <w:pPr>
              <w:spacing w:after="0"/>
            </w:pPr>
            <w:r>
              <w:rPr>
                <w:rFonts w:ascii="Calibri" w:hAnsi="Calibri"/>
                <w:color w:val="991B1B"/>
                <w:sz w:val="20"/>
              </w:rPr>
              <w:t>✕  Manage hostel room allocation algorithms.</w:t>
            </w:r>
          </w:p>
        </w:tc>
      </w:tr>
      <w:tr w14:paraId="3259B35F">
        <w:tblPrEx>
          <w:tblCellMar>
            <w:top w:w="0" w:type="dxa"/>
            <w:left w:w="108" w:type="dxa"/>
            <w:bottom w:w="0" w:type="dxa"/>
            <w:right w:w="108" w:type="dxa"/>
          </w:tblCellMar>
        </w:tblPrEx>
        <w:trPr>
          <w:jc w:val="center"/>
        </w:trPr>
        <w:tc>
          <w:tcPr>
            <w:tcW w:w="4680" w:type="dxa"/>
            <w:tcBorders>
              <w:top w:val="single" w:color="E2E8F0" w:sz="4" w:space="0"/>
              <w:left w:val="single" w:color="E2E8F0" w:sz="4" w:space="0"/>
              <w:bottom w:val="single" w:color="E2E8F0" w:sz="4" w:space="0"/>
              <w:right w:val="single" w:color="E2E8F0" w:sz="4" w:space="0"/>
            </w:tcBorders>
            <w:shd w:val="clear" w:color="auto" w:fill="F8FAFC"/>
            <w:tcMar>
              <w:top w:w="80" w:type="dxa"/>
              <w:left w:w="120" w:type="dxa"/>
              <w:bottom w:w="80" w:type="dxa"/>
              <w:right w:w="120" w:type="dxa"/>
            </w:tcMar>
          </w:tcPr>
          <w:p w14:paraId="21889F9B">
            <w:pPr>
              <w:spacing w:after="0"/>
            </w:pPr>
            <w:r>
              <w:rPr>
                <w:rFonts w:ascii="Calibri" w:hAnsi="Calibri"/>
                <w:color w:val="166534"/>
                <w:sz w:val="20"/>
              </w:rPr>
              <w:t>✓  Allow users to leave/cancel their position in queue.</w:t>
            </w:r>
          </w:p>
        </w:tc>
        <w:tc>
          <w:tcPr>
            <w:tcW w:w="4680" w:type="dxa"/>
            <w:tcBorders>
              <w:top w:val="single" w:color="E2E8F0" w:sz="4" w:space="0"/>
              <w:left w:val="single" w:color="E2E8F0" w:sz="4" w:space="0"/>
              <w:bottom w:val="single" w:color="E2E8F0" w:sz="4" w:space="0"/>
              <w:right w:val="single" w:color="E2E8F0" w:sz="4" w:space="0"/>
            </w:tcBorders>
            <w:shd w:val="clear" w:color="auto" w:fill="F8FAFC"/>
            <w:tcMar>
              <w:top w:w="80" w:type="dxa"/>
              <w:left w:w="120" w:type="dxa"/>
              <w:bottom w:w="80" w:type="dxa"/>
              <w:right w:w="120" w:type="dxa"/>
            </w:tcMar>
          </w:tcPr>
          <w:p w14:paraId="717C1F56">
            <w:pPr>
              <w:spacing w:after="0"/>
            </w:pPr>
            <w:r>
              <w:rPr>
                <w:rFonts w:ascii="Calibri" w:hAnsi="Calibri"/>
                <w:color w:val="991B1B"/>
                <w:sz w:val="20"/>
              </w:rPr>
              <w:t>✕  Replace existing core university management systems.</w:t>
            </w:r>
          </w:p>
        </w:tc>
      </w:tr>
      <w:tr w14:paraId="47C8A7C6">
        <w:tblPrEx>
          <w:tblCellMar>
            <w:top w:w="0" w:type="dxa"/>
            <w:left w:w="108" w:type="dxa"/>
            <w:bottom w:w="0" w:type="dxa"/>
            <w:right w:w="108" w:type="dxa"/>
          </w:tblCellMar>
        </w:tblPrEx>
        <w:trPr>
          <w:jc w:val="center"/>
        </w:trPr>
        <w:tc>
          <w:tcPr>
            <w:tcW w:w="4680" w:type="dxa"/>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468DEF1A">
            <w:pPr>
              <w:spacing w:after="0"/>
            </w:pPr>
            <w:r>
              <w:rPr>
                <w:rFonts w:ascii="Calibri" w:hAnsi="Calibri"/>
                <w:color w:val="166534"/>
                <w:sz w:val="20"/>
              </w:rPr>
              <w:t>✓  Allow users to confirm service completion.</w:t>
            </w:r>
          </w:p>
        </w:tc>
        <w:tc>
          <w:tcPr>
            <w:tcW w:w="4680" w:type="dxa"/>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681E9401">
            <w:pPr>
              <w:spacing w:after="0"/>
            </w:pPr>
          </w:p>
        </w:tc>
      </w:tr>
    </w:tbl>
    <w:p w14:paraId="19174023">
      <w:pPr>
        <w:spacing w:after="120"/>
      </w:pPr>
    </w:p>
    <w:p w14:paraId="0BFF9492">
      <w:pPr>
        <w:keepNext/>
        <w:spacing w:before="280" w:after="120"/>
      </w:pPr>
      <w:r>
        <w:rPr>
          <w:rFonts w:ascii="Calibri" w:hAnsi="Calibri"/>
          <w:b/>
          <w:color w:val="1E3A8A"/>
          <w:sz w:val="32"/>
        </w:rPr>
        <w:t>3. Project Objectives</w:t>
      </w:r>
    </w:p>
    <w:p w14:paraId="7A89FA6F">
      <w:pPr>
        <w:spacing w:before="0" w:after="80" w:line="276" w:lineRule="auto"/>
      </w:pPr>
      <w:r>
        <w:rPr>
          <w:rFonts w:ascii="Calibri" w:hAnsi="Calibri"/>
          <w:b/>
          <w:color w:val="2563EB"/>
          <w:sz w:val="22"/>
        </w:rPr>
        <w:t xml:space="preserve">3.1 </w:t>
      </w:r>
      <w:r>
        <w:rPr>
          <w:rFonts w:ascii="Calibri" w:hAnsi="Calibri"/>
          <w:b/>
          <w:color w:val="1E3A8A"/>
          <w:sz w:val="22"/>
        </w:rPr>
        <w:t xml:space="preserve">Reduce Physical Queues: </w:t>
      </w:r>
      <w:r>
        <w:rPr>
          <w:rFonts w:ascii="Calibri" w:hAnsi="Calibri"/>
          <w:color w:val="334155"/>
          <w:sz w:val="22"/>
        </w:rPr>
        <w:t>Minimize physical crowding and congestion across university service points.</w:t>
      </w:r>
    </w:p>
    <w:p w14:paraId="3C8BAC1F">
      <w:pPr>
        <w:spacing w:before="0" w:after="80" w:line="276" w:lineRule="auto"/>
      </w:pPr>
      <w:r>
        <w:rPr>
          <w:rFonts w:ascii="Calibri" w:hAnsi="Calibri"/>
          <w:b/>
          <w:color w:val="2563EB"/>
          <w:sz w:val="22"/>
        </w:rPr>
        <w:t xml:space="preserve">3.2 </w:t>
      </w:r>
      <w:r>
        <w:rPr>
          <w:rFonts w:ascii="Calibri" w:hAnsi="Calibri"/>
          <w:b/>
          <w:color w:val="1E3A8A"/>
          <w:sz w:val="22"/>
        </w:rPr>
        <w:t xml:space="preserve">Improve Waiting Experience: </w:t>
      </w:r>
      <w:r>
        <w:rPr>
          <w:rFonts w:ascii="Calibri" w:hAnsi="Calibri"/>
          <w:color w:val="334155"/>
          <w:sz w:val="22"/>
        </w:rPr>
        <w:t>Enhance student satisfaction by eliminating static, tedious physical standing lines.</w:t>
      </w:r>
    </w:p>
    <w:p w14:paraId="064202AC">
      <w:pPr>
        <w:spacing w:before="0" w:after="80" w:line="276" w:lineRule="auto"/>
      </w:pPr>
      <w:r>
        <w:rPr>
          <w:rFonts w:ascii="Calibri" w:hAnsi="Calibri"/>
          <w:b/>
          <w:color w:val="2563EB"/>
          <w:sz w:val="22"/>
        </w:rPr>
        <w:t xml:space="preserve">3.3 </w:t>
      </w:r>
      <w:r>
        <w:rPr>
          <w:rFonts w:ascii="Calibri" w:hAnsi="Calibri"/>
          <w:b/>
          <w:color w:val="1E3A8A"/>
          <w:sz w:val="22"/>
        </w:rPr>
        <w:t xml:space="preserve">Real-Time Tracking &amp; Alerts: </w:t>
      </w:r>
      <w:r>
        <w:rPr>
          <w:rFonts w:ascii="Calibri" w:hAnsi="Calibri"/>
          <w:color w:val="334155"/>
          <w:sz w:val="22"/>
        </w:rPr>
        <w:t>Deliver accurate, real-time queue position updates and turn-approach notifications.</w:t>
      </w:r>
    </w:p>
    <w:p w14:paraId="7B65A8B2">
      <w:pPr>
        <w:spacing w:before="0" w:after="80" w:line="276" w:lineRule="auto"/>
      </w:pPr>
      <w:r>
        <w:rPr>
          <w:rFonts w:ascii="Calibri" w:hAnsi="Calibri"/>
          <w:b/>
          <w:color w:val="2563EB"/>
          <w:sz w:val="22"/>
        </w:rPr>
        <w:t xml:space="preserve">3.4 </w:t>
      </w:r>
      <w:r>
        <w:rPr>
          <w:rFonts w:ascii="Calibri" w:hAnsi="Calibri"/>
          <w:b/>
          <w:color w:val="1E3A8A"/>
          <w:sz w:val="22"/>
        </w:rPr>
        <w:t xml:space="preserve">Operational Staff Efficiency: </w:t>
      </w:r>
      <w:r>
        <w:rPr>
          <w:rFonts w:ascii="Calibri" w:hAnsi="Calibri"/>
          <w:color w:val="334155"/>
          <w:sz w:val="22"/>
        </w:rPr>
        <w:t>Automate line management and reduce manual staff overhead and repetitive status inquiries.</w:t>
      </w:r>
    </w:p>
    <w:p w14:paraId="548AEF35">
      <w:pPr>
        <w:spacing w:before="0" w:after="80" w:line="276" w:lineRule="auto"/>
        <w:rPr>
          <w:rFonts w:ascii="Calibri" w:hAnsi="Calibri"/>
          <w:color w:val="334155"/>
          <w:sz w:val="22"/>
        </w:rPr>
      </w:pPr>
      <w:r>
        <w:rPr>
          <w:rFonts w:ascii="Calibri" w:hAnsi="Calibri"/>
          <w:b/>
          <w:color w:val="2563EB"/>
          <w:sz w:val="22"/>
        </w:rPr>
        <w:t xml:space="preserve">3.5 </w:t>
      </w:r>
      <w:r>
        <w:rPr>
          <w:rFonts w:ascii="Calibri" w:hAnsi="Calibri"/>
          <w:b/>
          <w:color w:val="1E3A8A"/>
          <w:sz w:val="22"/>
        </w:rPr>
        <w:t xml:space="preserve">HCI-Driven Mobile Design: </w:t>
      </w:r>
      <w:r>
        <w:rPr>
          <w:rFonts w:ascii="Calibri" w:hAnsi="Calibri"/>
          <w:color w:val="334155"/>
          <w:sz w:val="22"/>
        </w:rPr>
        <w:t>Design an intuitive, user-friendly mobile interface following Human-Computer Interaction (HCI) best practices.</w:t>
      </w:r>
    </w:p>
    <w:p w14:paraId="1A158262">
      <w:pPr>
        <w:spacing w:before="0" w:after="80" w:line="276" w:lineRule="auto"/>
        <w:rPr>
          <w:rFonts w:hint="default" w:ascii="Calibri" w:hAnsi="Calibri"/>
          <w:color w:val="334155"/>
          <w:sz w:val="22"/>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variable"/>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EF4010"/>
    <w:rsid w:val="2AC71CCB"/>
    <w:rsid w:val="5214179D"/>
    <w:rsid w:val="5F557D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lang w:eastAsia="en-US"/>
    </w:rPr>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443</Words>
  <Characters>2880</Characters>
  <Lines>0</Lines>
  <Paragraphs>0</Paragraphs>
  <TotalTime>1</TotalTime>
  <ScaleCrop>false</ScaleCrop>
  <LinksUpToDate>false</LinksUpToDate>
  <CharactersWithSpaces>3296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2026-08-12T10:32:39Z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eyJoZGlkIjoiODc0ZWY1NzdkN2E0YzdmNjhjZGIwMDY1ZjQyNzM4NTQifQ==</vt:lpwstr>
  </property>
  <property fmtid="{D5CDD505-2E9C-101B-9397-08002B2CF9AE}" pid="3" name="KSOProductBuildVer">
    <vt:lpwstr>1033-12.1.0.28032</vt:lpwstr>
  </property>
  <property fmtid="{D5CDD505-2E9C-101B-9397-08002B2CF9AE}" pid="4" name="ICV">
    <vt:lpwstr>E5F535315ED84CA7A4BBF65E4B698C04_12</vt:lpwstr>
  </property>
</Properties>
</file>