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1A"/>
          <w:sz w:val="36"/>
        </w:rPr>
        <w:t>SOFTWARE LICENCE PROPOSAL</w:t>
      </w:r>
    </w:p>
    <w:p>
      <w:pPr>
        <w:spacing w:after="200"/>
        <w:jc w:val="center"/>
      </w:pPr>
      <w:r>
        <w:rPr>
          <w:i/>
          <w:color w:val="555555"/>
          <w:sz w:val="22"/>
        </w:rPr>
        <w:t>Production &amp; Repair Order Management Platform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Prepared for: </w:t>
            </w:r>
            <w:r>
              <w:rPr>
                <w:sz w:val="20"/>
              </w:rPr>
              <w:t>[Client Name]</w:t>
            </w:r>
          </w:p>
          <w:p>
            <w:pPr>
              <w:spacing w:after="0"/>
            </w:pPr>
            <w:r>
              <w:rPr>
                <w:b/>
                <w:sz w:val="20"/>
              </w:rPr>
              <w:t xml:space="preserve">Prepared by: </w:t>
            </w:r>
            <w:r>
              <w:rPr>
                <w:sz w:val="20"/>
              </w:rPr>
              <w:t>North East Engineering — Software Division</w:t>
            </w:r>
          </w:p>
        </w:tc>
        <w:tc>
          <w:tcPr>
            <w:tcW w:type="dxa" w:w="4986"/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Date: </w:t>
            </w:r>
            <w:r>
              <w:rPr>
                <w:sz w:val="20"/>
              </w:rPr>
              <w:t>14 May 2026</w:t>
            </w:r>
          </w:p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Validity: </w:t>
            </w:r>
            <w:r>
              <w:rPr>
                <w:sz w:val="20"/>
              </w:rPr>
              <w:t>30 days from issue</w:t>
            </w:r>
          </w:p>
        </w:tc>
      </w:tr>
    </w:tbl>
    <w:p>
      <w:pPr>
        <w:spacing w:before="200" w:after="80"/>
      </w:pPr>
      <w:r>
        <w:rPr>
          <w:b/>
          <w:color w:val="1A1A1A"/>
          <w:sz w:val="26"/>
        </w:rPr>
        <w:t>1. Executive Summary</w:t>
      </w:r>
    </w:p>
    <w:p>
      <w:pPr>
        <w:spacing w:after="80"/>
      </w:pPr>
      <w:r>
        <w:rPr>
          <w:b w:val="0"/>
          <w:i w:val="0"/>
          <w:color w:val="1A1A1A"/>
          <w:sz w:val="20"/>
        </w:rPr>
        <w:t>We propose a one-time, perpetual licence to deploy our purpose-built Production &amp; Repair Order Management Platform at your single-site workshop. The platform replaces approximately 80% of the day-to-day functionality of Epicor Kinetic Production at a fraction of the cost, with zero implementation overhead.</w:t>
      </w:r>
    </w:p>
    <w:p>
      <w:pPr>
        <w:spacing w:before="160" w:after="80"/>
      </w:pPr>
      <w:r>
        <w:rPr>
          <w:b/>
          <w:color w:val="1A1A1A"/>
          <w:sz w:val="26"/>
        </w:rPr>
        <w:t>2. What You Receive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EFE6"/>
          </w:tcPr>
          <w:p>
            <w:pPr>
              <w:spacing w:after="0"/>
            </w:pPr>
            <w:r/>
            <w:r>
              <w:rPr>
                <w:b/>
                <w:color w:val="1A1A1A"/>
                <w:sz w:val="20"/>
              </w:rPr>
              <w:t>Module</w:t>
            </w:r>
          </w:p>
        </w:tc>
        <w:tc>
          <w:tcPr>
            <w:tcW w:type="dxa" w:w="6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EFE6"/>
          </w:tcPr>
          <w:p>
            <w:pPr>
              <w:spacing w:after="0"/>
            </w:pPr>
            <w:r/>
            <w:r>
              <w:rPr>
                <w:b/>
                <w:color w:val="1A1A1A"/>
                <w:sz w:val="20"/>
              </w:rPr>
              <w:t>Description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Repair Order Management</w:t>
            </w:r>
          </w:p>
        </w:tc>
        <w:tc>
          <w:tcPr>
            <w:tcW w:type="dxa" w:w="6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Full RO lifecycle from intake to handover, 10-stage Kanban workflow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Job Task Scheduling</w:t>
            </w:r>
          </w:p>
        </w:tc>
        <w:tc>
          <w:tcPr>
            <w:tcW w:type="dxa" w:w="6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Station-based assignment with gate controls (Draft / Approval / Chassis)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Templates &amp; Versioning</w:t>
            </w:r>
          </w:p>
        </w:tc>
        <w:tc>
          <w:tcPr>
            <w:tcW w:type="dxa" w:w="6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Reusable RO definitions with estimated hours per operation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Time Tracking &amp; Variance</w:t>
            </w:r>
          </w:p>
        </w:tc>
        <w:tc>
          <w:tcPr>
            <w:tcW w:type="dxa" w:w="6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Per-task clock in/out with estimate-vs-actual reporting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Customer Approval Workflow</w:t>
            </w:r>
          </w:p>
        </w:tc>
        <w:tc>
          <w:tcPr>
            <w:tcW w:type="dxa" w:w="6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Digital quote sign-off captured before work commences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Chassis Inventory</w:t>
            </w:r>
          </w:p>
        </w:tc>
        <w:tc>
          <w:tcPr>
            <w:tcW w:type="dxa" w:w="6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Serialised chassis tracking and allocation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Technician Mobile UI</w:t>
            </w:r>
          </w:p>
        </w:tc>
        <w:tc>
          <w:tcPr>
            <w:tcW w:type="dxa" w:w="6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Shop-floor optimised interface for task execution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Role-Based Access (8 roles)</w:t>
            </w:r>
          </w:p>
        </w:tc>
        <w:tc>
          <w:tcPr>
            <w:tcW w:type="dxa" w:w="6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Supervisor, Sales, Drafter, QC, Technician, and more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Two Themes (Light + SaaS)</w:t>
            </w:r>
          </w:p>
        </w:tc>
        <w:tc>
          <w:tcPr>
            <w:tcW w:type="dxa" w:w="6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Branded UI suitable for office and shop-floor displays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Reporting Dashboard</w:t>
            </w:r>
          </w:p>
        </w:tc>
        <w:tc>
          <w:tcPr>
            <w:tcW w:type="dxa" w:w="65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Built-in operational reports</w:t>
            </w:r>
          </w:p>
        </w:tc>
      </w:tr>
    </w:tbl>
    <w:p>
      <w:pPr>
        <w:spacing w:before="160" w:after="80"/>
      </w:pPr>
      <w:r>
        <w:rPr>
          <w:b/>
          <w:color w:val="1A1A1A"/>
          <w:sz w:val="26"/>
        </w:rPr>
        <w:t>3. Investment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1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EFE6"/>
          </w:tcPr>
          <w:p>
            <w:pPr>
              <w:spacing w:after="0"/>
            </w:pPr>
            <w:r/>
            <w:r>
              <w:rPr>
                <w:b/>
                <w:color w:val="1A1A1A"/>
                <w:sz w:val="20"/>
              </w:rPr>
              <w:t>Item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EFE6"/>
          </w:tcPr>
          <w:p>
            <w:pPr>
              <w:spacing w:after="0"/>
            </w:pPr>
            <w:r/>
            <w:r>
              <w:rPr>
                <w:b/>
                <w:color w:val="1A1A1A"/>
                <w:sz w:val="20"/>
              </w:rPr>
              <w:t>Amount (AUD)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EFE6"/>
          </w:tcPr>
          <w:p>
            <w:pPr>
              <w:spacing w:after="0"/>
            </w:pPr>
            <w:r/>
            <w:r>
              <w:rPr>
                <w:b/>
                <w:color w:val="1A1A1A"/>
                <w:sz w:val="20"/>
              </w:rPr>
              <w:t>Amount (INR)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One-time perpetual licence fee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$45,000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₹25,00,000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Hosting &amp; infrastructure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Excluded — by client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Excluded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Annual maintenance &amp; support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Optional, quoted separately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Optional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20"/>
        </w:rPr>
        <w:t>Payment terms: 50% on contract signing · 50% on go-live (within 30 days of signing).</w:t>
      </w:r>
    </w:p>
    <w:p>
      <w:pPr>
        <w:spacing w:before="160" w:after="80"/>
      </w:pPr>
      <w:r>
        <w:rPr>
          <w:b/>
          <w:color w:val="1A1A1A"/>
          <w:sz w:val="26"/>
        </w:rPr>
        <w:t>4. Licence Scope</w:t>
      </w:r>
    </w:p>
    <w:p>
      <w:pPr>
        <w:pStyle w:val="ListBullet"/>
        <w:spacing w:after="40"/>
      </w:pPr>
      <w:r>
        <w:rPr>
          <w:sz w:val="20"/>
        </w:rPr>
        <w:t>Sites: 1 (one) physical workshop location</w:t>
      </w:r>
    </w:p>
    <w:p>
      <w:pPr>
        <w:pStyle w:val="ListBullet"/>
        <w:spacing w:after="40"/>
      </w:pPr>
      <w:r>
        <w:rPr>
          <w:sz w:val="20"/>
        </w:rPr>
        <w:t>Named users: Up to 15</w:t>
      </w:r>
    </w:p>
    <w:p>
      <w:pPr>
        <w:pStyle w:val="ListBullet"/>
        <w:spacing w:after="40"/>
      </w:pPr>
      <w:r>
        <w:rPr>
          <w:sz w:val="20"/>
        </w:rPr>
        <w:t>Term: Perpetual — no annual renewal required</w:t>
      </w:r>
    </w:p>
    <w:p>
      <w:pPr>
        <w:pStyle w:val="ListBullet"/>
        <w:spacing w:after="40"/>
      </w:pPr>
      <w:r>
        <w:rPr>
          <w:sz w:val="20"/>
        </w:rPr>
        <w:t>Upgrades: Bug fixes for 12 months included; feature releases optional</w:t>
      </w:r>
    </w:p>
    <w:p>
      <w:pPr>
        <w:pStyle w:val="ListBullet"/>
        <w:spacing w:after="40"/>
      </w:pPr>
      <w:r>
        <w:rPr>
          <w:sz w:val="20"/>
        </w:rPr>
        <w:t>Source code: Not included (executable licence only)</w:t>
      </w:r>
    </w:p>
    <w:p>
      <w:pPr>
        <w:spacing w:before="160" w:after="80"/>
      </w:pPr>
      <w:r>
        <w:rPr>
          <w:b/>
          <w:color w:val="1A1A1A"/>
          <w:sz w:val="26"/>
        </w:rPr>
        <w:t>5. What is Not Included</w:t>
      </w:r>
    </w:p>
    <w:p>
      <w:pPr>
        <w:pStyle w:val="ListBullet"/>
        <w:spacing w:after="40"/>
      </w:pPr>
      <w:r>
        <w:rPr>
          <w:sz w:val="20"/>
        </w:rPr>
        <w:t>Cloud or on-premise hosting infrastructure</w:t>
      </w:r>
    </w:p>
    <w:p>
      <w:pPr>
        <w:pStyle w:val="ListBullet"/>
        <w:spacing w:after="40"/>
      </w:pPr>
      <w:r>
        <w:rPr>
          <w:sz w:val="20"/>
        </w:rPr>
        <w:t>Custom feature development, integrations, or report changes</w:t>
      </w:r>
    </w:p>
    <w:p>
      <w:pPr>
        <w:pStyle w:val="ListBullet"/>
        <w:spacing w:after="40"/>
      </w:pPr>
      <w:r>
        <w:rPr>
          <w:sz w:val="20"/>
        </w:rPr>
        <w:t>Data migration from existing systems</w:t>
      </w:r>
    </w:p>
    <w:p>
      <w:pPr>
        <w:pStyle w:val="ListBullet"/>
        <w:spacing w:after="40"/>
      </w:pPr>
      <w:r>
        <w:rPr>
          <w:sz w:val="20"/>
        </w:rPr>
        <w:t>On-site training (remote handover session included; on-site billed at AUD 1,500/day)</w:t>
      </w:r>
    </w:p>
    <w:p>
      <w:pPr>
        <w:pStyle w:val="ListBullet"/>
        <w:spacing w:after="40"/>
      </w:pPr>
      <w:r>
        <w:rPr>
          <w:sz w:val="20"/>
        </w:rPr>
        <w:t>Ongoing maintenance, monitoring, or 24×7 support</w:t>
      </w:r>
    </w:p>
    <w:p>
      <w:pPr>
        <w:pStyle w:val="ListBullet"/>
        <w:spacing w:after="40"/>
      </w:pPr>
      <w:r>
        <w:rPr>
          <w:sz w:val="20"/>
        </w:rPr>
        <w:t>MRP, General Ledger, AP/AR, Purchasing, or Forecasting modules</w:t>
      </w:r>
    </w:p>
    <w:p>
      <w:pPr>
        <w:spacing w:after="80"/>
      </w:pPr>
      <w:r>
        <w:rPr>
          <w:b w:val="0"/>
          <w:i/>
          <w:color w:val="555555"/>
          <w:sz w:val="20"/>
        </w:rPr>
        <w:t>Any item above is available as a separately quoted engagement at AUD 150/hour.</w:t>
      </w:r>
    </w:p>
    <w:p>
      <w:pPr>
        <w:spacing w:before="160" w:after="80"/>
      </w:pPr>
      <w:r>
        <w:rPr>
          <w:b/>
          <w:color w:val="1A1A1A"/>
          <w:sz w:val="26"/>
        </w:rPr>
        <w:t>6. Why This Beats Epicor Kinetic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EFE6"/>
          </w:tcPr>
          <w:p>
            <w:pPr>
              <w:spacing w:after="0"/>
            </w:pPr>
            <w:r/>
            <w:r>
              <w:rPr>
                <w:b/>
                <w:color w:val="1A1A1A"/>
                <w:sz w:val="20"/>
              </w:rPr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EFE6"/>
          </w:tcPr>
          <w:p>
            <w:pPr>
              <w:spacing w:after="0"/>
            </w:pPr>
            <w:r/>
            <w:r>
              <w:rPr>
                <w:b/>
                <w:color w:val="1A1A1A"/>
                <w:sz w:val="20"/>
              </w:rPr>
              <w:t>This Proposal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EFE6"/>
          </w:tcPr>
          <w:p>
            <w:pPr>
              <w:spacing w:after="0"/>
            </w:pPr>
            <w:r/>
            <w:r>
              <w:rPr>
                <w:b/>
                <w:color w:val="1A1A1A"/>
                <w:sz w:val="20"/>
              </w:rPr>
              <w:t>Epicor Kinetic Production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One-time cost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AUD 45,000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AUD 250,000+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Year 1 total (incl. implementation)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AUD 45,000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AUD 350,000 – 500,000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Annual recurring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Optional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AUD 80,000 – 150,000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Time to go-live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2 – 4 weeks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6 – 12 months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Built for heavy-vehicle repair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Yes — out of the box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sz w:val="20"/>
              </w:rPr>
              <w:t>Requires customisation</w:t>
            </w:r>
          </w:p>
        </w:tc>
      </w:tr>
    </w:tbl>
    <w:p>
      <w:pPr>
        <w:spacing w:before="160" w:after="80"/>
      </w:pPr>
      <w:r>
        <w:rPr>
          <w:b/>
          <w:color w:val="1A1A1A"/>
          <w:sz w:val="26"/>
        </w:rPr>
        <w:t>7. Acceptance</w:t>
      </w:r>
    </w:p>
    <w:p>
      <w:pPr>
        <w:spacing w:after="80"/>
      </w:pPr>
      <w:r>
        <w:rPr>
          <w:b w:val="0"/>
          <w:i w:val="0"/>
          <w:color w:val="1A1A1A"/>
          <w:sz w:val="20"/>
        </w:rPr>
        <w:t>Signed for and on behalf of the Client: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120"/>
            </w:pPr>
            <w:r/>
            <w:r>
              <w:rPr>
                <w:sz w:val="20"/>
              </w:rPr>
              <w:t>Name: ____________________________</w:t>
            </w:r>
          </w:p>
        </w:tc>
        <w:tc>
          <w:tcPr>
            <w:tcW w:type="dxa" w:w="4986"/>
          </w:tcPr>
          <w:p>
            <w:pPr>
              <w:spacing w:after="120"/>
            </w:pPr>
            <w:r/>
            <w:r>
              <w:rPr>
                <w:sz w:val="20"/>
              </w:rPr>
              <w:t>Title: ____________________________</w:t>
            </w:r>
          </w:p>
        </w:tc>
      </w:tr>
      <w:tr>
        <w:tc>
          <w:tcPr>
            <w:tcW w:type="dxa" w:w="4986"/>
          </w:tcPr>
          <w:p>
            <w:pPr>
              <w:spacing w:after="120"/>
            </w:pPr>
            <w:r/>
            <w:r>
              <w:rPr>
                <w:sz w:val="20"/>
              </w:rPr>
              <w:t>Signature: _______________________</w:t>
            </w:r>
          </w:p>
        </w:tc>
        <w:tc>
          <w:tcPr>
            <w:tcW w:type="dxa" w:w="4986"/>
          </w:tcPr>
          <w:p>
            <w:pPr>
              <w:spacing w:after="120"/>
            </w:pPr>
            <w:r/>
            <w:r>
              <w:rPr>
                <w:sz w:val="20"/>
              </w:rPr>
              <w:t>Date: ____________________________</w:t>
            </w:r>
          </w:p>
        </w:tc>
      </w:tr>
    </w:tbl>
    <w:p>
      <w:pPr>
        <w:spacing w:before="280"/>
        <w:jc w:val="center"/>
      </w:pPr>
      <w:r>
        <w:rPr>
          <w:i/>
          <w:color w:val="555555"/>
          <w:sz w:val="16"/>
        </w:rPr>
        <w:t>This proposal is confidential and intended solely for the named recipient.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