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0"/>
        <w:gridCol w:w="1142"/>
        <w:gridCol w:w="1017"/>
        <w:gridCol w:w="1142"/>
        <w:gridCol w:w="1804"/>
        <w:gridCol w:w="1334"/>
        <w:gridCol w:w="1911"/>
      </w:tblGrid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9340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RACI CHART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Maksim</w:t>
            </w:r>
          </w:p>
        </w:tc>
        <w:tc>
          <w:tcPr>
            <w:tcW w:type="dxa" w:w="101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Conner</w:t>
            </w:r>
          </w:p>
        </w:tc>
        <w:tc>
          <w:tcPr>
            <w:tcW w:type="dxa" w:w="114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Everett</w:t>
            </w:r>
          </w:p>
        </w:tc>
        <w:tc>
          <w:tcPr>
            <w:tcW w:type="dxa" w:w="180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Dr. Timothy Maciag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Northstar</w:t>
            </w:r>
          </w:p>
        </w:tc>
        <w:tc>
          <w:tcPr>
            <w:tcW w:type="dxa" w:w="191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General Public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Lo-fi prototyping of interface.</w:t>
            </w:r>
          </w:p>
        </w:tc>
        <w:tc>
          <w:tcPr>
            <w:tcW w:type="dxa" w:w="114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01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114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180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91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1095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Controller within the view, and integration with the model. </w:t>
            </w:r>
          </w:p>
        </w:tc>
        <w:tc>
          <w:tcPr>
            <w:tcW w:type="dxa" w:w="114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A/R</w:t>
            </w:r>
          </w:p>
        </w:tc>
        <w:tc>
          <w:tcPr>
            <w:tcW w:type="dxa" w:w="101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14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80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91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View and GUI components. </w:t>
            </w:r>
          </w:p>
        </w:tc>
        <w:tc>
          <w:tcPr>
            <w:tcW w:type="dxa" w:w="114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</w:p>
        </w:tc>
        <w:tc>
          <w:tcPr>
            <w:tcW w:type="dxa" w:w="101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114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80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91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model and that data that is imported.</w:t>
            </w:r>
          </w:p>
        </w:tc>
        <w:tc>
          <w:tcPr>
            <w:tcW w:type="dxa" w:w="114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</w:p>
        </w:tc>
        <w:tc>
          <w:tcPr>
            <w:tcW w:type="dxa" w:w="101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14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180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91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915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Administrative documentation for the project.</w:t>
            </w:r>
          </w:p>
        </w:tc>
        <w:tc>
          <w:tcPr>
            <w:tcW w:type="dxa" w:w="114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</w:p>
        </w:tc>
        <w:tc>
          <w:tcPr>
            <w:tcW w:type="dxa" w:w="1016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1141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180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33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91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340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Responsible      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Accountable     C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Consulted     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Informed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  <w:r>
        <w:rPr>
          <w:rtl w:val="0"/>
          <w:lang w:val="en-US"/>
        </w:rPr>
        <w:t xml:space="preserve">Footnotes: </w:t>
      </w:r>
    </w:p>
    <w:p>
      <w:pPr>
        <w:pStyle w:val="Body"/>
        <w:widowControl w:val="0"/>
        <w:spacing w:line="240" w:lineRule="auto"/>
      </w:pPr>
      <w:r>
        <w:rPr>
          <w:rtl w:val="0"/>
          <w:lang w:val="en-US"/>
        </w:rPr>
        <w:t>For NorthStar customer we are intending to use a hiker / forager, I believe I have access to a population of such individuals.</w:t>
      </w:r>
    </w:p>
    <w:p>
      <w:pPr>
        <w:pStyle w:val="Body"/>
        <w:widowControl w:val="0"/>
        <w:spacing w:line="240" w:lineRule="auto"/>
      </w:pPr>
      <w:r>
        <w:rPr>
          <w:rtl w:val="0"/>
          <w:lang w:val="en-US"/>
        </w:rPr>
        <w:t>For the General public it is anyone.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