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81DD" w14:textId="77777777" w:rsidR="00DE0054" w:rsidRDefault="00000000">
      <w:pPr>
        <w:pStyle w:val="Title"/>
      </w:pPr>
      <w:r>
        <w:t>Design Report — End-to-End Analytics Engineering Pipeline</w:t>
      </w:r>
    </w:p>
    <w:p w14:paraId="6A6BEE73" w14:textId="3E8B8184" w:rsidR="00DE0054" w:rsidRDefault="00821832">
      <w:pPr>
        <w:pStyle w:val="Author"/>
      </w:pPr>
      <w:r>
        <w:t xml:space="preserve">Sharon </w:t>
      </w:r>
      <w:proofErr w:type="spellStart"/>
      <w:r>
        <w:t>Nasimuyu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235051482"/>
        <w:docPartObj>
          <w:docPartGallery w:val="Table of Contents"/>
          <w:docPartUnique/>
        </w:docPartObj>
      </w:sdtPr>
      <w:sdtContent>
        <w:p w14:paraId="49A792A9" w14:textId="77777777" w:rsidR="00DE0054" w:rsidRDefault="00000000">
          <w:pPr>
            <w:pStyle w:val="TOCHeading"/>
          </w:pPr>
          <w:r>
            <w:t>Table of Contents</w:t>
          </w:r>
        </w:p>
        <w:p w14:paraId="3CB231EA" w14:textId="77777777" w:rsidR="00DE0054" w:rsidRDefault="00000000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1B31B3A7" w14:textId="77777777" w:rsidR="00DE0054" w:rsidRDefault="00000000">
      <w:pPr>
        <w:pStyle w:val="FirstParagraph"/>
      </w:pPr>
      <w:r>
        <w:rPr>
          <w:b/>
        </w:rPr>
        <w:t>Scope:</w:t>
      </w:r>
      <w:r>
        <w:t xml:space="preserve"> Near-real-time analytics pipeline from a public REST API through an OLTP database, CDC streaming, ClickHouse, and layered dbt transformations to analytics- and ML-ready datasets.</w:t>
      </w:r>
    </w:p>
    <w:p w14:paraId="5CC5D8BF" w14:textId="77777777" w:rsidR="00DE0054" w:rsidRDefault="00000000">
      <w:pPr>
        <w:pStyle w:val="BodyText"/>
      </w:pPr>
      <w:r>
        <w:rPr>
          <w:b/>
        </w:rPr>
        <w:t>Data source:</w:t>
      </w:r>
      <w:r>
        <w:t xml:space="preserve"> World Bank Indicators REST API — </w:t>
      </w:r>
      <w:r>
        <w:rPr>
          <w:rStyle w:val="VerbatimChar"/>
        </w:rPr>
        <w:t>https://api.worldbank.org/v2/</w:t>
      </w:r>
      <w:r>
        <w:t xml:space="preserve"> (public, no authentication). Primary endpoints: </w:t>
      </w:r>
      <w:r>
        <w:rPr>
          <w:rStyle w:val="VerbatimChar"/>
        </w:rPr>
        <w:t>/v2/country</w:t>
      </w:r>
      <w:r>
        <w:t xml:space="preserve"> (country dimension), </w:t>
      </w:r>
      <w:r>
        <w:rPr>
          <w:rStyle w:val="VerbatimChar"/>
        </w:rPr>
        <w:t>/v2/indicator</w:t>
      </w:r>
      <w:r>
        <w:t xml:space="preserve"> (indicator dimension), and </w:t>
      </w:r>
      <w:r>
        <w:rPr>
          <w:rStyle w:val="VerbatimChar"/>
        </w:rPr>
        <w:t>/v2/country/{code}/indicator/{code}?format=json&amp;per_page=…</w:t>
      </w:r>
      <w:r>
        <w:t xml:space="preserve"> (annual observation values per country/indicator). The design pattern is source-agnostic; the World Bank dataset — indicator values per country per year — is used to make the schema concrete because its time-series shape best demonstrates ClickHouse partitioning, ordering, and materialized-view choices.</w:t>
      </w:r>
    </w:p>
    <w:p w14:paraId="2D18F161" w14:textId="77777777" w:rsidR="00DE0054" w:rsidRDefault="00000000">
      <w:pPr>
        <w:pStyle w:val="Heading1"/>
      </w:pPr>
      <w:bookmarkStart w:id="0" w:name="overview"/>
      <w:r>
        <w:t>1. Overview</w:t>
      </w:r>
      <w:bookmarkEnd w:id="0"/>
    </w:p>
    <w:p w14:paraId="30F0CF7C" w14:textId="77777777" w:rsidR="00DE0054" w:rsidRDefault="00000000">
      <w:pPr>
        <w:pStyle w:val="FirstParagraph"/>
      </w:pPr>
      <w:r>
        <w:t xml:space="preserve">The pipeline ingests operational data from the World Bank REST API into PostgreSQL (OLTP), captures every row-level change with Debezium, streams those changes through Kafka into ClickHouse (OLAP), and refines the raw change stream into </w:t>
      </w:r>
      <w:r>
        <w:rPr>
          <w:b/>
        </w:rPr>
        <w:t>staging</w:t>
      </w:r>
      <w:r>
        <w:t xml:space="preserve"> (clean, current-state) and </w:t>
      </w:r>
      <w:r>
        <w:rPr>
          <w:b/>
        </w:rPr>
        <w:t>mart</w:t>
      </w:r>
      <w:r>
        <w:t xml:space="preserve"> (analytics- and ML-ready) layers with dbt. Airflow orchestrates the batch stages; CDC runs continuously. The full stack is containerized with Docker Compose and validated on every change by a GitHub Actions CI/CD pipeline. Prometheus, Grafana, and n8n provide observability and alerting.</w:t>
      </w:r>
    </w:p>
    <w:p w14:paraId="21549932" w14:textId="77777777" w:rsidR="00DE0054" w:rsidRDefault="00000000">
      <w:pPr>
        <w:pStyle w:val="BodyText"/>
      </w:pPr>
      <w:r>
        <w:t xml:space="preserve">Design priorities, in order: </w:t>
      </w:r>
      <w:r>
        <w:rPr>
          <w:b/>
        </w:rPr>
        <w:t>correctness</w:t>
      </w:r>
      <w:r>
        <w:t xml:space="preserve"> (idempotent, deduplicated, CDC-aware loads), </w:t>
      </w:r>
      <w:r>
        <w:rPr>
          <w:b/>
        </w:rPr>
        <w:t>near-real-time freshness</w:t>
      </w:r>
      <w:r>
        <w:t xml:space="preserve">, </w:t>
      </w:r>
      <w:r>
        <w:rPr>
          <w:b/>
        </w:rPr>
        <w:t>query performance</w:t>
      </w:r>
      <w:r>
        <w:t xml:space="preserve"> on ClickHouse, and </w:t>
      </w:r>
      <w:r>
        <w:rPr>
          <w:b/>
        </w:rPr>
        <w:t>operability</w:t>
      </w:r>
      <w:r>
        <w:t xml:space="preserve"> (everything monitored, one-command startup, tested on every commit).</w:t>
      </w:r>
    </w:p>
    <w:p w14:paraId="4585E223" w14:textId="77777777" w:rsidR="00DE0054" w:rsidRDefault="00000000">
      <w:pPr>
        <w:pStyle w:val="Heading1"/>
      </w:pPr>
      <w:bookmarkStart w:id="1" w:name="architecture-diagram"/>
      <w:r>
        <w:lastRenderedPageBreak/>
        <w:t>2. Architecture Diagram</w:t>
      </w:r>
      <w:bookmarkEnd w:id="1"/>
    </w:p>
    <w:p w14:paraId="3C4143CA" w14:textId="044781A6" w:rsidR="00DE0054" w:rsidRDefault="00C05607">
      <w:pPr>
        <w:pStyle w:val="CaptionedFigure"/>
      </w:pPr>
      <w:r w:rsidRPr="00C05607">
        <w:drawing>
          <wp:inline distT="0" distB="0" distL="0" distR="0" wp14:anchorId="716525BB" wp14:editId="464564A4">
            <wp:extent cx="5943600" cy="3268345"/>
            <wp:effectExtent l="0" t="0" r="0" b="0"/>
            <wp:docPr id="298558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26584" w14:textId="77777777" w:rsidR="00DE0054" w:rsidRDefault="00000000">
      <w:pPr>
        <w:pStyle w:val="ImageCaption"/>
      </w:pPr>
      <w:r>
        <w:t>End-to-end architecture</w:t>
      </w:r>
    </w:p>
    <w:p w14:paraId="588D3738" w14:textId="77777777" w:rsidR="00DE0054" w:rsidRDefault="00000000">
      <w:pPr>
        <w:pStyle w:val="BodyText"/>
      </w:pPr>
      <w:r>
        <w:rPr>
          <w:b/>
        </w:rPr>
        <w:t>Component responsibilities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30"/>
        <w:gridCol w:w="2587"/>
        <w:gridCol w:w="4843"/>
      </w:tblGrid>
      <w:tr w:rsidR="00DE0054" w14:paraId="07AEFBA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8C3703" w14:textId="77777777" w:rsidR="00DE0054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A27357F" w14:textId="77777777" w:rsidR="00DE0054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3C26F2" w14:textId="77777777" w:rsidR="00DE0054" w:rsidRDefault="00000000">
            <w:pPr>
              <w:pStyle w:val="Compact"/>
            </w:pPr>
            <w:r>
              <w:t>Responsibility</w:t>
            </w:r>
          </w:p>
        </w:tc>
      </w:tr>
      <w:tr w:rsidR="00DE0054" w14:paraId="381C18C5" w14:textId="77777777">
        <w:tc>
          <w:tcPr>
            <w:tcW w:w="0" w:type="auto"/>
          </w:tcPr>
          <w:p w14:paraId="5EF88171" w14:textId="77777777" w:rsidR="00DE0054" w:rsidRDefault="00000000">
            <w:pPr>
              <w:pStyle w:val="Compact"/>
            </w:pPr>
            <w:r>
              <w:t>Ingestion</w:t>
            </w:r>
          </w:p>
        </w:tc>
        <w:tc>
          <w:tcPr>
            <w:tcW w:w="0" w:type="auto"/>
          </w:tcPr>
          <w:p w14:paraId="7E8AB519" w14:textId="77777777" w:rsidR="00DE0054" w:rsidRDefault="00000000">
            <w:pPr>
              <w:pStyle w:val="Compact"/>
            </w:pPr>
            <w:r>
              <w:t>Python (requests/httpx)</w:t>
            </w:r>
          </w:p>
        </w:tc>
        <w:tc>
          <w:tcPr>
            <w:tcW w:w="0" w:type="auto"/>
          </w:tcPr>
          <w:p w14:paraId="2A527340" w14:textId="77777777" w:rsidR="00DE0054" w:rsidRDefault="00000000">
            <w:pPr>
              <w:pStyle w:val="Compact"/>
            </w:pPr>
            <w:r>
              <w:t>Pull REST API, paginate, validate, idempotent upsert into OLTP</w:t>
            </w:r>
          </w:p>
        </w:tc>
      </w:tr>
      <w:tr w:rsidR="00DE0054" w14:paraId="2DAFB263" w14:textId="77777777">
        <w:tc>
          <w:tcPr>
            <w:tcW w:w="0" w:type="auto"/>
          </w:tcPr>
          <w:p w14:paraId="28EF1216" w14:textId="77777777" w:rsidR="00DE0054" w:rsidRDefault="00000000">
            <w:pPr>
              <w:pStyle w:val="Compact"/>
            </w:pPr>
            <w:r>
              <w:t>OLTP</w:t>
            </w:r>
          </w:p>
        </w:tc>
        <w:tc>
          <w:tcPr>
            <w:tcW w:w="0" w:type="auto"/>
          </w:tcPr>
          <w:p w14:paraId="7695ABA2" w14:textId="77777777" w:rsidR="00DE0054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66E6574A" w14:textId="77777777" w:rsidR="00DE0054" w:rsidRDefault="00000000">
            <w:pPr>
              <w:pStyle w:val="Compact"/>
            </w:pPr>
            <w:r>
              <w:t>Source of truth; logical replication enabled (</w:t>
            </w:r>
            <w:r>
              <w:rPr>
                <w:rStyle w:val="VerbatimChar"/>
              </w:rPr>
              <w:t>wal_level=logical</w:t>
            </w:r>
            <w:r>
              <w:t>)</w:t>
            </w:r>
          </w:p>
        </w:tc>
      </w:tr>
      <w:tr w:rsidR="00DE0054" w14:paraId="15AEEA23" w14:textId="77777777">
        <w:tc>
          <w:tcPr>
            <w:tcW w:w="0" w:type="auto"/>
          </w:tcPr>
          <w:p w14:paraId="485B4726" w14:textId="77777777" w:rsidR="00DE0054" w:rsidRDefault="00000000">
            <w:pPr>
              <w:pStyle w:val="Compact"/>
            </w:pPr>
            <w:r>
              <w:t>CDC</w:t>
            </w:r>
          </w:p>
        </w:tc>
        <w:tc>
          <w:tcPr>
            <w:tcW w:w="0" w:type="auto"/>
          </w:tcPr>
          <w:p w14:paraId="70C545B5" w14:textId="77777777" w:rsidR="00DE0054" w:rsidRDefault="00000000">
            <w:pPr>
              <w:pStyle w:val="Compact"/>
            </w:pPr>
            <w:r>
              <w:t>Debezium (Kafka Connect)</w:t>
            </w:r>
          </w:p>
        </w:tc>
        <w:tc>
          <w:tcPr>
            <w:tcW w:w="0" w:type="auto"/>
          </w:tcPr>
          <w:p w14:paraId="5B1026D7" w14:textId="77777777" w:rsidR="00DE0054" w:rsidRDefault="00000000">
            <w:pPr>
              <w:pStyle w:val="Compact"/>
            </w:pPr>
            <w:r>
              <w:t>Capture INSERT/UPDATE/DELETE from WAL</w:t>
            </w:r>
          </w:p>
        </w:tc>
      </w:tr>
      <w:tr w:rsidR="00DE0054" w14:paraId="5CE8CB52" w14:textId="77777777">
        <w:tc>
          <w:tcPr>
            <w:tcW w:w="0" w:type="auto"/>
          </w:tcPr>
          <w:p w14:paraId="725906FF" w14:textId="77777777" w:rsidR="00DE0054" w:rsidRDefault="00000000">
            <w:pPr>
              <w:pStyle w:val="Compact"/>
            </w:pPr>
            <w:r>
              <w:t>Streaming</w:t>
            </w:r>
          </w:p>
        </w:tc>
        <w:tc>
          <w:tcPr>
            <w:tcW w:w="0" w:type="auto"/>
          </w:tcPr>
          <w:p w14:paraId="5C6E4D03" w14:textId="77777777" w:rsidR="00DE0054" w:rsidRDefault="00000000">
            <w:pPr>
              <w:pStyle w:val="Compact"/>
            </w:pPr>
            <w:r>
              <w:t>Apache Kafka</w:t>
            </w:r>
          </w:p>
        </w:tc>
        <w:tc>
          <w:tcPr>
            <w:tcW w:w="0" w:type="auto"/>
          </w:tcPr>
          <w:p w14:paraId="0E8D46FB" w14:textId="77777777" w:rsidR="00DE0054" w:rsidRDefault="00000000">
            <w:pPr>
              <w:pStyle w:val="Compact"/>
            </w:pPr>
            <w:r>
              <w:t>Durable, decoupled transport; one topic per source table</w:t>
            </w:r>
          </w:p>
        </w:tc>
      </w:tr>
      <w:tr w:rsidR="00DE0054" w14:paraId="00DC231C" w14:textId="77777777">
        <w:tc>
          <w:tcPr>
            <w:tcW w:w="0" w:type="auto"/>
          </w:tcPr>
          <w:p w14:paraId="69CCF535" w14:textId="77777777" w:rsidR="00DE0054" w:rsidRDefault="00000000">
            <w:pPr>
              <w:pStyle w:val="Compact"/>
            </w:pPr>
            <w:r>
              <w:t>OLAP</w:t>
            </w:r>
          </w:p>
        </w:tc>
        <w:tc>
          <w:tcPr>
            <w:tcW w:w="0" w:type="auto"/>
          </w:tcPr>
          <w:p w14:paraId="76E7EC16" w14:textId="77777777" w:rsidR="00DE0054" w:rsidRDefault="00000000">
            <w:pPr>
              <w:pStyle w:val="Compact"/>
            </w:pPr>
            <w:r>
              <w:t>ClickHouse</w:t>
            </w:r>
          </w:p>
        </w:tc>
        <w:tc>
          <w:tcPr>
            <w:tcW w:w="0" w:type="auto"/>
          </w:tcPr>
          <w:p w14:paraId="3A58EF2B" w14:textId="77777777" w:rsidR="00DE0054" w:rsidRDefault="00000000">
            <w:pPr>
              <w:pStyle w:val="Compact"/>
            </w:pPr>
            <w:r>
              <w:t>Raw CDC landing + analytical storage</w:t>
            </w:r>
          </w:p>
        </w:tc>
      </w:tr>
      <w:tr w:rsidR="00DE0054" w14:paraId="1AB80C06" w14:textId="77777777">
        <w:tc>
          <w:tcPr>
            <w:tcW w:w="0" w:type="auto"/>
          </w:tcPr>
          <w:p w14:paraId="183B9E86" w14:textId="77777777" w:rsidR="00DE0054" w:rsidRDefault="00000000">
            <w:pPr>
              <w:pStyle w:val="Compact"/>
            </w:pPr>
            <w:r>
              <w:t>Transformation</w:t>
            </w:r>
          </w:p>
        </w:tc>
        <w:tc>
          <w:tcPr>
            <w:tcW w:w="0" w:type="auto"/>
          </w:tcPr>
          <w:p w14:paraId="423D3ABF" w14:textId="77777777" w:rsidR="00DE0054" w:rsidRDefault="00000000">
            <w:pPr>
              <w:pStyle w:val="Compact"/>
            </w:pPr>
            <w:r>
              <w:t>dbt</w:t>
            </w:r>
          </w:p>
        </w:tc>
        <w:tc>
          <w:tcPr>
            <w:tcW w:w="0" w:type="auto"/>
          </w:tcPr>
          <w:p w14:paraId="42037BFA" w14:textId="77777777" w:rsidR="00DE0054" w:rsidRDefault="00000000">
            <w:pPr>
              <w:pStyle w:val="Compact"/>
            </w:pPr>
            <w:r>
              <w:t>Raw → staging → mart, with tests</w:t>
            </w:r>
          </w:p>
        </w:tc>
      </w:tr>
      <w:tr w:rsidR="00DE0054" w14:paraId="5FB3D68E" w14:textId="77777777">
        <w:tc>
          <w:tcPr>
            <w:tcW w:w="0" w:type="auto"/>
          </w:tcPr>
          <w:p w14:paraId="21B212BB" w14:textId="77777777" w:rsidR="00DE0054" w:rsidRDefault="00000000">
            <w:pPr>
              <w:pStyle w:val="Compact"/>
            </w:pPr>
            <w:r>
              <w:t>Orchestration</w:t>
            </w:r>
          </w:p>
        </w:tc>
        <w:tc>
          <w:tcPr>
            <w:tcW w:w="0" w:type="auto"/>
          </w:tcPr>
          <w:p w14:paraId="47854D86" w14:textId="77777777" w:rsidR="00DE0054" w:rsidRDefault="00000000">
            <w:pPr>
              <w:pStyle w:val="Compact"/>
            </w:pPr>
            <w:r>
              <w:t>Airflow</w:t>
            </w:r>
          </w:p>
        </w:tc>
        <w:tc>
          <w:tcPr>
            <w:tcW w:w="0" w:type="auto"/>
          </w:tcPr>
          <w:p w14:paraId="5FFBF35B" w14:textId="77777777" w:rsidR="00DE0054" w:rsidRDefault="00000000">
            <w:pPr>
              <w:pStyle w:val="Compact"/>
            </w:pPr>
            <w:r>
              <w:t>Schedule/monitor ingestion + dbt; retries, backfills</w:t>
            </w:r>
          </w:p>
        </w:tc>
      </w:tr>
      <w:tr w:rsidR="00DE0054" w14:paraId="081A425B" w14:textId="77777777">
        <w:tc>
          <w:tcPr>
            <w:tcW w:w="0" w:type="auto"/>
          </w:tcPr>
          <w:p w14:paraId="113AE007" w14:textId="77777777" w:rsidR="00DE0054" w:rsidRDefault="00000000">
            <w:pPr>
              <w:pStyle w:val="Compact"/>
            </w:pPr>
            <w:r>
              <w:t>Containerization</w:t>
            </w:r>
          </w:p>
        </w:tc>
        <w:tc>
          <w:tcPr>
            <w:tcW w:w="0" w:type="auto"/>
          </w:tcPr>
          <w:p w14:paraId="1AB1293D" w14:textId="77777777" w:rsidR="00DE0054" w:rsidRDefault="00000000">
            <w:pPr>
              <w:pStyle w:val="Compact"/>
            </w:pPr>
            <w:r>
              <w:t>Docker Compose</w:t>
            </w:r>
          </w:p>
        </w:tc>
        <w:tc>
          <w:tcPr>
            <w:tcW w:w="0" w:type="auto"/>
          </w:tcPr>
          <w:p w14:paraId="1987C195" w14:textId="77777777" w:rsidR="00DE0054" w:rsidRDefault="00000000">
            <w:pPr>
              <w:pStyle w:val="Compact"/>
            </w:pPr>
            <w:r>
              <w:t>One-command startup of the whole stack</w:t>
            </w:r>
          </w:p>
        </w:tc>
      </w:tr>
      <w:tr w:rsidR="00DE0054" w14:paraId="72BA4B78" w14:textId="77777777">
        <w:tc>
          <w:tcPr>
            <w:tcW w:w="0" w:type="auto"/>
          </w:tcPr>
          <w:p w14:paraId="72704CA3" w14:textId="77777777" w:rsidR="00DE0054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5938F02A" w14:textId="77777777" w:rsidR="00DE0054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78626B46" w14:textId="77777777" w:rsidR="00DE0054" w:rsidRDefault="00000000">
            <w:pPr>
              <w:pStyle w:val="Compact"/>
            </w:pPr>
            <w:r>
              <w:t>Lint, unit tests, dbt build/test on every push/PR</w:t>
            </w:r>
          </w:p>
        </w:tc>
      </w:tr>
      <w:tr w:rsidR="00DE0054" w14:paraId="62005F9F" w14:textId="77777777">
        <w:tc>
          <w:tcPr>
            <w:tcW w:w="0" w:type="auto"/>
          </w:tcPr>
          <w:p w14:paraId="6FEE4249" w14:textId="77777777" w:rsidR="00DE0054" w:rsidRDefault="00000000">
            <w:pPr>
              <w:pStyle w:val="Compact"/>
            </w:pPr>
            <w:r>
              <w:t>Observability</w:t>
            </w:r>
          </w:p>
        </w:tc>
        <w:tc>
          <w:tcPr>
            <w:tcW w:w="0" w:type="auto"/>
          </w:tcPr>
          <w:p w14:paraId="2271E8ED" w14:textId="77777777" w:rsidR="00DE0054" w:rsidRDefault="00000000">
            <w:pPr>
              <w:pStyle w:val="Compact"/>
            </w:pPr>
            <w:r>
              <w:t>Prometheus + Grafana + n8n</w:t>
            </w:r>
          </w:p>
        </w:tc>
        <w:tc>
          <w:tcPr>
            <w:tcW w:w="0" w:type="auto"/>
          </w:tcPr>
          <w:p w14:paraId="07019010" w14:textId="77777777" w:rsidR="00DE0054" w:rsidRDefault="00000000">
            <w:pPr>
              <w:pStyle w:val="Compact"/>
            </w:pPr>
            <w:r>
              <w:t>Metrics, dashboards, alert fan-out</w:t>
            </w:r>
          </w:p>
        </w:tc>
      </w:tr>
      <w:tr w:rsidR="00DE0054" w14:paraId="343A8383" w14:textId="77777777">
        <w:tc>
          <w:tcPr>
            <w:tcW w:w="0" w:type="auto"/>
          </w:tcPr>
          <w:p w14:paraId="43613E3D" w14:textId="77777777" w:rsidR="00DE0054" w:rsidRDefault="00000000">
            <w:pPr>
              <w:pStyle w:val="Compact"/>
            </w:pPr>
            <w:r>
              <w:lastRenderedPageBreak/>
              <w:t>Data quality</w:t>
            </w:r>
          </w:p>
        </w:tc>
        <w:tc>
          <w:tcPr>
            <w:tcW w:w="0" w:type="auto"/>
          </w:tcPr>
          <w:p w14:paraId="049D7E15" w14:textId="77777777" w:rsidR="00DE0054" w:rsidRDefault="00000000">
            <w:pPr>
              <w:pStyle w:val="Compact"/>
            </w:pPr>
            <w:r>
              <w:t>dbt tests + Great Expectations</w:t>
            </w:r>
          </w:p>
        </w:tc>
        <w:tc>
          <w:tcPr>
            <w:tcW w:w="0" w:type="auto"/>
          </w:tcPr>
          <w:p w14:paraId="28FAAFE4" w14:textId="77777777" w:rsidR="00DE0054" w:rsidRDefault="00000000">
            <w:pPr>
              <w:pStyle w:val="Compact"/>
            </w:pPr>
            <w:r>
              <w:t>Validation gates at each stage</w:t>
            </w:r>
          </w:p>
        </w:tc>
      </w:tr>
    </w:tbl>
    <w:p w14:paraId="43D40F95" w14:textId="77777777" w:rsidR="00DE0054" w:rsidRDefault="00000000">
      <w:pPr>
        <w:pStyle w:val="Heading1"/>
      </w:pPr>
      <w:bookmarkStart w:id="2" w:name="data-flow-explanation"/>
      <w:r>
        <w:t>3. Data Flow Explanation</w:t>
      </w:r>
      <w:bookmarkEnd w:id="2"/>
    </w:p>
    <w:p w14:paraId="39669C8C" w14:textId="77777777" w:rsidR="00DE0054" w:rsidRDefault="00000000">
      <w:pPr>
        <w:pStyle w:val="FirstParagraph"/>
      </w:pPr>
      <w:r>
        <w:rPr>
          <w:b/>
        </w:rPr>
        <w:t>1. REST API → PostgreSQL.</w:t>
      </w:r>
      <w:r>
        <w:t xml:space="preserve"> A Python ingestion service calls the World Bank API — first the reference endpoints (</w:t>
      </w:r>
      <w:r>
        <w:rPr>
          <w:rStyle w:val="VerbatimChar"/>
        </w:rPr>
        <w:t>/v2/country</w:t>
      </w:r>
      <w:r>
        <w:t xml:space="preserve">, </w:t>
      </w:r>
      <w:r>
        <w:rPr>
          <w:rStyle w:val="VerbatimChar"/>
        </w:rPr>
        <w:t>/v2/indicator</w:t>
      </w:r>
      <w:r>
        <w:t xml:space="preserve">) to populate dimensions, then </w:t>
      </w:r>
      <w:r>
        <w:rPr>
          <w:rStyle w:val="VerbatimChar"/>
        </w:rPr>
        <w:t>/v2/country/{code}/indicator/{code}</w:t>
      </w:r>
      <w:r>
        <w:t xml:space="preserve"> for observation values. It handles the API’s page-based pagination (the response envelope carries </w:t>
      </w:r>
      <w:r>
        <w:rPr>
          <w:rStyle w:val="VerbatimChar"/>
        </w:rPr>
        <w:t>page</w:t>
      </w:r>
      <w:r>
        <w:t xml:space="preserve">, </w:t>
      </w:r>
      <w:r>
        <w:rPr>
          <w:rStyle w:val="VerbatimChar"/>
        </w:rPr>
        <w:t>pages</w:t>
      </w:r>
      <w:r>
        <w:t xml:space="preserve">, </w:t>
      </w:r>
      <w:r>
        <w:rPr>
          <w:rStyle w:val="VerbatimChar"/>
        </w:rPr>
        <w:t>per_page</w:t>
      </w:r>
      <w:r>
        <w:t xml:space="preserve">, </w:t>
      </w:r>
      <w:r>
        <w:rPr>
          <w:rStyle w:val="VerbatimChar"/>
        </w:rPr>
        <w:t>total</w:t>
      </w:r>
      <w:r>
        <w:t xml:space="preserve">), performs basic response/schema validation, and upserts records into PostgreSQL. Ingestion is </w:t>
      </w:r>
      <w:r>
        <w:rPr>
          <w:b/>
        </w:rPr>
        <w:t>idempotent</w:t>
      </w:r>
      <w:r>
        <w:t xml:space="preserve"> (upsert on the natural key </w:t>
      </w:r>
      <w:r>
        <w:rPr>
          <w:rStyle w:val="VerbatimChar"/>
        </w:rPr>
        <w:t>country_code + indicator_code + obs_year</w:t>
      </w:r>
      <w:r>
        <w:t>), so reruns never create duplicates. PostgreSQL is the OLTP source of truth, with primary keys and timestamps supporting incremental ingestion.</w:t>
      </w:r>
    </w:p>
    <w:p w14:paraId="30908366" w14:textId="77777777" w:rsidR="00DE0054" w:rsidRDefault="00000000">
      <w:pPr>
        <w:pStyle w:val="BodyText"/>
      </w:pPr>
      <w:r>
        <w:rPr>
          <w:b/>
        </w:rPr>
        <w:t>2. PostgreSQL → Debezium → Kafka.</w:t>
      </w:r>
      <w:r>
        <w:t xml:space="preserve"> With </w:t>
      </w:r>
      <w:r>
        <w:rPr>
          <w:rStyle w:val="VerbatimChar"/>
        </w:rPr>
        <w:t>wal_level=logical</w:t>
      </w:r>
      <w:r>
        <w:t xml:space="preserve">, Debezium reads the write-ahead log and emits INSERT/UPDATE/DELETE events rather than polling. Events are published to Kafka topics (one per table). Kafka provides a durable, replayable, decoupled buffer between OLTP and downstream consumers, enabling near-real-time propagation without heavy database polling. This matters for World Bank data because indicator values are </w:t>
      </w:r>
      <w:r>
        <w:rPr>
          <w:b/>
        </w:rPr>
        <w:t>revised historically</w:t>
      </w:r>
      <w:r>
        <w:t xml:space="preserve"> — an update to a prior year’s figure flows through as a CDC UPDATE rather than requiring a full reload.</w:t>
      </w:r>
    </w:p>
    <w:p w14:paraId="330DA00B" w14:textId="77777777" w:rsidR="00DE0054" w:rsidRDefault="00000000">
      <w:pPr>
        <w:pStyle w:val="BodyText"/>
      </w:pPr>
      <w:r>
        <w:rPr>
          <w:b/>
        </w:rPr>
        <w:t>3. Kafka → ClickHouse RAW.</w:t>
      </w:r>
      <w:r>
        <w:t xml:space="preserve"> ClickHouse consumes the CDC topics (via the ClickHouse </w:t>
      </w:r>
      <w:r>
        <w:rPr>
          <w:b/>
        </w:rPr>
        <w:t>Kafka table engine</w:t>
      </w:r>
      <w:r>
        <w:t xml:space="preserve"> feeding a materialized view, or the Kafka Connect ClickHouse sink). The raw layer stores the full CDC payload — the changed row </w:t>
      </w:r>
      <w:r>
        <w:rPr>
          <w:b/>
        </w:rPr>
        <w:t>plus</w:t>
      </w:r>
      <w:r>
        <w:t xml:space="preserve"> operation metadata (</w:t>
      </w:r>
      <w:r>
        <w:rPr>
          <w:rStyle w:val="VerbatimChar"/>
        </w:rPr>
        <w:t>op</w:t>
      </w:r>
      <w:r>
        <w:t xml:space="preserve">, </w:t>
      </w:r>
      <w:r>
        <w:rPr>
          <w:rStyle w:val="VerbatimChar"/>
        </w:rPr>
        <w:t>ts_ms</w:t>
      </w:r>
      <w:r>
        <w:t>, source LSN) — giving an auditable, replayable record of every source change.</w:t>
      </w:r>
    </w:p>
    <w:p w14:paraId="2CC1A47B" w14:textId="77777777" w:rsidR="00DE0054" w:rsidRDefault="00000000">
      <w:pPr>
        <w:pStyle w:val="BodyText"/>
      </w:pPr>
      <w:r>
        <w:rPr>
          <w:b/>
        </w:rPr>
        <w:t>4. RAW → Staging.</w:t>
      </w:r>
      <w:r>
        <w:t xml:space="preserve"> dbt flattens the nested CDC envelope, standardizes names and types, normalizes timestamps, applies CDC semantics (collapse to the latest version per key, honor deletes), removes duplicates, and runs basic data-quality checks. Staging is a clean representation of </w:t>
      </w:r>
      <w:r>
        <w:rPr>
          <w:b/>
        </w:rPr>
        <w:t>current source state</w:t>
      </w:r>
      <w:r>
        <w:t>, decoupling ingestion mechanics from analytical modeling.</w:t>
      </w:r>
    </w:p>
    <w:p w14:paraId="1BCFDE66" w14:textId="77777777" w:rsidR="00DE0054" w:rsidRDefault="00000000">
      <w:pPr>
        <w:pStyle w:val="BodyText"/>
      </w:pPr>
      <w:r>
        <w:rPr>
          <w:b/>
        </w:rPr>
        <w:t>5. Staging → Mart.</w:t>
      </w:r>
      <w:r>
        <w:t xml:space="preserve"> dbt applies business logic — derived metrics (year-over-year growth, CAGR), regional/income-group aggregations, dimensional joins to country and indicator attributes, feature engineering, and standardized definitions — producing analytics-ready mart tables optimized for ClickHouse. Marts feed both BI/analytics and ML/feature consumption.</w:t>
      </w:r>
    </w:p>
    <w:p w14:paraId="1093AF1F" w14:textId="77777777" w:rsidR="00DE0054" w:rsidRDefault="00000000">
      <w:pPr>
        <w:pStyle w:val="BodyText"/>
      </w:pPr>
      <w:r>
        <w:rPr>
          <w:b/>
        </w:rPr>
        <w:t>6. Orchestration.</w:t>
      </w:r>
      <w:r>
        <w:t xml:space="preserve"> Airflow coordinates ingestion → staging → mart with scheduling, dependency management, retries, failure handling, and execution visibility. CDC runs continuously; batch ingestion and dbt runs are scheduled (e.g., daily, since World Bank data updates infrequently) and gated by data-quality tests.</w:t>
      </w:r>
    </w:p>
    <w:p w14:paraId="0CB1F75B" w14:textId="77777777" w:rsidR="00DE0054" w:rsidRDefault="00000000">
      <w:pPr>
        <w:pStyle w:val="BodyText"/>
      </w:pPr>
      <w:r>
        <w:rPr>
          <w:b/>
        </w:rPr>
        <w:t>7. Data quality (throughout).</w:t>
      </w:r>
      <w:r>
        <w:t xml:space="preserve"> Validation is applied at every hop — API response validation, schema/type checks, PK uniqueness, null checks, record-count and reconciliation checks, referential integrity (every observation references a known country </w:t>
      </w:r>
      <w:r>
        <w:lastRenderedPageBreak/>
        <w:t>and indicator), freshness, and CDC-lag monitoring — so invalid data cannot silently propagate downstream.</w:t>
      </w:r>
    </w:p>
    <w:p w14:paraId="226B0F4A" w14:textId="77777777" w:rsidR="00DE0054" w:rsidRDefault="00000000">
      <w:pPr>
        <w:pStyle w:val="Heading1"/>
      </w:pPr>
      <w:bookmarkStart w:id="3" w:name="data-model-schema-documentation"/>
      <w:r>
        <w:t>4. Data Model / Schema Documentation</w:t>
      </w:r>
      <w:bookmarkEnd w:id="3"/>
    </w:p>
    <w:p w14:paraId="00364A53" w14:textId="77777777" w:rsidR="00DE0054" w:rsidRDefault="00000000">
      <w:pPr>
        <w:pStyle w:val="Heading2"/>
      </w:pPr>
      <w:bookmarkStart w:id="4" w:name="source-oltp-postgresql"/>
      <w:r>
        <w:t>4.1 Source → OLTP (PostgreSQL)</w:t>
      </w:r>
      <w:bookmarkEnd w:id="4"/>
    </w:p>
    <w:p w14:paraId="3DCE0DB9" w14:textId="77777777" w:rsidR="00DE0054" w:rsidRDefault="00000000">
      <w:pPr>
        <w:pStyle w:val="FirstParagraph"/>
      </w:pPr>
      <w:r>
        <w:t>The API exposes two reference collections (countries, indicators) and one observation series (indicator value per country per year). In OLTP this is modeled as two dimensions and one fact.</w:t>
      </w:r>
    </w:p>
    <w:p w14:paraId="24F13532" w14:textId="77777777" w:rsidR="00DE0054" w:rsidRDefault="00000000">
      <w:pPr>
        <w:pStyle w:val="CaptionedFigure"/>
      </w:pPr>
      <w:r>
        <w:rPr>
          <w:noProof/>
        </w:rPr>
        <w:drawing>
          <wp:inline distT="0" distB="0" distL="0" distR="0" wp14:anchorId="2FDD8706" wp14:editId="6091C7F2">
            <wp:extent cx="5334000" cy="4518684"/>
            <wp:effectExtent l="0" t="0" r="0" b="0"/>
            <wp:docPr id="1291299409" name="Picture" descr="OLTP entity-relationship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/erd_oltp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8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28FDC" w14:textId="77777777" w:rsidR="00DE0054" w:rsidRDefault="00000000">
      <w:pPr>
        <w:pStyle w:val="ImageCaption"/>
      </w:pPr>
      <w:r>
        <w:t>OLTP entity-relationship diagram</w:t>
      </w:r>
    </w:p>
    <w:p w14:paraId="15A5DCD1" w14:textId="77777777" w:rsidR="00DE0054" w:rsidRDefault="00000000">
      <w:pPr>
        <w:pStyle w:val="Heading2"/>
      </w:pPr>
      <w:bookmarkStart w:id="5" w:name="staging-mart-clickhouse-erd"/>
      <w:r>
        <w:lastRenderedPageBreak/>
        <w:t>4.2 Staging &amp; Mart (ClickHouse) ERD</w:t>
      </w:r>
      <w:bookmarkEnd w:id="5"/>
    </w:p>
    <w:p w14:paraId="1714F500" w14:textId="77777777" w:rsidR="00DE0054" w:rsidRDefault="00000000">
      <w:pPr>
        <w:pStyle w:val="CaptionedFigure"/>
      </w:pPr>
      <w:r>
        <w:rPr>
          <w:noProof/>
        </w:rPr>
        <w:drawing>
          <wp:inline distT="0" distB="0" distL="0" distR="0" wp14:anchorId="53B075CA" wp14:editId="33A3AF49">
            <wp:extent cx="5334000" cy="4540807"/>
            <wp:effectExtent l="0" t="0" r="0" b="0"/>
            <wp:docPr id="1611476168" name="Picture" descr="Staging and mart entity-relationship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g/erd_staging_mar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7C7E3" w14:textId="77777777" w:rsidR="00DE0054" w:rsidRDefault="00000000">
      <w:pPr>
        <w:pStyle w:val="ImageCaption"/>
      </w:pPr>
      <w:r>
        <w:t>Staging and mart entity-relationship diagram</w:t>
      </w:r>
    </w:p>
    <w:p w14:paraId="378BFC7F" w14:textId="77777777" w:rsidR="00DE0054" w:rsidRDefault="00000000">
      <w:pPr>
        <w:pStyle w:val="Heading2"/>
      </w:pPr>
      <w:bookmarkStart w:id="6" w:name="X97bf2afe0758dc73ef2cff7d76fc89656179db1"/>
      <w:r>
        <w:t>4.3 ClickHouse-specific design choices (rationale)</w:t>
      </w:r>
      <w:bookmarkEnd w:id="6"/>
    </w:p>
    <w:p w14:paraId="10627459" w14:textId="77777777" w:rsidR="00DE0054" w:rsidRDefault="00000000">
      <w:pPr>
        <w:pStyle w:val="FirstParagraph"/>
      </w:pPr>
      <w:r>
        <w:rPr>
          <w:b/>
        </w:rPr>
        <w:t>RAW landing table — capture everything, deduplicate later.</w:t>
      </w:r>
    </w:p>
    <w:p w14:paraId="2C163680" w14:textId="77777777" w:rsidR="00DE0054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DataTypeTok"/>
        </w:rPr>
        <w:t>raw</w:t>
      </w:r>
      <w:r>
        <w:rPr>
          <w:rStyle w:val="NormalTok"/>
        </w:rPr>
        <w:t>.indicator_observations_cdc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country_code   String,</w:t>
      </w:r>
      <w:r>
        <w:br/>
      </w:r>
      <w:r>
        <w:rPr>
          <w:rStyle w:val="NormalTok"/>
        </w:rPr>
        <w:t xml:space="preserve">    indicator_code String,</w:t>
      </w:r>
      <w:r>
        <w:br/>
      </w:r>
      <w:r>
        <w:rPr>
          <w:rStyle w:val="NormalTok"/>
        </w:rPr>
        <w:t xml:space="preserve">    payload        String,                    </w:t>
      </w:r>
      <w:r>
        <w:rPr>
          <w:rStyle w:val="CommentTok"/>
        </w:rPr>
        <w:t>-- full JSON envelope</w:t>
      </w:r>
      <w:r>
        <w:br/>
      </w:r>
      <w:r>
        <w:rPr>
          <w:rStyle w:val="NormalTok"/>
        </w:rPr>
        <w:t xml:space="preserve">    op             LowCardinality(String),    </w:t>
      </w:r>
      <w:r>
        <w:rPr>
          <w:rStyle w:val="CommentTok"/>
        </w:rPr>
        <w:t>-- c/u/d/r</w:t>
      </w:r>
      <w:r>
        <w:br/>
      </w:r>
      <w:r>
        <w:rPr>
          <w:rStyle w:val="NormalTok"/>
        </w:rPr>
        <w:t xml:space="preserve">    source_ts_ms   UInt64,</w:t>
      </w:r>
      <w:r>
        <w:br/>
      </w:r>
      <w:r>
        <w:rPr>
          <w:rStyle w:val="NormalTok"/>
        </w:rPr>
        <w:t xml:space="preserve">    ingested_at    DateTime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MergeTree</w:t>
      </w:r>
      <w:r>
        <w:br/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toYYYYMM(ingested_at)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(indicator_code, country_code, source_ts_ms);</w:t>
      </w:r>
    </w:p>
    <w:p w14:paraId="6B35A0DE" w14:textId="77777777" w:rsidR="00DE0054" w:rsidRDefault="00000000">
      <w:pPr>
        <w:pStyle w:val="FirstParagraph"/>
      </w:pPr>
      <w:r>
        <w:rPr>
          <w:i/>
        </w:rPr>
        <w:lastRenderedPageBreak/>
        <w:t>Engine:</w:t>
      </w:r>
      <w:r>
        <w:t xml:space="preserve"> plain </w:t>
      </w:r>
      <w:r>
        <w:rPr>
          <w:rStyle w:val="VerbatimChar"/>
        </w:rPr>
        <w:t>MergeTree</w:t>
      </w:r>
      <w:r>
        <w:t xml:space="preserve"> — the raw layer is an immutable, append-only audit log; we never mutate it, only read and transform forward.</w:t>
      </w:r>
    </w:p>
    <w:p w14:paraId="036952B9" w14:textId="77777777" w:rsidR="00DE0054" w:rsidRDefault="00000000">
      <w:pPr>
        <w:pStyle w:val="BodyText"/>
      </w:pPr>
      <w:r>
        <w:rPr>
          <w:b/>
        </w:rPr>
        <w:t>STAGING table — collapse CDC to current state.</w:t>
      </w:r>
    </w:p>
    <w:p w14:paraId="7A97303C" w14:textId="77777777" w:rsidR="00DE0054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staging.stg_indicator_observations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country_code    LowCardinality(String),</w:t>
      </w:r>
      <w:r>
        <w:br/>
      </w:r>
      <w:r>
        <w:rPr>
          <w:rStyle w:val="NormalTok"/>
        </w:rPr>
        <w:t xml:space="preserve">    indicator_code  LowCardinality(String),</w:t>
      </w:r>
      <w:r>
        <w:br/>
      </w:r>
      <w:r>
        <w:rPr>
          <w:rStyle w:val="NormalTok"/>
        </w:rPr>
        <w:t xml:space="preserve">    obs_year        UInt16 CODEC(DoubleDelta, ZSTD(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obs_value       Float64 CODEC(ZSTD(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ingested_at     DateTime,                 </w:t>
      </w:r>
      <w:r>
        <w:rPr>
          <w:rStyle w:val="CommentTok"/>
        </w:rPr>
        <w:t>-- version</w:t>
      </w:r>
      <w:r>
        <w:br/>
      </w:r>
      <w:r>
        <w:rPr>
          <w:rStyle w:val="NormalTok"/>
        </w:rPr>
        <w:t xml:space="preserve">    is_deleted      UInt8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ReplacingMergeTree(ingested_at)</w:t>
      </w:r>
      <w:r>
        <w:br/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intDiv(obs_year,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     </w:t>
      </w:r>
      <w:r>
        <w:rPr>
          <w:rStyle w:val="CommentTok"/>
        </w:rPr>
        <w:t>-- decade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(indicator_code, country_code, obs_year);</w:t>
      </w:r>
    </w:p>
    <w:p w14:paraId="1522745F" w14:textId="77777777" w:rsidR="00DE0054" w:rsidRDefault="00000000">
      <w:pPr>
        <w:pStyle w:val="Compact"/>
        <w:numPr>
          <w:ilvl w:val="0"/>
          <w:numId w:val="2"/>
        </w:numPr>
      </w:pPr>
      <w:r>
        <w:rPr>
          <w:b/>
        </w:rPr>
        <w:t xml:space="preserve">Table engine — </w:t>
      </w:r>
      <w:r>
        <w:rPr>
          <w:rStyle w:val="VerbatimChar"/>
          <w:b/>
        </w:rPr>
        <w:t>ReplacingMergeTree(ingested_at)</w:t>
      </w:r>
      <w:r>
        <w:rPr>
          <w:b/>
        </w:rPr>
        <w:t>:</w:t>
      </w:r>
      <w:r>
        <w:t xml:space="preserve"> the World Bank revises historical figures, so CDC produces multiple versions of the same </w:t>
      </w:r>
      <w:r>
        <w:rPr>
          <w:rStyle w:val="VerbatimChar"/>
        </w:rPr>
        <w:t>(indicator, country, year)</w:t>
      </w:r>
      <w:r>
        <w:t xml:space="preserve">. </w:t>
      </w:r>
      <w:r>
        <w:rPr>
          <w:rStyle w:val="VerbatimChar"/>
        </w:rPr>
        <w:t>ReplacingMergeTree</w:t>
      </w:r>
      <w:r>
        <w:t xml:space="preserve"> collapses rows sharing the </w:t>
      </w:r>
      <w:r>
        <w:rPr>
          <w:rStyle w:val="VerbatimChar"/>
        </w:rPr>
        <w:t>ORDER BY</w:t>
      </w:r>
      <w:r>
        <w:t xml:space="preserve"> key, keeping the row with the highest version column (</w:t>
      </w:r>
      <w:r>
        <w:rPr>
          <w:rStyle w:val="VerbatimChar"/>
        </w:rPr>
        <w:t>ingested_at</w:t>
      </w:r>
      <w:r>
        <w:t xml:space="preserve">). This yields an efficient “latest known value” without manual dedup logic; reads use </w:t>
      </w:r>
      <w:r>
        <w:rPr>
          <w:rStyle w:val="VerbatimChar"/>
        </w:rPr>
        <w:t>FINAL</w:t>
      </w:r>
      <w:r>
        <w:t xml:space="preserve"> or a dedup pattern to guarantee the latest version. The </w:t>
      </w:r>
      <w:r>
        <w:rPr>
          <w:rStyle w:val="VerbatimChar"/>
        </w:rPr>
        <w:t>is_deleted</w:t>
      </w:r>
      <w:r>
        <w:t xml:space="preserve"> tombstone lets deletes be filtered downstream.</w:t>
      </w:r>
    </w:p>
    <w:p w14:paraId="65D71CAD" w14:textId="0FC3CD02" w:rsidR="00DE0054" w:rsidRDefault="00000000">
      <w:pPr>
        <w:pStyle w:val="Compact"/>
        <w:numPr>
          <w:ilvl w:val="0"/>
          <w:numId w:val="2"/>
        </w:numPr>
      </w:pPr>
      <w:r>
        <w:rPr>
          <w:b/>
        </w:rPr>
        <w:t xml:space="preserve">Partitioning key — </w:t>
      </w:r>
      <w:r>
        <w:rPr>
          <w:rStyle w:val="VerbatimChar"/>
          <w:b/>
        </w:rPr>
        <w:t>intDiv(obs_year,</w:t>
      </w:r>
      <w:proofErr w:type="gramStart"/>
      <w:r>
        <w:rPr>
          <w:rStyle w:val="VerbatimChar"/>
          <w:b/>
        </w:rPr>
        <w:t>10)*</w:t>
      </w:r>
      <w:proofErr w:type="gramEnd"/>
      <w:r>
        <w:rPr>
          <w:rStyle w:val="VerbatimChar"/>
          <w:b/>
        </w:rPr>
        <w:t>10</w:t>
      </w:r>
      <w:r>
        <w:rPr>
          <w:b/>
        </w:rPr>
        <w:t xml:space="preserve"> (decade):</w:t>
      </w:r>
      <w:r>
        <w:t xml:space="preserve"> the data is annual and spans ~1960 to present (65 years). Partitioning by decade keeps the partition count in single digits — avoiding the ClickHouse anti-pattern of many tiny partitions — while still enabling partition </w:t>
      </w:r>
      <w:r>
        <w:rPr>
          <w:b/>
        </w:rPr>
        <w:t>pruning</w:t>
      </w:r>
      <w:r>
        <w:t xml:space="preserve"> on year-range queries and cheap retention via </w:t>
      </w:r>
      <w:r>
        <w:rPr>
          <w:rStyle w:val="VerbatimChar"/>
        </w:rPr>
        <w:t>DROP PARTITION</w:t>
      </w:r>
      <w:r>
        <w:t>. (Monthly partitioning, appropriate for high-frequency sources, would be wasteful here.)</w:t>
      </w:r>
    </w:p>
    <w:p w14:paraId="08741395" w14:textId="77777777" w:rsidR="00DE0054" w:rsidRDefault="00000000">
      <w:pPr>
        <w:pStyle w:val="Compact"/>
        <w:numPr>
          <w:ilvl w:val="0"/>
          <w:numId w:val="2"/>
        </w:numPr>
      </w:pPr>
      <w:r>
        <w:rPr>
          <w:b/>
        </w:rPr>
        <w:t xml:space="preserve">Ordering / sorting key — </w:t>
      </w:r>
      <w:r>
        <w:rPr>
          <w:rStyle w:val="VerbatimChar"/>
          <w:b/>
        </w:rPr>
        <w:t>(indicator_code, country_code, obs_year)</w:t>
      </w:r>
      <w:r>
        <w:rPr>
          <w:b/>
        </w:rPr>
        <w:t>:</w:t>
      </w:r>
      <w:r>
        <w:t xml:space="preserve"> matches the dominant query patterns (“this indicator across countries” and “this country/indicator over time”). ClickHouse’s sparse primary index skips granules efficiently, and physically co-locating each indicator’s series maximizes compression and range-scan speed. For a </w:t>
      </w:r>
      <w:r>
        <w:rPr>
          <w:rStyle w:val="VerbatimChar"/>
        </w:rPr>
        <w:t>ReplacingMergeTree</w:t>
      </w:r>
      <w:r>
        <w:t xml:space="preserve">, the </w:t>
      </w:r>
      <w:r>
        <w:rPr>
          <w:rStyle w:val="VerbatimChar"/>
        </w:rPr>
        <w:t>ORDER BY</w:t>
      </w:r>
      <w:r>
        <w:t xml:space="preserve"> </w:t>
      </w:r>
      <w:r>
        <w:rPr>
          <w:b/>
        </w:rPr>
        <w:t>is</w:t>
      </w:r>
      <w:r>
        <w:t xml:space="preserve"> the dedup key, so this also defines row identity: one indicator, one country, one year.</w:t>
      </w:r>
    </w:p>
    <w:p w14:paraId="682002D5" w14:textId="77777777" w:rsidR="00DE0054" w:rsidRDefault="00000000">
      <w:pPr>
        <w:pStyle w:val="Compact"/>
        <w:numPr>
          <w:ilvl w:val="0"/>
          <w:numId w:val="2"/>
        </w:numPr>
      </w:pPr>
      <w:r>
        <w:rPr>
          <w:b/>
        </w:rPr>
        <w:t>Column codecs:</w:t>
      </w:r>
      <w:r>
        <w:t xml:space="preserve"> </w:t>
      </w:r>
      <w:r>
        <w:rPr>
          <w:rStyle w:val="VerbatimChar"/>
        </w:rPr>
        <w:t>DoubleDelta</w:t>
      </w:r>
      <w:r>
        <w:t xml:space="preserve"> on the monotonic </w:t>
      </w:r>
      <w:r>
        <w:rPr>
          <w:rStyle w:val="VerbatimChar"/>
        </w:rPr>
        <w:t>obs_year</w:t>
      </w:r>
      <w:r>
        <w:t xml:space="preserve">, wrapped in </w:t>
      </w:r>
      <w:r>
        <w:rPr>
          <w:rStyle w:val="VerbatimChar"/>
        </w:rPr>
        <w:t>ZSTD</w:t>
      </w:r>
      <w:r>
        <w:t xml:space="preserve">, plus </w:t>
      </w:r>
      <w:r>
        <w:rPr>
          <w:rStyle w:val="VerbatimChar"/>
        </w:rPr>
        <w:t>ZSTD</w:t>
      </w:r>
      <w:r>
        <w:t xml:space="preserve"> on </w:t>
      </w:r>
      <w:r>
        <w:rPr>
          <w:rStyle w:val="VerbatimChar"/>
        </w:rPr>
        <w:t>obs_value</w:t>
      </w:r>
      <w:r>
        <w:t xml:space="preserve">, shrink the time-series columns significantly. </w:t>
      </w:r>
      <w:r>
        <w:rPr>
          <w:rStyle w:val="VerbatimChar"/>
        </w:rPr>
        <w:t>LowCardinality(String)</w:t>
      </w:r>
      <w:r>
        <w:t xml:space="preserve"> for </w:t>
      </w:r>
      <w:r>
        <w:rPr>
          <w:rStyle w:val="VerbatimChar"/>
        </w:rPr>
        <w:t>country_code</w:t>
      </w:r>
      <w:r>
        <w:t>/</w:t>
      </w:r>
      <w:r>
        <w:rPr>
          <w:rStyle w:val="VerbatimChar"/>
        </w:rPr>
        <w:t>indicator_code</w:t>
      </w:r>
      <w:r>
        <w:t xml:space="preserve"> cuts storage and speeds grouping/filtering (there are only ~200 countries and a bounded indicator set).</w:t>
      </w:r>
    </w:p>
    <w:p w14:paraId="2F199F10" w14:textId="77777777" w:rsidR="00DE0054" w:rsidRDefault="00000000">
      <w:pPr>
        <w:pStyle w:val="FirstParagraph"/>
      </w:pPr>
      <w:r>
        <w:rPr>
          <w:b/>
        </w:rPr>
        <w:t>MART — pre-aggregate at insert time with a materialized view.</w:t>
      </w:r>
    </w:p>
    <w:p w14:paraId="04F8020E" w14:textId="77777777" w:rsidR="00DE0054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mart.indicator_region_yearly</w:t>
      </w:r>
      <w:r>
        <w:br/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region          LowCardinality(String),</w:t>
      </w:r>
      <w:r>
        <w:br/>
      </w:r>
      <w:r>
        <w:rPr>
          <w:rStyle w:val="NormalTok"/>
        </w:rPr>
        <w:t xml:space="preserve">    indicator_code  LowCardinality(String),</w:t>
      </w:r>
      <w:r>
        <w:br/>
      </w:r>
      <w:r>
        <w:rPr>
          <w:rStyle w:val="NormalTok"/>
        </w:rPr>
        <w:lastRenderedPageBreak/>
        <w:t xml:space="preserve">    obs_year        UInt16,</w:t>
      </w:r>
      <w:r>
        <w:br/>
      </w:r>
      <w:r>
        <w:rPr>
          <w:rStyle w:val="NormalTok"/>
        </w:rPr>
        <w:t xml:space="preserve">    avg_value       AggregateFunction(</w:t>
      </w:r>
      <w:r>
        <w:rPr>
          <w:rStyle w:val="FunctionTok"/>
        </w:rPr>
        <w:t>avg</w:t>
      </w:r>
      <w:r>
        <w:rPr>
          <w:rStyle w:val="NormalTok"/>
        </w:rPr>
        <w:t>, Float64),</w:t>
      </w:r>
      <w:r>
        <w:br/>
      </w:r>
      <w:r>
        <w:rPr>
          <w:rStyle w:val="NormalTok"/>
        </w:rPr>
        <w:t xml:space="preserve">    sum_value       AggregateFunction(</w:t>
      </w:r>
      <w:r>
        <w:rPr>
          <w:rStyle w:val="FunctionTok"/>
        </w:rPr>
        <w:t>sum</w:t>
      </w:r>
      <w:r>
        <w:rPr>
          <w:rStyle w:val="NormalTok"/>
        </w:rPr>
        <w:t>, Float64),</w:t>
      </w:r>
      <w:r>
        <w:br/>
      </w:r>
      <w:r>
        <w:rPr>
          <w:rStyle w:val="NormalTok"/>
        </w:rPr>
        <w:t xml:space="preserve">    country_count   AggregateFunction(uniq, String)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>=</w:t>
      </w:r>
      <w:r>
        <w:rPr>
          <w:rStyle w:val="NormalTok"/>
        </w:rPr>
        <w:t xml:space="preserve"> AggregatingMergeTree</w:t>
      </w:r>
      <w:r>
        <w:br/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intDiv(obs_year,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(region, indicator_code, obs_year);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MATERIALIZED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mart.indicator_region_yearly_mv</w:t>
      </w:r>
      <w:r>
        <w:br/>
      </w:r>
      <w:r>
        <w:rPr>
          <w:rStyle w:val="KeywordTok"/>
        </w:rPr>
        <w:t>TO</w:t>
      </w:r>
      <w:r>
        <w:rPr>
          <w:rStyle w:val="NormalTok"/>
        </w:rPr>
        <w:t xml:space="preserve"> mart.indicator_region_yearly </w:t>
      </w:r>
      <w:r>
        <w:rPr>
          <w:rStyle w:val="KeywordTok"/>
        </w:rPr>
        <w:t>AS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c.region                         </w:t>
      </w:r>
      <w:r>
        <w:rPr>
          <w:rStyle w:val="KeywordTok"/>
        </w:rPr>
        <w:t>AS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  o.indicator_code                 </w:t>
      </w:r>
      <w:r>
        <w:rPr>
          <w:rStyle w:val="KeywordTok"/>
        </w:rPr>
        <w:t>AS</w:t>
      </w:r>
      <w:r>
        <w:rPr>
          <w:rStyle w:val="NormalTok"/>
        </w:rPr>
        <w:t xml:space="preserve"> indicator_code,</w:t>
      </w:r>
      <w:r>
        <w:br/>
      </w:r>
      <w:r>
        <w:rPr>
          <w:rStyle w:val="NormalTok"/>
        </w:rPr>
        <w:t xml:space="preserve">    o.obs_year                       </w:t>
      </w:r>
      <w:r>
        <w:rPr>
          <w:rStyle w:val="KeywordTok"/>
        </w:rPr>
        <w:t>AS</w:t>
      </w:r>
      <w:r>
        <w:rPr>
          <w:rStyle w:val="NormalTok"/>
        </w:rPr>
        <w:t xml:space="preserve"> obs_year,</w:t>
      </w:r>
      <w:r>
        <w:br/>
      </w:r>
      <w:r>
        <w:rPr>
          <w:rStyle w:val="NormalTok"/>
        </w:rPr>
        <w:t xml:space="preserve">    avgState(o.obs_value)            </w:t>
      </w:r>
      <w:r>
        <w:rPr>
          <w:rStyle w:val="KeywordTok"/>
        </w:rPr>
        <w:t>AS</w:t>
      </w:r>
      <w:r>
        <w:rPr>
          <w:rStyle w:val="NormalTok"/>
        </w:rPr>
        <w:t xml:space="preserve"> avg_value,</w:t>
      </w:r>
      <w:r>
        <w:br/>
      </w:r>
      <w:r>
        <w:rPr>
          <w:rStyle w:val="NormalTok"/>
        </w:rPr>
        <w:t xml:space="preserve">    sumState(o.obs_value)           </w:t>
      </w:r>
      <w:r>
        <w:rPr>
          <w:rStyle w:val="KeywordTok"/>
        </w:rPr>
        <w:t>AS</w:t>
      </w:r>
      <w:r>
        <w:rPr>
          <w:rStyle w:val="NormalTok"/>
        </w:rPr>
        <w:t xml:space="preserve"> sum_value,</w:t>
      </w:r>
      <w:r>
        <w:br/>
      </w:r>
      <w:r>
        <w:rPr>
          <w:rStyle w:val="NormalTok"/>
        </w:rPr>
        <w:t xml:space="preserve">    uniqState(o.country_code)       </w:t>
      </w:r>
      <w:r>
        <w:rPr>
          <w:rStyle w:val="KeywordTok"/>
        </w:rPr>
        <w:t>AS</w:t>
      </w:r>
      <w:r>
        <w:rPr>
          <w:rStyle w:val="NormalTok"/>
        </w:rPr>
        <w:t xml:space="preserve"> country_count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staging.stg_indicator_observations </w:t>
      </w:r>
      <w:r>
        <w:rPr>
          <w:rStyle w:val="KeywordTok"/>
        </w:rPr>
        <w:t>AS</w:t>
      </w:r>
      <w:r>
        <w:rPr>
          <w:rStyle w:val="NormalTok"/>
        </w:rPr>
        <w:t xml:space="preserve"> o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staging.stg_countries </w:t>
      </w:r>
      <w:r>
        <w:rPr>
          <w:rStyle w:val="KeywordTok"/>
        </w:rPr>
        <w:t>AS</w:t>
      </w:r>
      <w:r>
        <w:rPr>
          <w:rStyle w:val="NormalTok"/>
        </w:rPr>
        <w:t xml:space="preserve"> c </w:t>
      </w:r>
      <w:r>
        <w:rPr>
          <w:rStyle w:val="KeywordTok"/>
        </w:rPr>
        <w:t>USING</w:t>
      </w:r>
      <w:r>
        <w:rPr>
          <w:rStyle w:val="NormalTok"/>
        </w:rPr>
        <w:t xml:space="preserve"> (country_code)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region, indicator_code, obs_year;</w:t>
      </w:r>
    </w:p>
    <w:p w14:paraId="39739360" w14:textId="77777777" w:rsidR="00DE0054" w:rsidRDefault="00000000">
      <w:pPr>
        <w:pStyle w:val="Compact"/>
        <w:numPr>
          <w:ilvl w:val="0"/>
          <w:numId w:val="3"/>
        </w:numPr>
      </w:pPr>
      <w:r>
        <w:rPr>
          <w:b/>
        </w:rPr>
        <w:t>Materialized views:</w:t>
      </w:r>
      <w:r>
        <w:t xml:space="preserve"> regional/income-group rollups are computed </w:t>
      </w:r>
      <w:r>
        <w:rPr>
          <w:b/>
        </w:rPr>
        <w:t>incrementally at insert time</w:t>
      </w:r>
      <w:r>
        <w:t xml:space="preserve"> by an </w:t>
      </w:r>
      <w:r>
        <w:rPr>
          <w:rStyle w:val="VerbatimChar"/>
        </w:rPr>
        <w:t>AggregatingMergeTree</w:t>
      </w:r>
      <w:r>
        <w:t xml:space="preserve">-backed MV, so dashboards read tiny pre-aggregated tables instead of scanning the full observation history. Queries finalize aggregate states with the </w:t>
      </w:r>
      <w:r>
        <w:rPr>
          <w:rStyle w:val="VerbatimChar"/>
        </w:rPr>
        <w:t>-Merge</w:t>
      </w:r>
      <w:r>
        <w:t xml:space="preserve"> combinators (or </w:t>
      </w:r>
      <w:r>
        <w:rPr>
          <w:rStyle w:val="VerbatimChar"/>
        </w:rPr>
        <w:t>FINAL</w:t>
      </w:r>
      <w:r>
        <w:t>).</w:t>
      </w:r>
    </w:p>
    <w:p w14:paraId="21E99DDF" w14:textId="77777777" w:rsidR="00DE0054" w:rsidRDefault="00000000">
      <w:pPr>
        <w:pStyle w:val="Compact"/>
        <w:numPr>
          <w:ilvl w:val="0"/>
          <w:numId w:val="3"/>
        </w:numPr>
      </w:pPr>
      <w:r>
        <w:rPr>
          <w:b/>
        </w:rPr>
        <w:t>Why not compute on read:</w:t>
      </w:r>
      <w:r>
        <w:t xml:space="preserve"> aggregating the full fact per dashboard load is wasteful at scale; MVs shift the cost to write time (once) and keep reads O(regions × years) rather than O(observations).</w:t>
      </w:r>
    </w:p>
    <w:p w14:paraId="1A5A3F3E" w14:textId="77777777" w:rsidR="00DE0054" w:rsidRDefault="00000000">
      <w:pPr>
        <w:pStyle w:val="Compact"/>
        <w:numPr>
          <w:ilvl w:val="0"/>
          <w:numId w:val="3"/>
        </w:numPr>
      </w:pPr>
      <w:r>
        <w:rPr>
          <w:b/>
        </w:rPr>
        <w:t>Projections (optional):</w:t>
      </w:r>
      <w:r>
        <w:t xml:space="preserve"> for an alternate access path (e.g. “top countries by an indicator in year Y”), a projection provides a second physical ordering without a second table.</w:t>
      </w:r>
    </w:p>
    <w:p w14:paraId="1338EF17" w14:textId="77777777" w:rsidR="00DE0054" w:rsidRDefault="00000000">
      <w:pPr>
        <w:pStyle w:val="FirstParagraph"/>
      </w:pPr>
      <w:r>
        <w:rPr>
          <w:b/>
        </w:rPr>
        <w:t>Analytics-ready fact.</w:t>
      </w:r>
      <w:r>
        <w:t xml:space="preserve"> </w:t>
      </w:r>
      <w:r>
        <w:rPr>
          <w:rStyle w:val="VerbatimChar"/>
        </w:rPr>
        <w:t>mart.indicator_country_yearly</w:t>
      </w:r>
      <w:r>
        <w:t xml:space="preserve"> (a dbt model, </w:t>
      </w:r>
      <w:r>
        <w:rPr>
          <w:rStyle w:val="VerbatimChar"/>
        </w:rPr>
        <w:t>MergeTree</w:t>
      </w:r>
      <w:r>
        <w:t xml:space="preserve"> ordered by </w:t>
      </w:r>
      <w:r>
        <w:rPr>
          <w:rStyle w:val="VerbatimChar"/>
        </w:rPr>
        <w:t>(indicator_code, country_code, obs_year)</w:t>
      </w:r>
      <w:r>
        <w:t>) denormalizes country attributes (region, income level) onto the fact and adds derived metrics such as year-over-year growth — the primary table for BI queries.</w:t>
      </w:r>
    </w:p>
    <w:p w14:paraId="0A38F65D" w14:textId="77777777" w:rsidR="00DE0054" w:rsidRDefault="00000000">
      <w:pPr>
        <w:pStyle w:val="BodyText"/>
      </w:pPr>
      <w:r>
        <w:rPr>
          <w:b/>
        </w:rPr>
        <w:t>ML-ready table.</w:t>
      </w:r>
      <w:r>
        <w:t xml:space="preserve"> </w:t>
      </w:r>
      <w:r>
        <w:rPr>
          <w:rStyle w:val="VerbatimChar"/>
        </w:rPr>
        <w:t>mart.ml_country_features</w:t>
      </w:r>
      <w:r>
        <w:t xml:space="preserve"> (a dbt incremental model, </w:t>
      </w:r>
      <w:r>
        <w:rPr>
          <w:rStyle w:val="VerbatimChar"/>
        </w:rPr>
        <w:t>MergeTree</w:t>
      </w:r>
      <w:r>
        <w:t xml:space="preserve"> ordered by </w:t>
      </w:r>
      <w:r>
        <w:rPr>
          <w:rStyle w:val="VerbatimChar"/>
        </w:rPr>
        <w:t>(country_code, obs_year)</w:t>
      </w:r>
      <w:r>
        <w:t>) materializes point-in-time features (CAGR, YoY growth, rank within region, value z-score) with no leakage, ready for a feature store or direct training pulls.</w:t>
      </w:r>
    </w:p>
    <w:p w14:paraId="464FF952" w14:textId="77777777" w:rsidR="00DE0054" w:rsidRDefault="00000000">
      <w:pPr>
        <w:pStyle w:val="Heading1"/>
      </w:pPr>
      <w:bookmarkStart w:id="7" w:name="observability-design"/>
      <w:r>
        <w:t>5. Observability Design</w:t>
      </w:r>
      <w:bookmarkEnd w:id="7"/>
    </w:p>
    <w:p w14:paraId="051C86B9" w14:textId="77777777" w:rsidR="00DE0054" w:rsidRDefault="00000000">
      <w:pPr>
        <w:pStyle w:val="FirstParagraph"/>
      </w:pPr>
      <w:r>
        <w:t xml:space="preserve">Observability covers </w:t>
      </w:r>
      <w:r>
        <w:rPr>
          <w:b/>
        </w:rPr>
        <w:t>data health</w:t>
      </w:r>
      <w:r>
        <w:t xml:space="preserve"> (is the data correct, fresh, complete?) and </w:t>
      </w:r>
      <w:r>
        <w:rPr>
          <w:b/>
        </w:rPr>
        <w:t>platform health</w:t>
      </w:r>
      <w:r>
        <w:t xml:space="preserve"> (are the services up and performant?). Metrics flow Prometheus → Grafana </w:t>
      </w:r>
      <w:r>
        <w:lastRenderedPageBreak/>
        <w:t>(dashboards + alert rules) → n8n (routing/business logic) → email fan-out to on-call inboxes.</w:t>
      </w:r>
    </w:p>
    <w:p w14:paraId="32692912" w14:textId="77777777" w:rsidR="00DE0054" w:rsidRDefault="00000000">
      <w:pPr>
        <w:pStyle w:val="Heading2"/>
      </w:pPr>
      <w:bookmarkStart w:id="8" w:name="what-is-monitored"/>
      <w:r>
        <w:t>What is monitored</w:t>
      </w:r>
      <w:bookmarkEnd w:id="8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699"/>
        <w:gridCol w:w="4542"/>
        <w:gridCol w:w="3119"/>
      </w:tblGrid>
      <w:tr w:rsidR="00DE0054" w14:paraId="1FE1076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759646B" w14:textId="77777777" w:rsidR="00DE0054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6E1E49" w14:textId="77777777" w:rsidR="00DE0054" w:rsidRDefault="00000000">
            <w:pPr>
              <w:pStyle w:val="Compact"/>
            </w:pPr>
            <w:r>
              <w:t>Signals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8C9FF4" w14:textId="77777777" w:rsidR="00DE0054" w:rsidRDefault="00000000">
            <w:pPr>
              <w:pStyle w:val="Compact"/>
            </w:pPr>
            <w:r>
              <w:t>Source / exporter</w:t>
            </w:r>
          </w:p>
        </w:tc>
      </w:tr>
      <w:tr w:rsidR="00DE0054" w14:paraId="0E2B8DAB" w14:textId="77777777">
        <w:tc>
          <w:tcPr>
            <w:tcW w:w="0" w:type="auto"/>
          </w:tcPr>
          <w:p w14:paraId="16E65B0E" w14:textId="77777777" w:rsidR="00DE0054" w:rsidRDefault="00000000">
            <w:pPr>
              <w:pStyle w:val="Compact"/>
            </w:pPr>
            <w:r>
              <w:rPr>
                <w:b/>
              </w:rPr>
              <w:t>Pipeline health</w:t>
            </w:r>
          </w:p>
        </w:tc>
        <w:tc>
          <w:tcPr>
            <w:tcW w:w="0" w:type="auto"/>
          </w:tcPr>
          <w:p w14:paraId="1E3FF0FE" w14:textId="77777777" w:rsidR="00DE0054" w:rsidRDefault="00000000">
            <w:pPr>
              <w:pStyle w:val="Compact"/>
            </w:pPr>
            <w:r>
              <w:t>Airflow DAG/task success/failure, task duration, retries, SLA misses</w:t>
            </w:r>
          </w:p>
        </w:tc>
        <w:tc>
          <w:tcPr>
            <w:tcW w:w="0" w:type="auto"/>
          </w:tcPr>
          <w:p w14:paraId="160D1000" w14:textId="77777777" w:rsidR="00DE0054" w:rsidRDefault="00000000">
            <w:pPr>
              <w:pStyle w:val="Compact"/>
            </w:pPr>
            <w:r>
              <w:t xml:space="preserve">Airflow StatsD → </w:t>
            </w:r>
            <w:r>
              <w:rPr>
                <w:rStyle w:val="VerbatimChar"/>
              </w:rPr>
              <w:t>statsd_exporter</w:t>
            </w:r>
            <w:r>
              <w:t>; dbt run results</w:t>
            </w:r>
          </w:p>
        </w:tc>
      </w:tr>
      <w:tr w:rsidR="00DE0054" w14:paraId="5573257B" w14:textId="77777777">
        <w:tc>
          <w:tcPr>
            <w:tcW w:w="0" w:type="auto"/>
          </w:tcPr>
          <w:p w14:paraId="37E69F68" w14:textId="77777777" w:rsidR="00DE0054" w:rsidRDefault="00000000">
            <w:pPr>
              <w:pStyle w:val="Compact"/>
            </w:pPr>
            <w:r>
              <w:rPr>
                <w:b/>
              </w:rPr>
              <w:t>Data freshness</w:t>
            </w:r>
          </w:p>
        </w:tc>
        <w:tc>
          <w:tcPr>
            <w:tcW w:w="0" w:type="auto"/>
          </w:tcPr>
          <w:p w14:paraId="257E1ACC" w14:textId="77777777" w:rsidR="00DE0054" w:rsidRDefault="00000000">
            <w:pPr>
              <w:pStyle w:val="Compact"/>
            </w:pPr>
            <w:r>
              <w:rPr>
                <w:rStyle w:val="VerbatimChar"/>
              </w:rPr>
              <w:t>now() − max(ingested_at)</w:t>
            </w:r>
            <w:r>
              <w:t xml:space="preserve"> per table; dbt </w:t>
            </w:r>
            <w:r>
              <w:rPr>
                <w:rStyle w:val="VerbatimChar"/>
              </w:rPr>
              <w:t>source freshness</w:t>
            </w:r>
          </w:p>
        </w:tc>
        <w:tc>
          <w:tcPr>
            <w:tcW w:w="0" w:type="auto"/>
          </w:tcPr>
          <w:p w14:paraId="71D6B88E" w14:textId="77777777" w:rsidR="00DE0054" w:rsidRDefault="00000000">
            <w:pPr>
              <w:pStyle w:val="Compact"/>
            </w:pPr>
            <w:r>
              <w:t>Custom ClickHouse exporter / Pushgateway</w:t>
            </w:r>
          </w:p>
        </w:tc>
      </w:tr>
      <w:tr w:rsidR="00DE0054" w14:paraId="7E67C8DB" w14:textId="77777777">
        <w:tc>
          <w:tcPr>
            <w:tcW w:w="0" w:type="auto"/>
          </w:tcPr>
          <w:p w14:paraId="3D71D04D" w14:textId="77777777" w:rsidR="00DE0054" w:rsidRDefault="00000000">
            <w:pPr>
              <w:pStyle w:val="Compact"/>
            </w:pPr>
            <w:r>
              <w:rPr>
                <w:b/>
              </w:rPr>
              <w:t>CDC lag</w:t>
            </w:r>
          </w:p>
        </w:tc>
        <w:tc>
          <w:tcPr>
            <w:tcW w:w="0" w:type="auto"/>
          </w:tcPr>
          <w:p w14:paraId="5250F409" w14:textId="77777777" w:rsidR="00DE0054" w:rsidRDefault="00000000">
            <w:pPr>
              <w:pStyle w:val="Compact"/>
            </w:pPr>
            <w:r>
              <w:t xml:space="preserve">Debezium </w:t>
            </w:r>
            <w:r>
              <w:rPr>
                <w:rStyle w:val="VerbatimChar"/>
              </w:rPr>
              <w:t>MilliSecondsBehindSource</w:t>
            </w:r>
            <w:r>
              <w:t>, Kafka Connect task state; Kafka consumer-group lag; Postgres replication-slot lag</w:t>
            </w:r>
          </w:p>
        </w:tc>
        <w:tc>
          <w:tcPr>
            <w:tcW w:w="0" w:type="auto"/>
          </w:tcPr>
          <w:p w14:paraId="06AEE3DA" w14:textId="77777777" w:rsidR="00DE0054" w:rsidRDefault="00000000">
            <w:pPr>
              <w:pStyle w:val="Compact"/>
            </w:pPr>
            <w:r>
              <w:t xml:space="preserve">Kafka Connect JMX exporter; </w:t>
            </w:r>
            <w:r>
              <w:rPr>
                <w:rStyle w:val="VerbatimChar"/>
              </w:rPr>
              <w:t>kafka_exporter</w:t>
            </w:r>
            <w:r>
              <w:t xml:space="preserve"> / Burrow; </w:t>
            </w:r>
            <w:r>
              <w:rPr>
                <w:rStyle w:val="VerbatimChar"/>
              </w:rPr>
              <w:t>postgres_exporter</w:t>
            </w:r>
          </w:p>
        </w:tc>
      </w:tr>
      <w:tr w:rsidR="00DE0054" w14:paraId="466B61C8" w14:textId="77777777">
        <w:tc>
          <w:tcPr>
            <w:tcW w:w="0" w:type="auto"/>
          </w:tcPr>
          <w:p w14:paraId="6E916F45" w14:textId="77777777" w:rsidR="00DE0054" w:rsidRDefault="00000000">
            <w:pPr>
              <w:pStyle w:val="Compact"/>
            </w:pPr>
            <w:r>
              <w:rPr>
                <w:b/>
              </w:rPr>
              <w:t>Throughput / volume</w:t>
            </w:r>
          </w:p>
        </w:tc>
        <w:tc>
          <w:tcPr>
            <w:tcW w:w="0" w:type="auto"/>
          </w:tcPr>
          <w:p w14:paraId="5C6691B1" w14:textId="77777777" w:rsidR="00DE0054" w:rsidRDefault="00000000">
            <w:pPr>
              <w:pStyle w:val="Compact"/>
            </w:pPr>
            <w:r>
              <w:t>Rows ingested, Kafka messages/sec per topic, rows written to ClickHouse</w:t>
            </w:r>
          </w:p>
        </w:tc>
        <w:tc>
          <w:tcPr>
            <w:tcW w:w="0" w:type="auto"/>
          </w:tcPr>
          <w:p w14:paraId="65F0153B" w14:textId="77777777" w:rsidR="00DE0054" w:rsidRDefault="00000000">
            <w:pPr>
              <w:pStyle w:val="Compact"/>
            </w:pPr>
            <w:r>
              <w:t xml:space="preserve">Ingestion app metrics; Kafka JMX; ClickHouse </w:t>
            </w:r>
            <w:r>
              <w:rPr>
                <w:rStyle w:val="VerbatimChar"/>
              </w:rPr>
              <w:t>system.*</w:t>
            </w:r>
          </w:p>
        </w:tc>
      </w:tr>
      <w:tr w:rsidR="00DE0054" w14:paraId="23DAC93B" w14:textId="77777777">
        <w:tc>
          <w:tcPr>
            <w:tcW w:w="0" w:type="auto"/>
          </w:tcPr>
          <w:p w14:paraId="20931E55" w14:textId="77777777" w:rsidR="00DE0054" w:rsidRDefault="00000000">
            <w:pPr>
              <w:pStyle w:val="Compact"/>
            </w:pPr>
            <w:r>
              <w:rPr>
                <w:b/>
              </w:rPr>
              <w:t>Resource usage</w:t>
            </w:r>
          </w:p>
        </w:tc>
        <w:tc>
          <w:tcPr>
            <w:tcW w:w="0" w:type="auto"/>
          </w:tcPr>
          <w:p w14:paraId="46FF7334" w14:textId="77777777" w:rsidR="00DE0054" w:rsidRDefault="00000000">
            <w:pPr>
              <w:pStyle w:val="Compact"/>
            </w:pPr>
            <w:r>
              <w:t>CPU, memory, disk, IO per container/host; ClickHouse merges, parts count, memory</w:t>
            </w:r>
          </w:p>
        </w:tc>
        <w:tc>
          <w:tcPr>
            <w:tcW w:w="0" w:type="auto"/>
          </w:tcPr>
          <w:p w14:paraId="50F360F0" w14:textId="77777777" w:rsidR="00DE0054" w:rsidRDefault="00000000">
            <w:pPr>
              <w:pStyle w:val="Compact"/>
            </w:pPr>
            <w:r>
              <w:rPr>
                <w:rStyle w:val="VerbatimChar"/>
              </w:rPr>
              <w:t>node_exporter</w:t>
            </w:r>
            <w:r>
              <w:t xml:space="preserve">, </w:t>
            </w:r>
            <w:r>
              <w:rPr>
                <w:rStyle w:val="VerbatimChar"/>
              </w:rPr>
              <w:t>cAdvisor</w:t>
            </w:r>
            <w:r>
              <w:t>, ClickHouse exporter</w:t>
            </w:r>
          </w:p>
        </w:tc>
      </w:tr>
      <w:tr w:rsidR="00DE0054" w14:paraId="0C68629A" w14:textId="77777777">
        <w:tc>
          <w:tcPr>
            <w:tcW w:w="0" w:type="auto"/>
          </w:tcPr>
          <w:p w14:paraId="1B66A172" w14:textId="77777777" w:rsidR="00DE0054" w:rsidRDefault="00000000">
            <w:pPr>
              <w:pStyle w:val="Compact"/>
            </w:pPr>
            <w:r>
              <w:rPr>
                <w:b/>
              </w:rPr>
              <w:t>Data quality</w:t>
            </w:r>
          </w:p>
        </w:tc>
        <w:tc>
          <w:tcPr>
            <w:tcW w:w="0" w:type="auto"/>
          </w:tcPr>
          <w:p w14:paraId="4B4C510E" w14:textId="77777777" w:rsidR="00DE0054" w:rsidRDefault="00000000">
            <w:pPr>
              <w:pStyle w:val="Compact"/>
            </w:pPr>
            <w:r>
              <w:t>dbt test pass/fail, Great Expectations checkpoint results, reconciliation counts</w:t>
            </w:r>
          </w:p>
        </w:tc>
        <w:tc>
          <w:tcPr>
            <w:tcW w:w="0" w:type="auto"/>
          </w:tcPr>
          <w:p w14:paraId="49CE5A3B" w14:textId="77777777" w:rsidR="00DE0054" w:rsidRDefault="00000000">
            <w:pPr>
              <w:pStyle w:val="Compact"/>
            </w:pPr>
            <w:r>
              <w:t>dbt artifacts, GE → Pushgateway</w:t>
            </w:r>
          </w:p>
        </w:tc>
      </w:tr>
      <w:tr w:rsidR="00DE0054" w14:paraId="2196F287" w14:textId="77777777">
        <w:tc>
          <w:tcPr>
            <w:tcW w:w="0" w:type="auto"/>
          </w:tcPr>
          <w:p w14:paraId="1B9B6745" w14:textId="77777777" w:rsidR="00DE0054" w:rsidRDefault="00000000">
            <w:pPr>
              <w:pStyle w:val="Compact"/>
            </w:pPr>
            <w:r>
              <w:rPr>
                <w:b/>
              </w:rPr>
              <w:t>Service up/down</w:t>
            </w:r>
          </w:p>
        </w:tc>
        <w:tc>
          <w:tcPr>
            <w:tcW w:w="0" w:type="auto"/>
          </w:tcPr>
          <w:p w14:paraId="33D573D2" w14:textId="77777777" w:rsidR="00DE0054" w:rsidRDefault="00000000">
            <w:pPr>
              <w:pStyle w:val="Compact"/>
            </w:pPr>
            <w:r>
              <w:t>Liveness of Postgres, Kafka, Debezium, ClickHouse, Airflow, dbt</w:t>
            </w:r>
          </w:p>
        </w:tc>
        <w:tc>
          <w:tcPr>
            <w:tcW w:w="0" w:type="auto"/>
          </w:tcPr>
          <w:p w14:paraId="1EC90A25" w14:textId="77777777" w:rsidR="00DE0054" w:rsidRDefault="00000000">
            <w:pPr>
              <w:pStyle w:val="Compact"/>
            </w:pPr>
            <w:r>
              <w:t xml:space="preserve">Prometheus </w:t>
            </w:r>
            <w:r>
              <w:rPr>
                <w:rStyle w:val="VerbatimChar"/>
              </w:rPr>
              <w:t>up</w:t>
            </w:r>
            <w:r>
              <w:t>, blackbox probes</w:t>
            </w:r>
          </w:p>
        </w:tc>
      </w:tr>
    </w:tbl>
    <w:p w14:paraId="36E2EAA7" w14:textId="77777777" w:rsidR="00DE0054" w:rsidRDefault="00000000">
      <w:pPr>
        <w:pStyle w:val="Heading2"/>
      </w:pPr>
      <w:bookmarkStart w:id="9" w:name="alerting-examples-grafana-n8n-email"/>
      <w:r>
        <w:t>Alerting examples (Grafana → n8n → email)</w:t>
      </w:r>
      <w:bookmarkEnd w:id="9"/>
    </w:p>
    <w:p w14:paraId="3A50D8B1" w14:textId="77777777" w:rsidR="00DE0054" w:rsidRDefault="00000000">
      <w:pPr>
        <w:pStyle w:val="Compact"/>
        <w:numPr>
          <w:ilvl w:val="0"/>
          <w:numId w:val="4"/>
        </w:numPr>
      </w:pPr>
      <w:r>
        <w:rPr>
          <w:b/>
        </w:rPr>
        <w:t>CDC lag</w:t>
      </w:r>
      <w:r>
        <w:t xml:space="preserve"> </w:t>
      </w:r>
      <w:r>
        <w:rPr>
          <w:rStyle w:val="VerbatimChar"/>
        </w:rPr>
        <w:t>MilliSecondsBehindSource &gt; 60s for 5m</w:t>
      </w:r>
      <w:r>
        <w:t xml:space="preserve"> → warn; </w:t>
      </w:r>
      <w:r>
        <w:rPr>
          <w:rStyle w:val="VerbatimChar"/>
        </w:rPr>
        <w:t>&gt; 5m</w:t>
      </w:r>
      <w:r>
        <w:t xml:space="preserve"> → page on-call.</w:t>
      </w:r>
    </w:p>
    <w:p w14:paraId="4A95D7D7" w14:textId="77777777" w:rsidR="00DE0054" w:rsidRDefault="00000000">
      <w:pPr>
        <w:pStyle w:val="Compact"/>
        <w:numPr>
          <w:ilvl w:val="0"/>
          <w:numId w:val="4"/>
        </w:numPr>
      </w:pPr>
      <w:r>
        <w:rPr>
          <w:b/>
        </w:rPr>
        <w:t>Freshness</w:t>
      </w:r>
      <w:r>
        <w:t xml:space="preserve"> no new rows in </w:t>
      </w:r>
      <w:r>
        <w:rPr>
          <w:rStyle w:val="VerbatimChar"/>
        </w:rPr>
        <w:t>stg_indicator_observations</w:t>
      </w:r>
      <w:r>
        <w:t xml:space="preserve"> after a scheduled ingestion window → alert analytics + on-call.</w:t>
      </w:r>
    </w:p>
    <w:p w14:paraId="71862F44" w14:textId="77777777" w:rsidR="00DE0054" w:rsidRDefault="00000000">
      <w:pPr>
        <w:pStyle w:val="Compact"/>
        <w:numPr>
          <w:ilvl w:val="0"/>
          <w:numId w:val="4"/>
        </w:numPr>
      </w:pPr>
      <w:r>
        <w:rPr>
          <w:b/>
        </w:rPr>
        <w:t>Pipeline</w:t>
      </w:r>
      <w:r>
        <w:t xml:space="preserve"> any Airflow task </w:t>
      </w:r>
      <w:r>
        <w:rPr>
          <w:rStyle w:val="VerbatimChar"/>
        </w:rPr>
        <w:t>failed</w:t>
      </w:r>
      <w:r>
        <w:t xml:space="preserve"> or dbt test </w:t>
      </w:r>
      <w:r>
        <w:rPr>
          <w:rStyle w:val="VerbatimChar"/>
        </w:rPr>
        <w:t>error</w:t>
      </w:r>
      <w:r>
        <w:t xml:space="preserve"> → alert with DAG/model context.</w:t>
      </w:r>
    </w:p>
    <w:p w14:paraId="43D02D94" w14:textId="77777777" w:rsidR="00DE0054" w:rsidRDefault="00000000">
      <w:pPr>
        <w:pStyle w:val="Compact"/>
        <w:numPr>
          <w:ilvl w:val="0"/>
          <w:numId w:val="4"/>
        </w:numPr>
      </w:pPr>
      <w:r>
        <w:rPr>
          <w:b/>
        </w:rPr>
        <w:t>Resource</w:t>
      </w:r>
      <w:r>
        <w:t xml:space="preserve"> ClickHouse </w:t>
      </w:r>
      <w:r>
        <w:rPr>
          <w:rStyle w:val="VerbatimChar"/>
        </w:rPr>
        <w:t>parts_to_throw_insert</w:t>
      </w:r>
      <w:r>
        <w:t xml:space="preserve"> approaching limit, or disk &gt; 85% → alert platform.</w:t>
      </w:r>
    </w:p>
    <w:p w14:paraId="24715392" w14:textId="77777777" w:rsidR="00DE0054" w:rsidRDefault="00000000">
      <w:pPr>
        <w:pStyle w:val="FirstParagraph"/>
      </w:pPr>
      <w:r>
        <w:t>n8n applies routing/de-duplication/formatting and dispatches via Mailgun/SMTP so the right team gets a clean, contextual email rather than raw firing alerts.</w:t>
      </w:r>
    </w:p>
    <w:p w14:paraId="2A9FC27C" w14:textId="77777777" w:rsidR="00DE0054" w:rsidRDefault="00000000">
      <w:pPr>
        <w:pStyle w:val="Heading2"/>
      </w:pPr>
      <w:bookmarkStart w:id="10" w:name="why-these-tools"/>
      <w:r>
        <w:t>Why these tools</w:t>
      </w:r>
      <w:bookmarkEnd w:id="10"/>
    </w:p>
    <w:p w14:paraId="4DF4DC99" w14:textId="77777777" w:rsidR="00DE0054" w:rsidRDefault="00000000">
      <w:pPr>
        <w:pStyle w:val="Compact"/>
        <w:numPr>
          <w:ilvl w:val="0"/>
          <w:numId w:val="5"/>
        </w:numPr>
      </w:pPr>
      <w:r>
        <w:rPr>
          <w:b/>
        </w:rPr>
        <w:t>Prometheus</w:t>
      </w:r>
      <w:r>
        <w:t xml:space="preserve"> — pull-based scraping, a mature exporter ecosystem for every component here (Postgres, Kafka, ClickHouse, node, cAdvisor, Airflow via StatsD), PromQL for flexible SLO queries, and cheap to run in Compose.</w:t>
      </w:r>
    </w:p>
    <w:p w14:paraId="45BFB359" w14:textId="77777777" w:rsidR="00DE0054" w:rsidRDefault="00000000">
      <w:pPr>
        <w:pStyle w:val="Compact"/>
        <w:numPr>
          <w:ilvl w:val="0"/>
          <w:numId w:val="5"/>
        </w:numPr>
      </w:pPr>
      <w:r>
        <w:rPr>
          <w:b/>
        </w:rPr>
        <w:t>Grafana</w:t>
      </w:r>
      <w:r>
        <w:t xml:space="preserve"> — first-class Prometheus support, reusable dashboards, and built-in alerting with contact points → natural webhook hand-off to n8n.</w:t>
      </w:r>
    </w:p>
    <w:p w14:paraId="66502809" w14:textId="77777777" w:rsidR="00DE0054" w:rsidRDefault="00000000">
      <w:pPr>
        <w:pStyle w:val="Compact"/>
        <w:numPr>
          <w:ilvl w:val="0"/>
          <w:numId w:val="5"/>
        </w:numPr>
      </w:pPr>
      <w:r>
        <w:rPr>
          <w:b/>
        </w:rPr>
        <w:lastRenderedPageBreak/>
        <w:t>n8n</w:t>
      </w:r>
      <w:r>
        <w:t xml:space="preserve"> — decouples </w:t>
      </w:r>
      <w:r>
        <w:rPr>
          <w:i/>
        </w:rPr>
        <w:t>alert generation</w:t>
      </w:r>
      <w:r>
        <w:t xml:space="preserve"> from </w:t>
      </w:r>
      <w:r>
        <w:rPr>
          <w:i/>
        </w:rPr>
        <w:t>notification logic</w:t>
      </w:r>
      <w:r>
        <w:t>: business rules, throttling, and multi-channel fan-out live in one automation layer instead of being hard-coded per tool.</w:t>
      </w:r>
    </w:p>
    <w:p w14:paraId="2C1CBEC8" w14:textId="77777777" w:rsidR="00DE0054" w:rsidRDefault="00000000">
      <w:pPr>
        <w:pStyle w:val="Compact"/>
        <w:numPr>
          <w:ilvl w:val="0"/>
          <w:numId w:val="5"/>
        </w:numPr>
      </w:pPr>
      <w:r>
        <w:rPr>
          <w:b/>
        </w:rPr>
        <w:t>dbt tests + Great Expectations</w:t>
      </w:r>
      <w:r>
        <w:t xml:space="preserve"> — dbt tests gate the transformation graph (not-null, unique, relationships, accepted-values, freshness); GE adds richer distribution/expectation checks. Failures become metrics, closing the loop between data quality and alerting.</w:t>
      </w:r>
    </w:p>
    <w:p w14:paraId="65CFCC81" w14:textId="77777777" w:rsidR="00DE0054" w:rsidRDefault="00000000">
      <w:pPr>
        <w:pStyle w:val="Heading1"/>
      </w:pPr>
      <w:bookmarkStart w:id="11" w:name="scaling-extension"/>
      <w:r>
        <w:t>6. Scaling &amp; Extension</w:t>
      </w:r>
      <w:bookmarkEnd w:id="11"/>
    </w:p>
    <w:p w14:paraId="6FE56680" w14:textId="77777777" w:rsidR="00DE0054" w:rsidRDefault="00000000">
      <w:pPr>
        <w:pStyle w:val="FirstParagraph"/>
      </w:pPr>
      <w:r>
        <w:t>The design scales along four axes without re-architecture.</w:t>
      </w:r>
    </w:p>
    <w:p w14:paraId="4E9A1D15" w14:textId="77777777" w:rsidR="00DE0054" w:rsidRDefault="00000000">
      <w:pPr>
        <w:pStyle w:val="BodyText"/>
      </w:pPr>
      <w:r>
        <w:rPr>
          <w:b/>
        </w:rPr>
        <w:t>1. Ingestion &amp; sources.</w:t>
      </w:r>
      <w:r>
        <w:t xml:space="preserve"> Parallelize API pulls with async workers and rate-limit backoff; add new indicators or entirely new sources by dropping in new ingestion tasks and Kafka topics. Use incremental cursors (</w:t>
      </w:r>
      <w:r>
        <w:rPr>
          <w:rStyle w:val="VerbatimChar"/>
        </w:rPr>
        <w:t>lastupdated</w:t>
      </w:r>
      <w:r>
        <w:t xml:space="preserve"> on the World Bank endpoints) to pull only changed series. Airflow </w:t>
      </w:r>
      <w:r>
        <w:rPr>
          <w:b/>
        </w:rPr>
        <w:t>dynamic task mapping</w:t>
      </w:r>
      <w:r>
        <w:t xml:space="preserve"> fans ingestion across many country/indicator combinations.</w:t>
      </w:r>
    </w:p>
    <w:p w14:paraId="095A8DB7" w14:textId="0849BC27" w:rsidR="00DE0054" w:rsidRDefault="00000000">
      <w:pPr>
        <w:pStyle w:val="BodyText"/>
      </w:pPr>
      <w:r>
        <w:rPr>
          <w:b/>
        </w:rPr>
        <w:t>2. CDC &amp; streaming.</w:t>
      </w:r>
      <w:r>
        <w:t xml:space="preserve"> Scale Kafka horizontally (more partitions keyed by primary key preserves per-key ordering) and run multiple Kafka Connect workers for Debezium throughput. Add a </w:t>
      </w:r>
      <w:r>
        <w:rPr>
          <w:b/>
        </w:rPr>
        <w:t>schema registry</w:t>
      </w:r>
      <w:r>
        <w:t xml:space="preserve"> (Avro) for safe schema evolution, and </w:t>
      </w:r>
      <w:r>
        <w:rPr>
          <w:b/>
        </w:rPr>
        <w:t>dead-letter topics</w:t>
      </w:r>
      <w:r>
        <w:t xml:space="preserve"> for poison messages. Consumer-group lag metrics drive autoscaling of consumers.</w:t>
      </w:r>
    </w:p>
    <w:p w14:paraId="71FB6C36" w14:textId="77777777" w:rsidR="00DE0054" w:rsidRDefault="00000000">
      <w:pPr>
        <w:pStyle w:val="BodyText"/>
      </w:pPr>
      <w:r>
        <w:rPr>
          <w:b/>
        </w:rPr>
        <w:t>3. ClickHouse storage &amp; compute.</w:t>
      </w:r>
      <w:r>
        <w:t xml:space="preserve"> Move from single-node to a </w:t>
      </w:r>
      <w:r>
        <w:rPr>
          <w:b/>
        </w:rPr>
        <w:t>sharded + replicated</w:t>
      </w:r>
      <w:r>
        <w:t xml:space="preserve"> cluster: </w:t>
      </w:r>
      <w:r>
        <w:rPr>
          <w:rStyle w:val="VerbatimChar"/>
        </w:rPr>
        <w:t>ReplicatedMergeTree</w:t>
      </w:r>
      <w:r>
        <w:t xml:space="preserve"> tables coordinated by ClickHouse Keeper, fronted by </w:t>
      </w:r>
      <w:r>
        <w:rPr>
          <w:rStyle w:val="VerbatimChar"/>
        </w:rPr>
        <w:t>Distributed</w:t>
      </w:r>
      <w:r>
        <w:t xml:space="preserve"> tables to spread writes/reads. Adopt </w:t>
      </w:r>
      <w:r>
        <w:rPr>
          <w:b/>
        </w:rPr>
        <w:t>tiered storage</w:t>
      </w:r>
      <w:r>
        <w:t xml:space="preserve"> (hot SSD → cold object storage/S3) with </w:t>
      </w:r>
      <w:r>
        <w:rPr>
          <w:rStyle w:val="VerbatimChar"/>
        </w:rPr>
        <w:t>TTL … TO VOLUME</w:t>
      </w:r>
      <w:r>
        <w:t xml:space="preserve"> to keep hot data small while retaining history cheaply. Use </w:t>
      </w:r>
      <w:r>
        <w:rPr>
          <w:b/>
        </w:rPr>
        <w:t>async inserts</w:t>
      </w:r>
      <w:r>
        <w:t xml:space="preserve"> or </w:t>
      </w:r>
      <w:r>
        <w:rPr>
          <w:b/>
        </w:rPr>
        <w:t>Buffer</w:t>
      </w:r>
      <w:r>
        <w:t xml:space="preserve"> tables to absorb high-frequency small writes, and </w:t>
      </w:r>
      <w:r>
        <w:rPr>
          <w:b/>
        </w:rPr>
        <w:t>projections/MVs</w:t>
      </w:r>
      <w:r>
        <w:t xml:space="preserve"> to pre-compute new access patterns. Read scaling comes from adding replicas.</w:t>
      </w:r>
    </w:p>
    <w:p w14:paraId="55733F70" w14:textId="77777777" w:rsidR="00DE0054" w:rsidRDefault="00000000">
      <w:pPr>
        <w:pStyle w:val="BodyText"/>
      </w:pPr>
      <w:r>
        <w:rPr>
          <w:b/>
        </w:rPr>
        <w:t>4. Transformation &amp; orchestration.</w:t>
      </w:r>
      <w:r>
        <w:t xml:space="preserve"> dbt </w:t>
      </w:r>
      <w:r>
        <w:rPr>
          <w:b/>
        </w:rPr>
        <w:t>incremental models</w:t>
      </w:r>
      <w:r>
        <w:t xml:space="preserve"> (with </w:t>
      </w:r>
      <w:r>
        <w:rPr>
          <w:rStyle w:val="VerbatimChar"/>
        </w:rPr>
        <w:t>insert_overwrite</w:t>
      </w:r>
      <w:r>
        <w:t xml:space="preserve">/partition-aware strategies) process only new partitions; increase dbt threads for parallelism and use model selection to run subsets. Scale Airflow with the </w:t>
      </w:r>
      <w:r>
        <w:rPr>
          <w:b/>
        </w:rPr>
        <w:t>Celery</w:t>
      </w:r>
      <w:r>
        <w:t xml:space="preserve"> or </w:t>
      </w:r>
      <w:r>
        <w:rPr>
          <w:b/>
        </w:rPr>
        <w:t>Kubernetes</w:t>
      </w:r>
      <w:r>
        <w:t xml:space="preserve"> executor, deferrable operators, and pools to cap concurrency against shared resources.</w:t>
      </w:r>
    </w:p>
    <w:p w14:paraId="41559436" w14:textId="77777777" w:rsidR="00DE0054" w:rsidRDefault="00000000">
      <w:pPr>
        <w:pStyle w:val="BodyText"/>
      </w:pPr>
      <w:r>
        <w:rPr>
          <w:b/>
        </w:rPr>
        <w:t>Cross-cutting:</w:t>
      </w:r>
      <w:r>
        <w:t xml:space="preserve"> separate compute for ingestion vs. query so heavy analytics never starves the write path; downsample/roll up aged data into coarser marts; enforce idempotent loads and a documented backfill procedure so volume spikes and replays are safe. Cost and performance are tuned by partition granularity, codec selection, TTL policy, and query concurrency limits — all adjustable without changing the pipeline’s shape.</w:t>
      </w:r>
    </w:p>
    <w:p w14:paraId="79B06A06" w14:textId="77777777" w:rsidR="00856DA3" w:rsidRDefault="00856DA3"/>
    <w:sectPr w:rsidR="00856DA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46AA6" w14:textId="77777777" w:rsidR="00856DA3" w:rsidRDefault="00856DA3">
      <w:pPr>
        <w:spacing w:after="0"/>
      </w:pPr>
      <w:r>
        <w:separator/>
      </w:r>
    </w:p>
  </w:endnote>
  <w:endnote w:type="continuationSeparator" w:id="0">
    <w:p w14:paraId="0C9824FA" w14:textId="77777777" w:rsidR="00856DA3" w:rsidRDefault="00856D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4246C" w14:textId="77777777" w:rsidR="00856DA3" w:rsidRDefault="00856DA3">
      <w:r>
        <w:separator/>
      </w:r>
    </w:p>
  </w:footnote>
  <w:footnote w:type="continuationSeparator" w:id="0">
    <w:p w14:paraId="6706AFF3" w14:textId="77777777" w:rsidR="00856DA3" w:rsidRDefault="00856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4D6ACF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35EB94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1503404">
    <w:abstractNumId w:val="1"/>
  </w:num>
  <w:num w:numId="2" w16cid:durableId="911618945">
    <w:abstractNumId w:val="0"/>
  </w:num>
  <w:num w:numId="3" w16cid:durableId="676494219">
    <w:abstractNumId w:val="0"/>
  </w:num>
  <w:num w:numId="4" w16cid:durableId="2098820577">
    <w:abstractNumId w:val="0"/>
  </w:num>
  <w:num w:numId="5" w16cid:durableId="193111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21378"/>
    <w:rsid w:val="004E29B3"/>
    <w:rsid w:val="00590D07"/>
    <w:rsid w:val="007726BE"/>
    <w:rsid w:val="00784D58"/>
    <w:rsid w:val="00821832"/>
    <w:rsid w:val="00856DA3"/>
    <w:rsid w:val="008D6863"/>
    <w:rsid w:val="009907FA"/>
    <w:rsid w:val="00B86B75"/>
    <w:rsid w:val="00BC48D5"/>
    <w:rsid w:val="00C05607"/>
    <w:rsid w:val="00C36279"/>
    <w:rsid w:val="00DE0054"/>
    <w:rsid w:val="00E315A3"/>
    <w:rsid w:val="00EF1C0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89E26"/>
  <w15:docId w15:val="{499F5A1B-F375-488E-8114-7B0E9C5B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2361</Words>
  <Characters>13461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Report — End-to-End Analytics Engineering Pipeline</vt:lpstr>
    </vt:vector>
  </TitlesOfParts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Report — End-to-End Analytics Engineering Pipeline</dc:title>
  <dc:creator>Gilton Chagema</dc:creator>
  <cp:keywords/>
  <cp:lastModifiedBy>Gilton Chagema</cp:lastModifiedBy>
  <cp:revision>3</cp:revision>
  <dcterms:created xsi:type="dcterms:W3CDTF">2026-08-13T20:36:00Z</dcterms:created>
  <dcterms:modified xsi:type="dcterms:W3CDTF">2026-08-13T20:45:00Z</dcterms:modified>
</cp:coreProperties>
</file>