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1"/>
          <w:szCs w:val="21"/>
          <w:u w:val="single"/>
          <w:shd w:fill="f2f2f2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f2f2f2" w:val="clear"/>
          <w:rtl w:val="0"/>
        </w:rPr>
        <w:t xml:space="preserve">Plagiarism Declaration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"I have read and agree to the plagiarism provisions in the General Regulations of the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University Calendar 2016/2017 found at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2f2f2" w:val="clear"/>
            <w:rtl w:val="0"/>
          </w:rPr>
          <w:t xml:space="preserve">http://www.tcd.ie/calendar</w:t>
        </w:r>
      </w:hyperlink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 and</w:t>
      </w: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 have also completed the Online Tutorial on avoiding plagiarism ‘Ready Steady Write’,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located at http://tcd-ie.libguides.com/plagiarism/ready-steady-write.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Signed,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Sarah Phillips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-266699</wp:posOffset>
            </wp:positionH>
            <wp:positionV relativeFrom="paragraph">
              <wp:posOffset>9525</wp:posOffset>
            </wp:positionV>
            <wp:extent cx="744025" cy="7953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025" cy="79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cd.ie/calendar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