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FC02FE">
      <w:pPr>
        <w:spacing w:line="520" w:lineRule="exact"/>
        <w:jc w:val="center"/>
        <w:rPr>
          <w:rFonts w:hint="eastAsia" w:ascii="宋体" w:hAnsi="宋体" w:eastAsia="宋体"/>
          <w:sz w:val="28"/>
          <w:szCs w:val="28"/>
        </w:rPr>
      </w:pPr>
    </w:p>
    <w:p w14:paraId="59FC02FF">
      <w:pPr>
        <w:spacing w:line="520" w:lineRule="exact"/>
        <w:jc w:val="center"/>
        <w:rPr>
          <w:rFonts w:hint="eastAsia" w:ascii="宋体" w:hAnsi="宋体" w:eastAsia="宋体"/>
          <w:sz w:val="28"/>
          <w:szCs w:val="28"/>
        </w:rPr>
      </w:pPr>
    </w:p>
    <w:p w14:paraId="59FC0300">
      <w:pPr>
        <w:spacing w:line="720" w:lineRule="auto"/>
        <w:jc w:val="center"/>
        <w:rPr>
          <w:rFonts w:hint="eastAsia" w:ascii="宋体" w:hAnsi="宋体" w:eastAsia="宋体"/>
          <w:sz w:val="36"/>
          <w:szCs w:val="36"/>
        </w:rPr>
      </w:pPr>
      <w:r>
        <w:rPr>
          <w:rFonts w:ascii="宋体" w:hAnsi="宋体" w:eastAsia="宋体"/>
          <w:sz w:val="36"/>
          <w:szCs w:val="36"/>
        </w:rPr>
        <w:t>国防基础科研核科学挑战专题</w:t>
      </w:r>
    </w:p>
    <w:p w14:paraId="59FC0301">
      <w:pPr>
        <w:spacing w:line="720" w:lineRule="auto"/>
        <w:jc w:val="center"/>
        <w:rPr>
          <w:rFonts w:hint="eastAsia" w:ascii="宋体" w:hAnsi="宋体" w:eastAsia="宋体"/>
          <w:b/>
          <w:bCs/>
          <w:sz w:val="48"/>
          <w:szCs w:val="48"/>
        </w:rPr>
      </w:pPr>
      <w:r>
        <w:rPr>
          <w:rFonts w:ascii="宋体" w:hAnsi="宋体" w:eastAsia="宋体"/>
          <w:b/>
          <w:bCs/>
          <w:sz w:val="48"/>
          <w:szCs w:val="48"/>
        </w:rPr>
        <w:t>分承研单位中期（节点）考核报告</w:t>
      </w:r>
    </w:p>
    <w:p w14:paraId="59FC0302">
      <w:pPr>
        <w:spacing w:line="520" w:lineRule="exact"/>
        <w:jc w:val="center"/>
        <w:rPr>
          <w:rFonts w:hint="eastAsia" w:ascii="宋体" w:hAnsi="宋体" w:eastAsia="宋体"/>
          <w:b/>
          <w:bCs/>
          <w:sz w:val="28"/>
          <w:szCs w:val="28"/>
        </w:rPr>
      </w:pPr>
    </w:p>
    <w:p w14:paraId="59FC0303">
      <w:pPr>
        <w:spacing w:line="520" w:lineRule="exact"/>
        <w:jc w:val="center"/>
        <w:rPr>
          <w:rFonts w:hint="eastAsia" w:ascii="宋体" w:hAnsi="宋体" w:eastAsia="宋体"/>
          <w:b/>
          <w:bCs/>
          <w:sz w:val="28"/>
          <w:szCs w:val="28"/>
        </w:rPr>
      </w:pPr>
    </w:p>
    <w:p w14:paraId="59FC0304">
      <w:pPr>
        <w:spacing w:line="520" w:lineRule="exact"/>
        <w:jc w:val="center"/>
        <w:rPr>
          <w:rFonts w:hint="eastAsia" w:ascii="宋体" w:hAnsi="宋体" w:eastAsia="宋体"/>
          <w:b/>
          <w:bCs/>
          <w:sz w:val="28"/>
          <w:szCs w:val="28"/>
        </w:rPr>
      </w:pPr>
    </w:p>
    <w:p w14:paraId="59FC0305">
      <w:pPr>
        <w:spacing w:line="520" w:lineRule="exact"/>
        <w:jc w:val="center"/>
        <w:rPr>
          <w:rFonts w:hint="eastAsia" w:ascii="宋体" w:hAnsi="宋体" w:eastAsia="宋体"/>
          <w:b/>
          <w:bCs/>
          <w:sz w:val="28"/>
          <w:szCs w:val="28"/>
        </w:rPr>
      </w:pPr>
    </w:p>
    <w:p w14:paraId="59FC0306">
      <w:pPr>
        <w:spacing w:line="520" w:lineRule="exact"/>
        <w:ind w:left="840" w:firstLine="420"/>
        <w:rPr>
          <w:rFonts w:hint="eastAsia" w:ascii="宋体" w:hAnsi="宋体" w:eastAsia="宋体"/>
          <w:b/>
          <w:bCs/>
          <w:sz w:val="28"/>
          <w:szCs w:val="28"/>
        </w:rPr>
      </w:pPr>
      <w:r>
        <w:rPr>
          <w:rFonts w:ascii="宋体" w:hAnsi="宋体" w:eastAsia="宋体"/>
          <w:b/>
          <w:bCs/>
          <w:sz w:val="28"/>
          <w:szCs w:val="28"/>
        </w:rPr>
        <w:t>领域名称：</w:t>
      </w:r>
      <w:r>
        <w:rPr>
          <w:rFonts w:hint="eastAsia" w:ascii="宋体" w:hAnsi="宋体" w:eastAsia="宋体"/>
          <w:b/>
          <w:bCs/>
          <w:sz w:val="28"/>
          <w:szCs w:val="28"/>
        </w:rPr>
        <w:t>复杂系统的非线性科学</w:t>
      </w:r>
    </w:p>
    <w:p w14:paraId="59FC0307">
      <w:pPr>
        <w:spacing w:line="520" w:lineRule="exact"/>
        <w:ind w:left="840" w:firstLine="420"/>
        <w:rPr>
          <w:rFonts w:hint="eastAsia" w:ascii="宋体" w:hAnsi="宋体" w:eastAsia="宋体"/>
          <w:b/>
          <w:bCs/>
          <w:sz w:val="28"/>
          <w:szCs w:val="28"/>
        </w:rPr>
      </w:pPr>
      <w:r>
        <w:rPr>
          <w:rFonts w:ascii="宋体" w:hAnsi="宋体" w:eastAsia="宋体"/>
          <w:b/>
          <w:bCs/>
          <w:sz w:val="28"/>
          <w:szCs w:val="28"/>
        </w:rPr>
        <w:t>首席科学家：</w:t>
      </w:r>
      <w:r>
        <w:rPr>
          <w:rFonts w:hint="eastAsia" w:ascii="宋体" w:hAnsi="宋体" w:eastAsia="宋体"/>
          <w:b/>
          <w:bCs/>
          <w:sz w:val="28"/>
          <w:szCs w:val="28"/>
        </w:rPr>
        <w:t>朱少平</w:t>
      </w:r>
      <w:r>
        <w:rPr>
          <w:rFonts w:ascii="宋体" w:hAnsi="宋体" w:eastAsia="宋体"/>
          <w:b/>
          <w:bCs/>
          <w:sz w:val="28"/>
          <w:szCs w:val="28"/>
        </w:rPr>
        <w:t xml:space="preserve"> 杨家敏</w:t>
      </w:r>
    </w:p>
    <w:p w14:paraId="59FC0308">
      <w:pPr>
        <w:spacing w:line="520" w:lineRule="exact"/>
        <w:ind w:left="840" w:firstLine="420"/>
        <w:rPr>
          <w:rFonts w:hint="eastAsia" w:ascii="宋体" w:hAnsi="宋体" w:eastAsia="宋体"/>
          <w:b/>
          <w:bCs/>
          <w:sz w:val="28"/>
          <w:szCs w:val="28"/>
        </w:rPr>
      </w:pPr>
      <w:r>
        <w:rPr>
          <w:rFonts w:ascii="宋体" w:hAnsi="宋体" w:eastAsia="宋体"/>
          <w:b/>
          <w:bCs/>
          <w:sz w:val="28"/>
          <w:szCs w:val="28"/>
        </w:rPr>
        <w:t>项目名称：</w:t>
      </w:r>
      <w:r>
        <w:rPr>
          <w:rFonts w:hint="eastAsia" w:ascii="宋体" w:hAnsi="宋体" w:eastAsia="宋体"/>
          <w:b/>
          <w:bCs/>
          <w:sz w:val="28"/>
          <w:szCs w:val="28"/>
        </w:rPr>
        <w:t>高能量密度等离子体物理研究</w:t>
      </w:r>
    </w:p>
    <w:p w14:paraId="59FC0309">
      <w:pPr>
        <w:spacing w:line="520" w:lineRule="exact"/>
        <w:ind w:left="840" w:firstLine="420"/>
        <w:rPr>
          <w:rFonts w:hint="eastAsia" w:ascii="宋体" w:hAnsi="宋体" w:eastAsia="宋体"/>
          <w:b/>
          <w:bCs/>
          <w:sz w:val="28"/>
          <w:szCs w:val="28"/>
        </w:rPr>
      </w:pPr>
      <w:r>
        <w:rPr>
          <w:rFonts w:hint="eastAsia" w:ascii="宋体" w:hAnsi="宋体" w:eastAsia="宋体"/>
          <w:b/>
          <w:bCs/>
          <w:sz w:val="28"/>
          <w:szCs w:val="28"/>
        </w:rPr>
        <w:t>项目负责人：蔡洪波</w:t>
      </w:r>
    </w:p>
    <w:p w14:paraId="59FC030A">
      <w:pPr>
        <w:spacing w:line="520" w:lineRule="exact"/>
        <w:ind w:left="840" w:firstLine="420"/>
        <w:rPr>
          <w:rFonts w:hint="eastAsia" w:ascii="宋体" w:hAnsi="宋体" w:eastAsia="宋体"/>
          <w:b/>
          <w:bCs/>
          <w:sz w:val="28"/>
          <w:szCs w:val="28"/>
        </w:rPr>
      </w:pPr>
      <w:r>
        <w:rPr>
          <w:rFonts w:ascii="宋体" w:hAnsi="宋体" w:eastAsia="宋体"/>
          <w:b/>
          <w:bCs/>
          <w:sz w:val="28"/>
          <w:szCs w:val="28"/>
        </w:rPr>
        <w:t>分承研合同：</w:t>
      </w:r>
      <w:r>
        <w:rPr>
          <w:rFonts w:hint="eastAsia" w:ascii="宋体" w:hAnsi="宋体" w:eastAsia="宋体"/>
          <w:b/>
          <w:bCs/>
          <w:sz w:val="28"/>
          <w:szCs w:val="28"/>
        </w:rPr>
        <w:t>高能量密度等离子体理论与数值模拟研究</w:t>
      </w:r>
    </w:p>
    <w:p w14:paraId="59FC030B">
      <w:pPr>
        <w:spacing w:line="520" w:lineRule="exact"/>
        <w:ind w:left="840" w:firstLine="420"/>
        <w:rPr>
          <w:rFonts w:hint="eastAsia" w:ascii="宋体" w:hAnsi="宋体" w:eastAsia="宋体"/>
          <w:b/>
          <w:bCs/>
          <w:sz w:val="28"/>
          <w:szCs w:val="28"/>
        </w:rPr>
      </w:pPr>
      <w:r>
        <w:rPr>
          <w:rFonts w:ascii="宋体" w:hAnsi="宋体" w:eastAsia="宋体"/>
          <w:b/>
          <w:bCs/>
          <w:sz w:val="28"/>
          <w:szCs w:val="28"/>
        </w:rPr>
        <w:t>分承研合同</w:t>
      </w:r>
      <w:r>
        <w:rPr>
          <w:rFonts w:hint="eastAsia" w:ascii="宋体" w:hAnsi="宋体" w:eastAsia="宋体"/>
          <w:b/>
          <w:bCs/>
          <w:sz w:val="28"/>
          <w:szCs w:val="28"/>
        </w:rPr>
        <w:t>负责人</w:t>
      </w:r>
      <w:r>
        <w:rPr>
          <w:rFonts w:ascii="宋体" w:hAnsi="宋体" w:eastAsia="宋体"/>
          <w:b/>
          <w:bCs/>
          <w:sz w:val="28"/>
          <w:szCs w:val="28"/>
        </w:rPr>
        <w:t>：</w:t>
      </w:r>
      <w:r>
        <w:rPr>
          <w:rFonts w:hint="eastAsia" w:ascii="宋体" w:hAnsi="宋体" w:eastAsia="宋体"/>
          <w:b/>
          <w:bCs/>
          <w:sz w:val="28"/>
          <w:szCs w:val="28"/>
        </w:rPr>
        <w:t>翁苏明</w:t>
      </w:r>
    </w:p>
    <w:p w14:paraId="59FC030C">
      <w:pPr>
        <w:spacing w:line="520" w:lineRule="exact"/>
        <w:ind w:left="840" w:firstLine="420"/>
        <w:rPr>
          <w:rFonts w:hint="eastAsia" w:ascii="宋体" w:hAnsi="宋体" w:eastAsia="宋体"/>
          <w:b/>
          <w:bCs/>
          <w:sz w:val="28"/>
          <w:szCs w:val="28"/>
        </w:rPr>
      </w:pPr>
      <w:r>
        <w:rPr>
          <w:rFonts w:ascii="宋体" w:hAnsi="宋体" w:eastAsia="宋体"/>
          <w:b/>
          <w:bCs/>
          <w:sz w:val="28"/>
          <w:szCs w:val="28"/>
        </w:rPr>
        <w:t>分承研单位（盖章）：</w:t>
      </w:r>
      <w:r>
        <w:rPr>
          <w:rFonts w:hint="eastAsia" w:ascii="宋体" w:hAnsi="宋体" w:eastAsia="宋体"/>
          <w:b/>
          <w:bCs/>
          <w:sz w:val="28"/>
          <w:szCs w:val="28"/>
        </w:rPr>
        <w:t>上海交通大学</w:t>
      </w:r>
    </w:p>
    <w:p w14:paraId="59FC030D">
      <w:pPr>
        <w:spacing w:line="520" w:lineRule="exact"/>
        <w:ind w:left="840" w:firstLine="420"/>
        <w:rPr>
          <w:rFonts w:hint="eastAsia" w:ascii="宋体" w:hAnsi="宋体" w:eastAsia="宋体"/>
          <w:sz w:val="28"/>
          <w:szCs w:val="28"/>
        </w:rPr>
      </w:pPr>
    </w:p>
    <w:p w14:paraId="59FC030E">
      <w:pPr>
        <w:spacing w:line="520" w:lineRule="exact"/>
        <w:ind w:left="420" w:firstLine="420"/>
        <w:rPr>
          <w:rFonts w:hint="eastAsia" w:ascii="宋体" w:hAnsi="宋体" w:eastAsia="宋体"/>
          <w:sz w:val="28"/>
          <w:szCs w:val="28"/>
        </w:rPr>
      </w:pPr>
    </w:p>
    <w:p w14:paraId="59FC030F">
      <w:pPr>
        <w:spacing w:line="520" w:lineRule="exact"/>
        <w:jc w:val="center"/>
        <w:rPr>
          <w:rFonts w:hint="eastAsia" w:ascii="宋体" w:hAnsi="宋体" w:eastAsia="宋体"/>
          <w:b/>
          <w:bCs/>
          <w:sz w:val="28"/>
          <w:szCs w:val="28"/>
        </w:rPr>
      </w:pPr>
      <w:r>
        <w:rPr>
          <w:rFonts w:ascii="宋体" w:hAnsi="宋体" w:eastAsia="宋体"/>
          <w:b/>
          <w:bCs/>
          <w:sz w:val="28"/>
          <w:szCs w:val="28"/>
        </w:rPr>
        <w:t>北京应用物理与计算数学研究所</w:t>
      </w:r>
      <w:r>
        <w:rPr>
          <w:rFonts w:ascii="宋体" w:hAnsi="宋体" w:eastAsia="宋体"/>
          <w:sz w:val="28"/>
          <w:szCs w:val="28"/>
        </w:rPr>
        <w:br w:type="textWrapping"/>
      </w:r>
      <w:r>
        <w:rPr>
          <w:rFonts w:ascii="宋体" w:hAnsi="宋体" w:eastAsia="宋体"/>
          <w:b/>
          <w:bCs/>
          <w:sz w:val="28"/>
          <w:szCs w:val="28"/>
        </w:rPr>
        <w:t>二〇二六年</w:t>
      </w:r>
      <w:r>
        <w:rPr>
          <w:rFonts w:hint="eastAsia" w:ascii="宋体" w:hAnsi="宋体" w:eastAsia="宋体"/>
          <w:b/>
          <w:bCs/>
          <w:sz w:val="28"/>
          <w:szCs w:val="28"/>
        </w:rPr>
        <w:t>九</w:t>
      </w:r>
      <w:r>
        <w:rPr>
          <w:rFonts w:ascii="宋体" w:hAnsi="宋体" w:eastAsia="宋体"/>
          <w:b/>
          <w:bCs/>
          <w:sz w:val="28"/>
          <w:szCs w:val="28"/>
        </w:rPr>
        <w:t>月</w:t>
      </w:r>
    </w:p>
    <w:sdt>
      <w:sdtPr>
        <w:rPr>
          <w:rFonts w:asciiTheme="minorHAnsi" w:hAnsiTheme="minorHAnsi" w:eastAsiaTheme="minorEastAsia" w:cstheme="minorBidi"/>
          <w:color w:val="auto"/>
          <w:kern w:val="2"/>
          <w:sz w:val="22"/>
          <w:szCs w:val="24"/>
          <w:lang w:val="zh-CN"/>
          <w14:ligatures w14:val="standardContextual"/>
        </w:rPr>
        <w:id w:val="1820149904"/>
        <w:docPartObj>
          <w:docPartGallery w:val="Table of Contents"/>
          <w:docPartUnique/>
        </w:docPartObj>
      </w:sdtPr>
      <w:sdtEndPr>
        <w:rPr>
          <w:rFonts w:asciiTheme="minorHAnsi" w:hAnsiTheme="minorHAnsi" w:eastAsiaTheme="minorEastAsia" w:cstheme="minorBidi"/>
          <w:b/>
          <w:bCs/>
          <w:color w:val="auto"/>
          <w:kern w:val="2"/>
          <w:sz w:val="22"/>
          <w:szCs w:val="24"/>
          <w:lang w:val="zh-CN"/>
          <w14:ligatures w14:val="standardContextual"/>
        </w:rPr>
      </w:sdtEndPr>
      <w:sdtContent>
        <w:p w14:paraId="59FC0310">
          <w:pPr>
            <w:pStyle w:val="43"/>
            <w:jc w:val="center"/>
            <w:rPr>
              <w:rFonts w:hint="eastAsia"/>
              <w:b/>
              <w:bCs/>
              <w:color w:val="auto"/>
              <w:sz w:val="44"/>
              <w:szCs w:val="44"/>
            </w:rPr>
          </w:pPr>
          <w:r>
            <w:rPr>
              <w:b/>
              <w:bCs/>
              <w:color w:val="auto"/>
              <w:sz w:val="44"/>
              <w:szCs w:val="44"/>
              <w:lang w:val="zh-CN"/>
            </w:rPr>
            <w:t>目</w:t>
          </w:r>
          <w:r>
            <w:rPr>
              <w:rFonts w:hint="eastAsia"/>
              <w:b/>
              <w:bCs/>
              <w:color w:val="auto"/>
              <w:sz w:val="44"/>
              <w:szCs w:val="44"/>
              <w:lang w:val="zh-CN"/>
            </w:rPr>
            <w:t xml:space="preserve"> </w:t>
          </w:r>
          <w:r>
            <w:rPr>
              <w:b/>
              <w:bCs/>
              <w:color w:val="auto"/>
              <w:sz w:val="44"/>
              <w:szCs w:val="44"/>
              <w:lang w:val="zh-CN"/>
            </w:rPr>
            <w:t>录</w:t>
          </w:r>
        </w:p>
        <w:p w14:paraId="59FC0311">
          <w:pPr>
            <w:pStyle w:val="15"/>
            <w:tabs>
              <w:tab w:val="left" w:pos="880"/>
              <w:tab w:val="right" w:leader="dot" w:pos="8296"/>
            </w:tabs>
            <w:rPr>
              <w:rFonts w:hint="eastAsia" w:cstheme="minorBidi"/>
            </w:rPr>
          </w:pPr>
          <w:r>
            <w:fldChar w:fldCharType="begin"/>
          </w:r>
          <w:r>
            <w:instrText xml:space="preserve"> TOC \o "1-3" \h \z \u </w:instrText>
          </w:r>
          <w:r>
            <w:fldChar w:fldCharType="separate"/>
          </w:r>
          <w:r>
            <w:fldChar w:fldCharType="begin"/>
          </w:r>
          <w:r>
            <w:instrText xml:space="preserve"> HYPERLINK \l "_Toc239521145" </w:instrText>
          </w:r>
          <w:r>
            <w:fldChar w:fldCharType="separate"/>
          </w:r>
          <w:r>
            <w:rPr>
              <w:rStyle w:val="23"/>
              <w:rFonts w:hint="eastAsia" w:ascii="微软雅黑" w:hAnsi="微软雅黑" w:eastAsia="微软雅黑"/>
              <w:b/>
              <w:bCs/>
            </w:rPr>
            <w:t>一、</w:t>
          </w:r>
          <w:r>
            <w:rPr>
              <w:rFonts w:cstheme="minorBidi"/>
            </w:rPr>
            <w:tab/>
          </w:r>
          <w:r>
            <w:rPr>
              <w:rStyle w:val="23"/>
              <w:rFonts w:hint="eastAsia" w:ascii="微软雅黑" w:hAnsi="微软雅黑" w:eastAsia="微软雅黑"/>
              <w:b/>
              <w:bCs/>
            </w:rPr>
            <w:t>课题基本情况</w:t>
          </w:r>
          <w:r>
            <w:tab/>
          </w:r>
          <w:r>
            <w:fldChar w:fldCharType="begin"/>
          </w:r>
          <w:r>
            <w:instrText xml:space="preserve"> PAGEREF _Toc239521145 \h </w:instrText>
          </w:r>
          <w:r>
            <w:fldChar w:fldCharType="separate"/>
          </w:r>
          <w:r>
            <w:t>3</w:t>
          </w:r>
          <w:r>
            <w:fldChar w:fldCharType="end"/>
          </w:r>
          <w:r>
            <w:fldChar w:fldCharType="end"/>
          </w:r>
        </w:p>
        <w:p w14:paraId="59FC0312">
          <w:pPr>
            <w:pStyle w:val="17"/>
            <w:tabs>
              <w:tab w:val="left" w:pos="1100"/>
              <w:tab w:val="right" w:leader="dot" w:pos="8296"/>
            </w:tabs>
            <w:rPr>
              <w:rFonts w:hint="eastAsia" w:cstheme="minorBidi"/>
            </w:rPr>
          </w:pPr>
          <w:r>
            <w:fldChar w:fldCharType="begin"/>
          </w:r>
          <w:r>
            <w:instrText xml:space="preserve"> HYPERLINK \l "_Toc239521146" </w:instrText>
          </w:r>
          <w:r>
            <w:fldChar w:fldCharType="separate"/>
          </w:r>
          <w:r>
            <w:rPr>
              <w:rStyle w:val="23"/>
              <w:rFonts w:hint="eastAsia" w:ascii="楷体" w:hAnsi="楷体" w:eastAsia="楷体"/>
            </w:rPr>
            <w:t>(一)</w:t>
          </w:r>
          <w:r>
            <w:rPr>
              <w:rFonts w:cstheme="minorBidi"/>
            </w:rPr>
            <w:tab/>
          </w:r>
          <w:r>
            <w:rPr>
              <w:rStyle w:val="23"/>
              <w:rFonts w:hint="eastAsia" w:ascii="楷体" w:hAnsi="楷体" w:eastAsia="楷体"/>
            </w:rPr>
            <w:t>分承研合同基本情况</w:t>
          </w:r>
          <w:r>
            <w:tab/>
          </w:r>
          <w:r>
            <w:fldChar w:fldCharType="begin"/>
          </w:r>
          <w:r>
            <w:instrText xml:space="preserve"> PAGEREF _Toc239521146 \h </w:instrText>
          </w:r>
          <w:r>
            <w:fldChar w:fldCharType="separate"/>
          </w:r>
          <w:r>
            <w:t>3</w:t>
          </w:r>
          <w:r>
            <w:fldChar w:fldCharType="end"/>
          </w:r>
          <w:r>
            <w:fldChar w:fldCharType="end"/>
          </w:r>
        </w:p>
        <w:p w14:paraId="59FC0313">
          <w:pPr>
            <w:pStyle w:val="17"/>
            <w:tabs>
              <w:tab w:val="left" w:pos="1100"/>
              <w:tab w:val="right" w:leader="dot" w:pos="8296"/>
            </w:tabs>
            <w:rPr>
              <w:rFonts w:hint="eastAsia" w:cstheme="minorBidi"/>
            </w:rPr>
          </w:pPr>
          <w:r>
            <w:fldChar w:fldCharType="begin"/>
          </w:r>
          <w:r>
            <w:instrText xml:space="preserve"> HYPERLINK \l "_Toc239521147" </w:instrText>
          </w:r>
          <w:r>
            <w:fldChar w:fldCharType="separate"/>
          </w:r>
          <w:r>
            <w:rPr>
              <w:rStyle w:val="23"/>
              <w:rFonts w:hint="eastAsia" w:ascii="楷体" w:hAnsi="楷体" w:eastAsia="楷体"/>
            </w:rPr>
            <w:t>(二)</w:t>
          </w:r>
          <w:r>
            <w:rPr>
              <w:rFonts w:cstheme="minorBidi"/>
            </w:rPr>
            <w:tab/>
          </w:r>
          <w:r>
            <w:rPr>
              <w:rStyle w:val="23"/>
              <w:rFonts w:hint="eastAsia" w:ascii="楷体" w:hAnsi="楷体" w:eastAsia="楷体"/>
            </w:rPr>
            <w:t>节点目标完成情况</w:t>
          </w:r>
          <w:r>
            <w:tab/>
          </w:r>
          <w:r>
            <w:fldChar w:fldCharType="begin"/>
          </w:r>
          <w:r>
            <w:instrText xml:space="preserve"> PAGEREF _Toc239521147 \h </w:instrText>
          </w:r>
          <w:r>
            <w:fldChar w:fldCharType="separate"/>
          </w:r>
          <w:r>
            <w:t>3</w:t>
          </w:r>
          <w:r>
            <w:fldChar w:fldCharType="end"/>
          </w:r>
          <w:r>
            <w:fldChar w:fldCharType="end"/>
          </w:r>
        </w:p>
        <w:p w14:paraId="59FC0314">
          <w:pPr>
            <w:pStyle w:val="15"/>
            <w:tabs>
              <w:tab w:val="left" w:pos="880"/>
              <w:tab w:val="right" w:leader="dot" w:pos="8296"/>
            </w:tabs>
            <w:rPr>
              <w:rFonts w:hint="eastAsia" w:cstheme="minorBidi"/>
            </w:rPr>
          </w:pPr>
          <w:r>
            <w:fldChar w:fldCharType="begin"/>
          </w:r>
          <w:r>
            <w:instrText xml:space="preserve"> HYPERLINK \l "_Toc239521148" </w:instrText>
          </w:r>
          <w:r>
            <w:fldChar w:fldCharType="separate"/>
          </w:r>
          <w:r>
            <w:rPr>
              <w:rStyle w:val="23"/>
              <w:rFonts w:hint="eastAsia" w:ascii="微软雅黑" w:hAnsi="微软雅黑" w:eastAsia="微软雅黑"/>
              <w:b/>
              <w:bCs/>
            </w:rPr>
            <w:t>二、</w:t>
          </w:r>
          <w:r>
            <w:rPr>
              <w:rFonts w:cstheme="minorBidi"/>
            </w:rPr>
            <w:tab/>
          </w:r>
          <w:r>
            <w:rPr>
              <w:rStyle w:val="23"/>
              <w:rFonts w:hint="eastAsia" w:ascii="微软雅黑" w:hAnsi="微软雅黑" w:eastAsia="微软雅黑"/>
              <w:b/>
              <w:bCs/>
            </w:rPr>
            <w:t>研究成果概况</w:t>
          </w:r>
          <w:r>
            <w:tab/>
          </w:r>
          <w:r>
            <w:fldChar w:fldCharType="begin"/>
          </w:r>
          <w:r>
            <w:instrText xml:space="preserve"> PAGEREF _Toc239521148 \h </w:instrText>
          </w:r>
          <w:r>
            <w:fldChar w:fldCharType="separate"/>
          </w:r>
          <w:r>
            <w:t>5</w:t>
          </w:r>
          <w:r>
            <w:fldChar w:fldCharType="end"/>
          </w:r>
          <w:r>
            <w:fldChar w:fldCharType="end"/>
          </w:r>
        </w:p>
        <w:p w14:paraId="59FC0315">
          <w:pPr>
            <w:pStyle w:val="15"/>
            <w:tabs>
              <w:tab w:val="left" w:pos="880"/>
              <w:tab w:val="right" w:leader="dot" w:pos="8296"/>
            </w:tabs>
            <w:rPr>
              <w:rFonts w:hint="eastAsia" w:cstheme="minorBidi"/>
            </w:rPr>
          </w:pPr>
          <w:r>
            <w:fldChar w:fldCharType="begin"/>
          </w:r>
          <w:r>
            <w:instrText xml:space="preserve"> HYPERLINK \l "_Toc239521149" </w:instrText>
          </w:r>
          <w:r>
            <w:fldChar w:fldCharType="separate"/>
          </w:r>
          <w:r>
            <w:rPr>
              <w:rStyle w:val="23"/>
              <w:rFonts w:hint="eastAsia" w:ascii="微软雅黑" w:hAnsi="微软雅黑" w:eastAsia="微软雅黑"/>
              <w:b/>
              <w:bCs/>
            </w:rPr>
            <w:t>三、</w:t>
          </w:r>
          <w:r>
            <w:rPr>
              <w:rFonts w:cstheme="minorBidi"/>
            </w:rPr>
            <w:tab/>
          </w:r>
          <w:r>
            <w:rPr>
              <w:rStyle w:val="23"/>
              <w:rFonts w:hint="eastAsia" w:ascii="微软雅黑" w:hAnsi="微软雅黑" w:eastAsia="微软雅黑"/>
              <w:b/>
              <w:bCs/>
            </w:rPr>
            <w:t>科研工作进展</w:t>
          </w:r>
          <w:r>
            <w:tab/>
          </w:r>
          <w:r>
            <w:fldChar w:fldCharType="begin"/>
          </w:r>
          <w:r>
            <w:instrText xml:space="preserve"> PAGEREF _Toc239521149 \h </w:instrText>
          </w:r>
          <w:r>
            <w:fldChar w:fldCharType="separate"/>
          </w:r>
          <w:r>
            <w:t>6</w:t>
          </w:r>
          <w:r>
            <w:fldChar w:fldCharType="end"/>
          </w:r>
          <w:r>
            <w:fldChar w:fldCharType="end"/>
          </w:r>
        </w:p>
        <w:p w14:paraId="59FC0316">
          <w:pPr>
            <w:pStyle w:val="17"/>
            <w:tabs>
              <w:tab w:val="left" w:pos="1100"/>
              <w:tab w:val="right" w:leader="dot" w:pos="8296"/>
            </w:tabs>
            <w:rPr>
              <w:rFonts w:hint="eastAsia" w:cstheme="minorBidi"/>
            </w:rPr>
          </w:pPr>
          <w:r>
            <w:fldChar w:fldCharType="begin"/>
          </w:r>
          <w:r>
            <w:instrText xml:space="preserve"> HYPERLINK \l "_Toc239521150" </w:instrText>
          </w:r>
          <w:r>
            <w:fldChar w:fldCharType="separate"/>
          </w:r>
          <w:r>
            <w:rPr>
              <w:rStyle w:val="23"/>
              <w:rFonts w:hint="eastAsia" w:ascii="楷体" w:hAnsi="楷体" w:eastAsia="楷体"/>
              <w:b/>
              <w:bCs/>
            </w:rPr>
            <w:t>(一)</w:t>
          </w:r>
          <w:r>
            <w:rPr>
              <w:rFonts w:cstheme="minorBidi"/>
            </w:rPr>
            <w:tab/>
          </w:r>
          <w:r>
            <w:rPr>
              <w:rStyle w:val="23"/>
              <w:rFonts w:hint="eastAsia" w:ascii="楷体" w:hAnsi="楷体" w:eastAsia="楷体"/>
              <w:b/>
              <w:bCs/>
            </w:rPr>
            <w:t>科研亮点工作</w:t>
          </w:r>
          <w:r>
            <w:tab/>
          </w:r>
          <w:r>
            <w:fldChar w:fldCharType="begin"/>
          </w:r>
          <w:r>
            <w:instrText xml:space="preserve"> PAGEREF _Toc239521150 \h </w:instrText>
          </w:r>
          <w:r>
            <w:fldChar w:fldCharType="separate"/>
          </w:r>
          <w:r>
            <w:t>6</w:t>
          </w:r>
          <w:r>
            <w:fldChar w:fldCharType="end"/>
          </w:r>
          <w:r>
            <w:fldChar w:fldCharType="end"/>
          </w:r>
        </w:p>
        <w:p w14:paraId="59FC0317">
          <w:pPr>
            <w:pStyle w:val="17"/>
            <w:tabs>
              <w:tab w:val="left" w:pos="1100"/>
              <w:tab w:val="right" w:leader="dot" w:pos="8296"/>
            </w:tabs>
            <w:rPr>
              <w:rFonts w:hint="eastAsia" w:cstheme="minorBidi"/>
            </w:rPr>
          </w:pPr>
          <w:r>
            <w:fldChar w:fldCharType="begin"/>
          </w:r>
          <w:r>
            <w:instrText xml:space="preserve"> HYPERLINK \l "_Toc239521151" </w:instrText>
          </w:r>
          <w:r>
            <w:fldChar w:fldCharType="separate"/>
          </w:r>
          <w:r>
            <w:rPr>
              <w:rStyle w:val="23"/>
              <w:rFonts w:hint="eastAsia" w:ascii="楷体" w:hAnsi="楷体" w:eastAsia="楷体"/>
              <w:b/>
              <w:bCs/>
            </w:rPr>
            <w:t>(二)</w:t>
          </w:r>
          <w:r>
            <w:rPr>
              <w:rFonts w:cstheme="minorBidi"/>
            </w:rPr>
            <w:tab/>
          </w:r>
          <w:r>
            <w:rPr>
              <w:rStyle w:val="23"/>
              <w:rFonts w:hint="eastAsia" w:ascii="楷体" w:hAnsi="楷体" w:eastAsia="楷体"/>
              <w:b/>
              <w:bCs/>
            </w:rPr>
            <w:t>任务完成情况</w:t>
          </w:r>
          <w:r>
            <w:tab/>
          </w:r>
          <w:r>
            <w:fldChar w:fldCharType="begin"/>
          </w:r>
          <w:r>
            <w:instrText xml:space="preserve"> PAGEREF _Toc239521151 \h </w:instrText>
          </w:r>
          <w:r>
            <w:fldChar w:fldCharType="separate"/>
          </w:r>
          <w:r>
            <w:t>11</w:t>
          </w:r>
          <w:r>
            <w:fldChar w:fldCharType="end"/>
          </w:r>
          <w:r>
            <w:fldChar w:fldCharType="end"/>
          </w:r>
        </w:p>
        <w:p w14:paraId="59FC0318">
          <w:pPr>
            <w:pStyle w:val="17"/>
            <w:tabs>
              <w:tab w:val="left" w:pos="1100"/>
              <w:tab w:val="right" w:leader="dot" w:pos="8296"/>
            </w:tabs>
            <w:rPr>
              <w:rFonts w:hint="eastAsia" w:cstheme="minorBidi"/>
            </w:rPr>
          </w:pPr>
          <w:r>
            <w:fldChar w:fldCharType="begin"/>
          </w:r>
          <w:r>
            <w:instrText xml:space="preserve"> HYPERLINK \l "_Toc239521152" </w:instrText>
          </w:r>
          <w:r>
            <w:fldChar w:fldCharType="separate"/>
          </w:r>
          <w:r>
            <w:rPr>
              <w:rStyle w:val="23"/>
              <w:rFonts w:hint="eastAsia" w:ascii="楷体" w:hAnsi="楷体" w:eastAsia="楷体"/>
              <w:b/>
              <w:bCs/>
            </w:rPr>
            <w:t>(三)</w:t>
          </w:r>
          <w:r>
            <w:rPr>
              <w:rFonts w:cstheme="minorBidi"/>
            </w:rPr>
            <w:tab/>
          </w:r>
          <w:r>
            <w:rPr>
              <w:rStyle w:val="23"/>
              <w:rFonts w:hint="eastAsia" w:ascii="楷体" w:hAnsi="楷体" w:eastAsia="楷体"/>
              <w:b/>
              <w:bCs/>
            </w:rPr>
            <w:t>其他科研进展</w:t>
          </w:r>
          <w:r>
            <w:tab/>
          </w:r>
          <w:r>
            <w:fldChar w:fldCharType="begin"/>
          </w:r>
          <w:r>
            <w:instrText xml:space="preserve"> PAGEREF _Toc239521152 \h </w:instrText>
          </w:r>
          <w:r>
            <w:fldChar w:fldCharType="separate"/>
          </w:r>
          <w:r>
            <w:t>27</w:t>
          </w:r>
          <w:r>
            <w:fldChar w:fldCharType="end"/>
          </w:r>
          <w:r>
            <w:fldChar w:fldCharType="end"/>
          </w:r>
        </w:p>
        <w:p w14:paraId="59FC0319">
          <w:pPr>
            <w:pStyle w:val="15"/>
            <w:tabs>
              <w:tab w:val="left" w:pos="880"/>
              <w:tab w:val="right" w:leader="dot" w:pos="8296"/>
            </w:tabs>
            <w:rPr>
              <w:rFonts w:hint="eastAsia" w:cstheme="minorBidi"/>
            </w:rPr>
          </w:pPr>
          <w:r>
            <w:fldChar w:fldCharType="begin"/>
          </w:r>
          <w:r>
            <w:instrText xml:space="preserve"> HYPERLINK \l "_Toc239521153" </w:instrText>
          </w:r>
          <w:r>
            <w:fldChar w:fldCharType="separate"/>
          </w:r>
          <w:r>
            <w:rPr>
              <w:rStyle w:val="23"/>
              <w:rFonts w:hint="eastAsia" w:ascii="微软雅黑" w:hAnsi="微软雅黑" w:eastAsia="微软雅黑"/>
              <w:b/>
              <w:bCs/>
            </w:rPr>
            <w:t>四、</w:t>
          </w:r>
          <w:r>
            <w:rPr>
              <w:rFonts w:cstheme="minorBidi"/>
            </w:rPr>
            <w:tab/>
          </w:r>
          <w:r>
            <w:rPr>
              <w:rStyle w:val="23"/>
              <w:rFonts w:hint="eastAsia" w:ascii="微软雅黑" w:hAnsi="微软雅黑" w:eastAsia="微软雅黑"/>
              <w:b/>
              <w:bCs/>
            </w:rPr>
            <w:t>经费使用情况</w:t>
          </w:r>
          <w:r>
            <w:tab/>
          </w:r>
          <w:r>
            <w:fldChar w:fldCharType="begin"/>
          </w:r>
          <w:r>
            <w:instrText xml:space="preserve"> PAGEREF _Toc239521153 \h </w:instrText>
          </w:r>
          <w:r>
            <w:fldChar w:fldCharType="separate"/>
          </w:r>
          <w:r>
            <w:t>32</w:t>
          </w:r>
          <w:r>
            <w:fldChar w:fldCharType="end"/>
          </w:r>
          <w:r>
            <w:fldChar w:fldCharType="end"/>
          </w:r>
        </w:p>
        <w:p w14:paraId="59FC031A">
          <w:pPr>
            <w:pStyle w:val="15"/>
            <w:tabs>
              <w:tab w:val="left" w:pos="880"/>
              <w:tab w:val="right" w:leader="dot" w:pos="8296"/>
            </w:tabs>
            <w:rPr>
              <w:rFonts w:hint="eastAsia" w:cstheme="minorBidi"/>
            </w:rPr>
          </w:pPr>
          <w:r>
            <w:fldChar w:fldCharType="begin"/>
          </w:r>
          <w:r>
            <w:instrText xml:space="preserve"> HYPERLINK \l "_Toc239521154" </w:instrText>
          </w:r>
          <w:r>
            <w:fldChar w:fldCharType="separate"/>
          </w:r>
          <w:r>
            <w:rPr>
              <w:rStyle w:val="23"/>
              <w:rFonts w:hint="eastAsia" w:ascii="微软雅黑" w:hAnsi="微软雅黑" w:eastAsia="微软雅黑"/>
              <w:b/>
              <w:bCs/>
            </w:rPr>
            <w:t>五、</w:t>
          </w:r>
          <w:r>
            <w:rPr>
              <w:rFonts w:cstheme="minorBidi"/>
            </w:rPr>
            <w:tab/>
          </w:r>
          <w:r>
            <w:rPr>
              <w:rStyle w:val="23"/>
              <w:rFonts w:hint="eastAsia" w:ascii="微软雅黑" w:hAnsi="微软雅黑" w:eastAsia="微软雅黑"/>
              <w:b/>
              <w:bCs/>
            </w:rPr>
            <w:t>团队建设与人才培养</w:t>
          </w:r>
          <w:r>
            <w:tab/>
          </w:r>
          <w:r>
            <w:fldChar w:fldCharType="begin"/>
          </w:r>
          <w:r>
            <w:instrText xml:space="preserve"> PAGEREF _Toc239521154 \h </w:instrText>
          </w:r>
          <w:r>
            <w:fldChar w:fldCharType="separate"/>
          </w:r>
          <w:r>
            <w:t>33</w:t>
          </w:r>
          <w:r>
            <w:fldChar w:fldCharType="end"/>
          </w:r>
          <w:r>
            <w:fldChar w:fldCharType="end"/>
          </w:r>
        </w:p>
        <w:p w14:paraId="59FC031B">
          <w:pPr>
            <w:pStyle w:val="17"/>
            <w:tabs>
              <w:tab w:val="left" w:pos="1100"/>
              <w:tab w:val="right" w:leader="dot" w:pos="8296"/>
            </w:tabs>
            <w:rPr>
              <w:rFonts w:hint="eastAsia" w:cstheme="minorBidi"/>
            </w:rPr>
          </w:pPr>
          <w:r>
            <w:fldChar w:fldCharType="begin"/>
          </w:r>
          <w:r>
            <w:instrText xml:space="preserve"> HYPERLINK \l "_Toc239521155" </w:instrText>
          </w:r>
          <w:r>
            <w:fldChar w:fldCharType="separate"/>
          </w:r>
          <w:r>
            <w:rPr>
              <w:rStyle w:val="23"/>
              <w:rFonts w:hint="eastAsia" w:ascii="楷体" w:hAnsi="楷体" w:eastAsia="楷体"/>
              <w:b/>
              <w:bCs/>
            </w:rPr>
            <w:t>(一)</w:t>
          </w:r>
          <w:r>
            <w:rPr>
              <w:rFonts w:cstheme="minorBidi"/>
            </w:rPr>
            <w:tab/>
          </w:r>
          <w:r>
            <w:rPr>
              <w:rStyle w:val="23"/>
              <w:rFonts w:hint="eastAsia" w:ascii="楷体" w:hAnsi="楷体" w:eastAsia="楷体"/>
              <w:b/>
              <w:bCs/>
            </w:rPr>
            <w:t>科研团队基本情况</w:t>
          </w:r>
          <w:r>
            <w:tab/>
          </w:r>
          <w:r>
            <w:fldChar w:fldCharType="begin"/>
          </w:r>
          <w:r>
            <w:instrText xml:space="preserve"> PAGEREF _Toc239521155 \h </w:instrText>
          </w:r>
          <w:r>
            <w:fldChar w:fldCharType="separate"/>
          </w:r>
          <w:r>
            <w:t>33</w:t>
          </w:r>
          <w:r>
            <w:fldChar w:fldCharType="end"/>
          </w:r>
          <w:r>
            <w:fldChar w:fldCharType="end"/>
          </w:r>
        </w:p>
        <w:p w14:paraId="59FC031C">
          <w:pPr>
            <w:pStyle w:val="17"/>
            <w:tabs>
              <w:tab w:val="left" w:pos="1100"/>
              <w:tab w:val="right" w:leader="dot" w:pos="8296"/>
            </w:tabs>
            <w:rPr>
              <w:rFonts w:hint="eastAsia" w:cstheme="minorBidi"/>
            </w:rPr>
          </w:pPr>
          <w:r>
            <w:fldChar w:fldCharType="begin"/>
          </w:r>
          <w:r>
            <w:instrText xml:space="preserve"> HYPERLINK \l "_Toc239521156" </w:instrText>
          </w:r>
          <w:r>
            <w:fldChar w:fldCharType="separate"/>
          </w:r>
          <w:r>
            <w:rPr>
              <w:rStyle w:val="23"/>
              <w:rFonts w:hint="eastAsia" w:ascii="楷体" w:hAnsi="楷体" w:eastAsia="楷体"/>
              <w:b/>
              <w:bCs/>
            </w:rPr>
            <w:t>(二)</w:t>
          </w:r>
          <w:r>
            <w:rPr>
              <w:rFonts w:cstheme="minorBidi"/>
            </w:rPr>
            <w:tab/>
          </w:r>
          <w:r>
            <w:rPr>
              <w:rStyle w:val="23"/>
              <w:rFonts w:hint="eastAsia" w:ascii="楷体" w:hAnsi="楷体" w:eastAsia="楷体"/>
              <w:b/>
              <w:bCs/>
            </w:rPr>
            <w:t>团队建设及人才培养情况</w:t>
          </w:r>
          <w:r>
            <w:tab/>
          </w:r>
          <w:r>
            <w:fldChar w:fldCharType="begin"/>
          </w:r>
          <w:r>
            <w:instrText xml:space="preserve"> PAGEREF _Toc239521156 \h </w:instrText>
          </w:r>
          <w:r>
            <w:fldChar w:fldCharType="separate"/>
          </w:r>
          <w:r>
            <w:t>33</w:t>
          </w:r>
          <w:r>
            <w:fldChar w:fldCharType="end"/>
          </w:r>
          <w:r>
            <w:fldChar w:fldCharType="end"/>
          </w:r>
        </w:p>
        <w:p w14:paraId="59FC031D">
          <w:pPr>
            <w:pStyle w:val="15"/>
            <w:tabs>
              <w:tab w:val="left" w:pos="880"/>
              <w:tab w:val="right" w:leader="dot" w:pos="8296"/>
            </w:tabs>
            <w:rPr>
              <w:rFonts w:hint="eastAsia" w:cstheme="minorBidi"/>
            </w:rPr>
          </w:pPr>
          <w:r>
            <w:fldChar w:fldCharType="begin"/>
          </w:r>
          <w:r>
            <w:instrText xml:space="preserve"> HYPERLINK \l "_Toc239521157" </w:instrText>
          </w:r>
          <w:r>
            <w:fldChar w:fldCharType="separate"/>
          </w:r>
          <w:r>
            <w:rPr>
              <w:rStyle w:val="23"/>
              <w:rFonts w:hint="eastAsia" w:ascii="微软雅黑" w:hAnsi="微软雅黑" w:eastAsia="微软雅黑"/>
              <w:b/>
              <w:bCs/>
            </w:rPr>
            <w:t>六、</w:t>
          </w:r>
          <w:r>
            <w:rPr>
              <w:rFonts w:cstheme="minorBidi"/>
            </w:rPr>
            <w:tab/>
          </w:r>
          <w:r>
            <w:rPr>
              <w:rStyle w:val="23"/>
              <w:rFonts w:hint="eastAsia" w:ascii="微软雅黑" w:hAnsi="微软雅黑" w:eastAsia="微软雅黑"/>
              <w:b/>
              <w:bCs/>
            </w:rPr>
            <w:t>协同科研活动开展</w:t>
          </w:r>
          <w:r>
            <w:tab/>
          </w:r>
          <w:r>
            <w:fldChar w:fldCharType="begin"/>
          </w:r>
          <w:r>
            <w:instrText xml:space="preserve"> PAGEREF _Toc239521157 \h </w:instrText>
          </w:r>
          <w:r>
            <w:fldChar w:fldCharType="separate"/>
          </w:r>
          <w:r>
            <w:t>34</w:t>
          </w:r>
          <w:r>
            <w:fldChar w:fldCharType="end"/>
          </w:r>
          <w:r>
            <w:fldChar w:fldCharType="end"/>
          </w:r>
        </w:p>
        <w:p w14:paraId="59FC031E">
          <w:pPr>
            <w:pStyle w:val="17"/>
            <w:tabs>
              <w:tab w:val="left" w:pos="1100"/>
              <w:tab w:val="right" w:leader="dot" w:pos="8296"/>
            </w:tabs>
            <w:rPr>
              <w:rFonts w:hint="eastAsia" w:cstheme="minorBidi"/>
            </w:rPr>
          </w:pPr>
          <w:r>
            <w:fldChar w:fldCharType="begin"/>
          </w:r>
          <w:r>
            <w:instrText xml:space="preserve"> HYPERLINK \l "_Toc239521158" </w:instrText>
          </w:r>
          <w:r>
            <w:fldChar w:fldCharType="separate"/>
          </w:r>
          <w:r>
            <w:rPr>
              <w:rStyle w:val="23"/>
              <w:rFonts w:hint="eastAsia" w:ascii="楷体" w:hAnsi="楷体" w:eastAsia="楷体"/>
              <w:b/>
              <w:bCs/>
            </w:rPr>
            <w:t>(一)</w:t>
          </w:r>
          <w:r>
            <w:rPr>
              <w:rFonts w:cstheme="minorBidi"/>
            </w:rPr>
            <w:tab/>
          </w:r>
          <w:r>
            <w:rPr>
              <w:rStyle w:val="23"/>
              <w:rFonts w:hint="eastAsia" w:ascii="楷体" w:hAnsi="楷体" w:eastAsia="楷体"/>
              <w:b/>
              <w:bCs/>
            </w:rPr>
            <w:t>领域学术交流活动</w:t>
          </w:r>
          <w:r>
            <w:tab/>
          </w:r>
          <w:r>
            <w:fldChar w:fldCharType="begin"/>
          </w:r>
          <w:r>
            <w:instrText xml:space="preserve"> PAGEREF _Toc239521158 \h </w:instrText>
          </w:r>
          <w:r>
            <w:fldChar w:fldCharType="separate"/>
          </w:r>
          <w:r>
            <w:t>34</w:t>
          </w:r>
          <w:r>
            <w:fldChar w:fldCharType="end"/>
          </w:r>
          <w:r>
            <w:fldChar w:fldCharType="end"/>
          </w:r>
        </w:p>
        <w:p w14:paraId="59FC031F">
          <w:pPr>
            <w:pStyle w:val="17"/>
            <w:tabs>
              <w:tab w:val="left" w:pos="1100"/>
              <w:tab w:val="right" w:leader="dot" w:pos="8296"/>
            </w:tabs>
            <w:rPr>
              <w:rFonts w:hint="eastAsia" w:cstheme="minorBidi"/>
            </w:rPr>
          </w:pPr>
          <w:r>
            <w:fldChar w:fldCharType="begin"/>
          </w:r>
          <w:r>
            <w:instrText xml:space="preserve"> HYPERLINK \l "_Toc239521159" </w:instrText>
          </w:r>
          <w:r>
            <w:fldChar w:fldCharType="separate"/>
          </w:r>
          <w:r>
            <w:rPr>
              <w:rStyle w:val="23"/>
              <w:rFonts w:hint="eastAsia" w:ascii="楷体" w:hAnsi="楷体" w:eastAsia="楷体"/>
              <w:b/>
              <w:bCs/>
            </w:rPr>
            <w:t>(二)</w:t>
          </w:r>
          <w:r>
            <w:rPr>
              <w:rFonts w:cstheme="minorBidi"/>
            </w:rPr>
            <w:tab/>
          </w:r>
          <w:r>
            <w:rPr>
              <w:rStyle w:val="23"/>
              <w:rFonts w:hint="eastAsia" w:ascii="楷体" w:hAnsi="楷体" w:eastAsia="楷体"/>
              <w:b/>
              <w:bCs/>
            </w:rPr>
            <w:t>集中科研开展情况</w:t>
          </w:r>
          <w:r>
            <w:tab/>
          </w:r>
          <w:r>
            <w:fldChar w:fldCharType="begin"/>
          </w:r>
          <w:r>
            <w:instrText xml:space="preserve"> PAGEREF _Toc239521159 \h </w:instrText>
          </w:r>
          <w:r>
            <w:fldChar w:fldCharType="separate"/>
          </w:r>
          <w:r>
            <w:t>36</w:t>
          </w:r>
          <w:r>
            <w:fldChar w:fldCharType="end"/>
          </w:r>
          <w:r>
            <w:fldChar w:fldCharType="end"/>
          </w:r>
        </w:p>
        <w:p w14:paraId="59FC0320">
          <w:pPr>
            <w:pStyle w:val="15"/>
            <w:tabs>
              <w:tab w:val="left" w:pos="880"/>
              <w:tab w:val="right" w:leader="dot" w:pos="8296"/>
            </w:tabs>
            <w:rPr>
              <w:rFonts w:hint="eastAsia" w:cstheme="minorBidi"/>
            </w:rPr>
          </w:pPr>
          <w:r>
            <w:fldChar w:fldCharType="begin"/>
          </w:r>
          <w:r>
            <w:instrText xml:space="preserve"> HYPERLINK \l "_Toc239521160" </w:instrText>
          </w:r>
          <w:r>
            <w:fldChar w:fldCharType="separate"/>
          </w:r>
          <w:r>
            <w:rPr>
              <w:rStyle w:val="23"/>
              <w:rFonts w:hint="eastAsia" w:ascii="微软雅黑" w:hAnsi="微软雅黑" w:eastAsia="微软雅黑"/>
              <w:b/>
              <w:bCs/>
            </w:rPr>
            <w:t>七、</w:t>
          </w:r>
          <w:r>
            <w:rPr>
              <w:rFonts w:cstheme="minorBidi"/>
            </w:rPr>
            <w:tab/>
          </w:r>
          <w:r>
            <w:rPr>
              <w:rStyle w:val="23"/>
              <w:rFonts w:hint="eastAsia" w:ascii="微软雅黑" w:hAnsi="微软雅黑" w:eastAsia="微软雅黑"/>
              <w:b/>
              <w:bCs/>
            </w:rPr>
            <w:t>组织管理与创新实践</w:t>
          </w:r>
          <w:r>
            <w:tab/>
          </w:r>
          <w:r>
            <w:fldChar w:fldCharType="begin"/>
          </w:r>
          <w:r>
            <w:instrText xml:space="preserve"> PAGEREF _Toc239521160 \h </w:instrText>
          </w:r>
          <w:r>
            <w:fldChar w:fldCharType="separate"/>
          </w:r>
          <w:r>
            <w:t>37</w:t>
          </w:r>
          <w:r>
            <w:fldChar w:fldCharType="end"/>
          </w:r>
          <w:r>
            <w:fldChar w:fldCharType="end"/>
          </w:r>
        </w:p>
        <w:p w14:paraId="59FC0321">
          <w:pPr>
            <w:pStyle w:val="17"/>
            <w:tabs>
              <w:tab w:val="left" w:pos="1100"/>
              <w:tab w:val="right" w:leader="dot" w:pos="8296"/>
            </w:tabs>
            <w:rPr>
              <w:rFonts w:hint="eastAsia" w:cstheme="minorBidi"/>
            </w:rPr>
          </w:pPr>
          <w:r>
            <w:fldChar w:fldCharType="begin"/>
          </w:r>
          <w:r>
            <w:instrText xml:space="preserve"> HYPERLINK \l "_Toc239521161" </w:instrText>
          </w:r>
          <w:r>
            <w:fldChar w:fldCharType="separate"/>
          </w:r>
          <w:r>
            <w:rPr>
              <w:rStyle w:val="23"/>
              <w:rFonts w:hint="eastAsia" w:ascii="楷体" w:hAnsi="楷体" w:eastAsia="楷体"/>
              <w:b/>
              <w:bCs/>
            </w:rPr>
            <w:t>(一)</w:t>
          </w:r>
          <w:r>
            <w:rPr>
              <w:rFonts w:cstheme="minorBidi"/>
            </w:rPr>
            <w:tab/>
          </w:r>
          <w:r>
            <w:rPr>
              <w:rStyle w:val="23"/>
              <w:rFonts w:hint="eastAsia" w:ascii="楷体" w:hAnsi="楷体" w:eastAsia="楷体"/>
              <w:b/>
              <w:bCs/>
            </w:rPr>
            <w:t>组织管理</w:t>
          </w:r>
          <w:r>
            <w:tab/>
          </w:r>
          <w:r>
            <w:fldChar w:fldCharType="begin"/>
          </w:r>
          <w:r>
            <w:instrText xml:space="preserve"> PAGEREF _Toc239521161 \h </w:instrText>
          </w:r>
          <w:r>
            <w:fldChar w:fldCharType="separate"/>
          </w:r>
          <w:r>
            <w:t>37</w:t>
          </w:r>
          <w:r>
            <w:fldChar w:fldCharType="end"/>
          </w:r>
          <w:r>
            <w:fldChar w:fldCharType="end"/>
          </w:r>
        </w:p>
        <w:p w14:paraId="59FC0322">
          <w:pPr>
            <w:pStyle w:val="17"/>
            <w:tabs>
              <w:tab w:val="left" w:pos="1100"/>
              <w:tab w:val="right" w:leader="dot" w:pos="8296"/>
            </w:tabs>
            <w:rPr>
              <w:rFonts w:hint="eastAsia" w:cstheme="minorBidi"/>
            </w:rPr>
          </w:pPr>
          <w:r>
            <w:fldChar w:fldCharType="begin"/>
          </w:r>
          <w:r>
            <w:instrText xml:space="preserve"> HYPERLINK \l "_Toc239521162" </w:instrText>
          </w:r>
          <w:r>
            <w:fldChar w:fldCharType="separate"/>
          </w:r>
          <w:r>
            <w:rPr>
              <w:rStyle w:val="23"/>
              <w:rFonts w:hint="eastAsia" w:ascii="楷体" w:hAnsi="楷体" w:eastAsia="楷体"/>
              <w:b/>
              <w:bCs/>
            </w:rPr>
            <w:t>(二)</w:t>
          </w:r>
          <w:r>
            <w:rPr>
              <w:rFonts w:cstheme="minorBidi"/>
            </w:rPr>
            <w:tab/>
          </w:r>
          <w:r>
            <w:rPr>
              <w:rStyle w:val="23"/>
              <w:rFonts w:hint="eastAsia" w:ascii="楷体" w:hAnsi="楷体" w:eastAsia="楷体"/>
              <w:b/>
              <w:bCs/>
            </w:rPr>
            <w:t>管理创新</w:t>
          </w:r>
          <w:r>
            <w:tab/>
          </w:r>
          <w:r>
            <w:fldChar w:fldCharType="begin"/>
          </w:r>
          <w:r>
            <w:instrText xml:space="preserve"> PAGEREF _Toc239521162 \h </w:instrText>
          </w:r>
          <w:r>
            <w:fldChar w:fldCharType="separate"/>
          </w:r>
          <w:r>
            <w:t>37</w:t>
          </w:r>
          <w:r>
            <w:fldChar w:fldCharType="end"/>
          </w:r>
          <w:r>
            <w:fldChar w:fldCharType="end"/>
          </w:r>
        </w:p>
        <w:p w14:paraId="59FC0323">
          <w:pPr>
            <w:pStyle w:val="15"/>
            <w:tabs>
              <w:tab w:val="left" w:pos="880"/>
              <w:tab w:val="right" w:leader="dot" w:pos="8296"/>
            </w:tabs>
            <w:rPr>
              <w:rFonts w:hint="eastAsia" w:cstheme="minorBidi"/>
            </w:rPr>
          </w:pPr>
          <w:r>
            <w:fldChar w:fldCharType="begin"/>
          </w:r>
          <w:r>
            <w:instrText xml:space="preserve"> HYPERLINK \l "_Toc239521163" </w:instrText>
          </w:r>
          <w:r>
            <w:fldChar w:fldCharType="separate"/>
          </w:r>
          <w:r>
            <w:rPr>
              <w:rStyle w:val="23"/>
              <w:rFonts w:hint="eastAsia" w:ascii="微软雅黑" w:hAnsi="微软雅黑" w:eastAsia="微软雅黑"/>
              <w:b/>
              <w:bCs/>
            </w:rPr>
            <w:t>八、</w:t>
          </w:r>
          <w:r>
            <w:rPr>
              <w:rFonts w:cstheme="minorBidi"/>
            </w:rPr>
            <w:tab/>
          </w:r>
          <w:r>
            <w:rPr>
              <w:rStyle w:val="23"/>
              <w:rFonts w:hint="eastAsia" w:ascii="微软雅黑" w:hAnsi="微软雅黑" w:eastAsia="微软雅黑"/>
              <w:b/>
              <w:bCs/>
            </w:rPr>
            <w:t>经验、问题与建议</w:t>
          </w:r>
          <w:r>
            <w:tab/>
          </w:r>
          <w:r>
            <w:fldChar w:fldCharType="begin"/>
          </w:r>
          <w:r>
            <w:instrText xml:space="preserve"> PAGEREF _Toc239521163 \h </w:instrText>
          </w:r>
          <w:r>
            <w:fldChar w:fldCharType="separate"/>
          </w:r>
          <w:r>
            <w:t>38</w:t>
          </w:r>
          <w:r>
            <w:fldChar w:fldCharType="end"/>
          </w:r>
          <w:r>
            <w:fldChar w:fldCharType="end"/>
          </w:r>
        </w:p>
        <w:p w14:paraId="59FC0324">
          <w:pPr>
            <w:pStyle w:val="17"/>
            <w:tabs>
              <w:tab w:val="left" w:pos="1100"/>
              <w:tab w:val="right" w:leader="dot" w:pos="8296"/>
            </w:tabs>
            <w:rPr>
              <w:rFonts w:hint="eastAsia" w:cstheme="minorBidi"/>
            </w:rPr>
          </w:pPr>
          <w:r>
            <w:fldChar w:fldCharType="begin"/>
          </w:r>
          <w:r>
            <w:instrText xml:space="preserve"> HYPERLINK \l "_Toc239521164" </w:instrText>
          </w:r>
          <w:r>
            <w:fldChar w:fldCharType="separate"/>
          </w:r>
          <w:r>
            <w:rPr>
              <w:rStyle w:val="23"/>
              <w:rFonts w:hint="eastAsia" w:ascii="楷体" w:hAnsi="楷体" w:eastAsia="楷体"/>
              <w:b/>
              <w:bCs/>
            </w:rPr>
            <w:t>(一)</w:t>
          </w:r>
          <w:r>
            <w:rPr>
              <w:rFonts w:cstheme="minorBidi"/>
            </w:rPr>
            <w:tab/>
          </w:r>
          <w:r>
            <w:rPr>
              <w:rStyle w:val="23"/>
              <w:rFonts w:hint="eastAsia" w:ascii="楷体" w:hAnsi="楷体" w:eastAsia="楷体"/>
              <w:b/>
              <w:bCs/>
            </w:rPr>
            <w:t>主要经验</w:t>
          </w:r>
          <w:r>
            <w:tab/>
          </w:r>
          <w:r>
            <w:fldChar w:fldCharType="begin"/>
          </w:r>
          <w:r>
            <w:instrText xml:space="preserve"> PAGEREF _Toc239521164 \h </w:instrText>
          </w:r>
          <w:r>
            <w:fldChar w:fldCharType="separate"/>
          </w:r>
          <w:r>
            <w:t>38</w:t>
          </w:r>
          <w:r>
            <w:fldChar w:fldCharType="end"/>
          </w:r>
          <w:r>
            <w:fldChar w:fldCharType="end"/>
          </w:r>
        </w:p>
        <w:p w14:paraId="59FC0325">
          <w:pPr>
            <w:pStyle w:val="17"/>
            <w:tabs>
              <w:tab w:val="left" w:pos="1100"/>
              <w:tab w:val="right" w:leader="dot" w:pos="8296"/>
            </w:tabs>
            <w:rPr>
              <w:rFonts w:hint="eastAsia" w:cstheme="minorBidi"/>
            </w:rPr>
          </w:pPr>
          <w:r>
            <w:fldChar w:fldCharType="begin"/>
          </w:r>
          <w:r>
            <w:instrText xml:space="preserve"> HYPERLINK \l "_Toc239521165" </w:instrText>
          </w:r>
          <w:r>
            <w:fldChar w:fldCharType="separate"/>
          </w:r>
          <w:r>
            <w:rPr>
              <w:rStyle w:val="23"/>
              <w:rFonts w:hint="eastAsia" w:ascii="楷体" w:hAnsi="楷体" w:eastAsia="楷体"/>
              <w:b/>
              <w:bCs/>
            </w:rPr>
            <w:t>(二)</w:t>
          </w:r>
          <w:r>
            <w:rPr>
              <w:rFonts w:cstheme="minorBidi"/>
            </w:rPr>
            <w:tab/>
          </w:r>
          <w:r>
            <w:rPr>
              <w:rStyle w:val="23"/>
              <w:rFonts w:hint="eastAsia" w:ascii="楷体" w:hAnsi="楷体" w:eastAsia="楷体"/>
              <w:b/>
              <w:bCs/>
            </w:rPr>
            <w:t>存在的主要问题</w:t>
          </w:r>
          <w:r>
            <w:tab/>
          </w:r>
          <w:r>
            <w:fldChar w:fldCharType="begin"/>
          </w:r>
          <w:r>
            <w:instrText xml:space="preserve"> PAGEREF _Toc239521165 \h </w:instrText>
          </w:r>
          <w:r>
            <w:fldChar w:fldCharType="separate"/>
          </w:r>
          <w:r>
            <w:t>39</w:t>
          </w:r>
          <w:r>
            <w:fldChar w:fldCharType="end"/>
          </w:r>
          <w:r>
            <w:fldChar w:fldCharType="end"/>
          </w:r>
        </w:p>
        <w:p w14:paraId="59FC0326">
          <w:pPr>
            <w:pStyle w:val="15"/>
            <w:tabs>
              <w:tab w:val="left" w:pos="880"/>
              <w:tab w:val="right" w:leader="dot" w:pos="8296"/>
            </w:tabs>
            <w:rPr>
              <w:rFonts w:hint="eastAsia" w:cstheme="minorBidi"/>
            </w:rPr>
          </w:pPr>
          <w:r>
            <w:fldChar w:fldCharType="begin"/>
          </w:r>
          <w:r>
            <w:instrText xml:space="preserve"> HYPERLINK \l "_Toc239521166" </w:instrText>
          </w:r>
          <w:r>
            <w:fldChar w:fldCharType="separate"/>
          </w:r>
          <w:r>
            <w:rPr>
              <w:rStyle w:val="23"/>
              <w:rFonts w:hint="eastAsia" w:ascii="微软雅黑" w:hAnsi="微软雅黑" w:eastAsia="微软雅黑"/>
              <w:b/>
              <w:bCs/>
            </w:rPr>
            <w:t>九、</w:t>
          </w:r>
          <w:r>
            <w:rPr>
              <w:rFonts w:cstheme="minorBidi"/>
            </w:rPr>
            <w:tab/>
          </w:r>
          <w:r>
            <w:rPr>
              <w:rStyle w:val="23"/>
              <w:rFonts w:hint="eastAsia" w:ascii="微软雅黑" w:hAnsi="微软雅黑" w:eastAsia="微软雅黑"/>
              <w:b/>
              <w:bCs/>
            </w:rPr>
            <w:t>下一步工作计划</w:t>
          </w:r>
          <w:r>
            <w:tab/>
          </w:r>
          <w:r>
            <w:fldChar w:fldCharType="begin"/>
          </w:r>
          <w:r>
            <w:instrText xml:space="preserve"> PAGEREF _Toc239521166 \h </w:instrText>
          </w:r>
          <w:r>
            <w:fldChar w:fldCharType="separate"/>
          </w:r>
          <w:r>
            <w:t>39</w:t>
          </w:r>
          <w:r>
            <w:fldChar w:fldCharType="end"/>
          </w:r>
          <w:r>
            <w:fldChar w:fldCharType="end"/>
          </w:r>
        </w:p>
        <w:p w14:paraId="59FC0327">
          <w:pPr>
            <w:pStyle w:val="15"/>
            <w:tabs>
              <w:tab w:val="left" w:pos="880"/>
              <w:tab w:val="right" w:leader="dot" w:pos="8296"/>
            </w:tabs>
            <w:rPr>
              <w:rFonts w:hint="eastAsia" w:cstheme="minorBidi"/>
            </w:rPr>
          </w:pPr>
          <w:r>
            <w:fldChar w:fldCharType="begin"/>
          </w:r>
          <w:r>
            <w:instrText xml:space="preserve"> HYPERLINK \l "_Toc239521167" </w:instrText>
          </w:r>
          <w:r>
            <w:fldChar w:fldCharType="separate"/>
          </w:r>
          <w:r>
            <w:rPr>
              <w:rStyle w:val="23"/>
              <w:rFonts w:hint="eastAsia" w:ascii="微软雅黑" w:hAnsi="微软雅黑" w:eastAsia="微软雅黑"/>
              <w:b/>
              <w:bCs/>
            </w:rPr>
            <w:t>十、</w:t>
          </w:r>
          <w:r>
            <w:rPr>
              <w:rFonts w:cstheme="minorBidi"/>
            </w:rPr>
            <w:tab/>
          </w:r>
          <w:r>
            <w:rPr>
              <w:rStyle w:val="23"/>
              <w:rFonts w:hint="eastAsia" w:ascii="微软雅黑" w:hAnsi="微软雅黑" w:eastAsia="微软雅黑"/>
              <w:b/>
              <w:bCs/>
            </w:rPr>
            <w:t>承诺书</w:t>
          </w:r>
          <w:r>
            <w:tab/>
          </w:r>
          <w:r>
            <w:fldChar w:fldCharType="begin"/>
          </w:r>
          <w:r>
            <w:instrText xml:space="preserve"> PAGEREF _Toc239521167 \h </w:instrText>
          </w:r>
          <w:r>
            <w:fldChar w:fldCharType="separate"/>
          </w:r>
          <w:r>
            <w:t>42</w:t>
          </w:r>
          <w:r>
            <w:fldChar w:fldCharType="end"/>
          </w:r>
          <w:r>
            <w:fldChar w:fldCharType="end"/>
          </w:r>
        </w:p>
        <w:p w14:paraId="59FC0328">
          <w:pPr>
            <w:rPr>
              <w:rFonts w:hint="eastAsia"/>
            </w:rPr>
          </w:pPr>
          <w:r>
            <w:rPr>
              <w:b/>
              <w:bCs/>
              <w:lang w:val="zh-CN"/>
            </w:rPr>
            <w:fldChar w:fldCharType="end"/>
          </w:r>
        </w:p>
      </w:sdtContent>
    </w:sdt>
    <w:p w14:paraId="59FC0329">
      <w:pPr>
        <w:pStyle w:val="2"/>
        <w:numPr>
          <w:ilvl w:val="0"/>
          <w:numId w:val="2"/>
        </w:numPr>
        <w:rPr>
          <w:rFonts w:hint="eastAsia" w:ascii="微软雅黑" w:hAnsi="微软雅黑" w:eastAsia="微软雅黑"/>
          <w:b/>
          <w:bCs/>
          <w:color w:val="auto"/>
          <w:sz w:val="36"/>
          <w:szCs w:val="36"/>
        </w:rPr>
      </w:pPr>
      <w:bookmarkStart w:id="0" w:name="_Toc239521145"/>
      <w:r>
        <w:rPr>
          <w:rFonts w:ascii="微软雅黑" w:hAnsi="微软雅黑" w:eastAsia="微软雅黑"/>
          <w:b/>
          <w:bCs/>
          <w:color w:val="auto"/>
          <w:sz w:val="36"/>
          <w:szCs w:val="36"/>
        </w:rPr>
        <w:t>课题基本情况</w:t>
      </w:r>
      <w:bookmarkEnd w:id="0"/>
    </w:p>
    <w:p w14:paraId="59FC032A">
      <w:pPr>
        <w:pStyle w:val="38"/>
        <w:numPr>
          <w:ilvl w:val="0"/>
          <w:numId w:val="3"/>
        </w:numPr>
        <w:spacing w:line="360" w:lineRule="auto"/>
        <w:rPr>
          <w:rStyle w:val="26"/>
          <w:rFonts w:hint="eastAsia" w:ascii="宋体" w:hAnsi="宋体" w:eastAsia="宋体" w:cstheme="minorBidi"/>
          <w:i/>
          <w:iCs/>
          <w:color w:val="auto"/>
          <w:sz w:val="28"/>
          <w:szCs w:val="28"/>
        </w:rPr>
      </w:pPr>
      <w:bookmarkStart w:id="1" w:name="_Toc239521146"/>
      <w:r>
        <w:rPr>
          <w:rStyle w:val="26"/>
          <w:rFonts w:ascii="楷体" w:hAnsi="楷体" w:eastAsia="楷体"/>
          <w:color w:val="auto"/>
          <w:sz w:val="28"/>
          <w:szCs w:val="28"/>
        </w:rPr>
        <w:t>分承研合同基本情况</w:t>
      </w:r>
      <w:bookmarkEnd w:id="1"/>
    </w:p>
    <w:p w14:paraId="59FC032B">
      <w:pPr>
        <w:pStyle w:val="38"/>
        <w:spacing w:line="360" w:lineRule="auto"/>
        <w:ind w:left="440"/>
        <w:rPr>
          <w:rFonts w:hint="eastAsia" w:ascii="宋体" w:hAnsi="宋体" w:eastAsia="宋体"/>
          <w:i/>
          <w:iCs/>
          <w:sz w:val="28"/>
          <w:szCs w:val="28"/>
        </w:rPr>
      </w:pPr>
      <w:r>
        <w:rPr>
          <w:rFonts w:ascii="宋体" w:hAnsi="宋体" w:eastAsia="宋体"/>
          <w:i/>
          <w:iCs/>
          <w:sz w:val="28"/>
          <w:szCs w:val="28"/>
        </w:rPr>
        <w:t>（任务总体目标，中期考察节点内容，要与合同保持一致；</w:t>
      </w:r>
      <w:bookmarkStart w:id="2" w:name="_Hlk239358550"/>
      <w:r>
        <w:rPr>
          <w:rFonts w:ascii="宋体" w:hAnsi="宋体" w:eastAsia="宋体"/>
          <w:i/>
          <w:iCs/>
          <w:sz w:val="28"/>
          <w:szCs w:val="28"/>
        </w:rPr>
        <w:t>攻坚计划进度安排，</w:t>
      </w:r>
      <w:bookmarkEnd w:id="2"/>
      <w:r>
        <w:rPr>
          <w:rFonts w:ascii="宋体" w:hAnsi="宋体" w:eastAsia="宋体"/>
          <w:i/>
          <w:iCs/>
          <w:sz w:val="28"/>
          <w:szCs w:val="28"/>
        </w:rPr>
        <w:t>要与攻坚计划保持一致）</w:t>
      </w:r>
    </w:p>
    <w:p w14:paraId="59FC032C">
      <w:pPr>
        <w:spacing w:line="360" w:lineRule="auto"/>
        <w:ind w:firstLine="420"/>
        <w:rPr>
          <w:rFonts w:hint="eastAsia" w:ascii="宋体" w:hAnsi="宋体" w:eastAsia="宋体"/>
          <w:sz w:val="21"/>
          <w:szCs w:val="21"/>
        </w:rPr>
      </w:pPr>
      <w:r>
        <w:rPr>
          <w:rFonts w:hint="eastAsia" w:ascii="宋体" w:hAnsi="宋体" w:eastAsia="宋体"/>
          <w:sz w:val="21"/>
          <w:szCs w:val="21"/>
        </w:rPr>
        <w:t>任务总体目标包含：1）</w:t>
      </w:r>
      <w:r>
        <w:rPr>
          <w:rFonts w:ascii="宋体" w:hAnsi="宋体" w:eastAsia="宋体"/>
          <w:sz w:val="21"/>
          <w:szCs w:val="21"/>
        </w:rPr>
        <w:t>获得可用于非平衡态等离子体诊断的汤姆逊散射模型</w:t>
      </w:r>
      <w:r>
        <w:rPr>
          <w:rFonts w:hint="eastAsia" w:ascii="宋体" w:hAnsi="宋体" w:eastAsia="宋体"/>
          <w:sz w:val="21"/>
          <w:szCs w:val="21"/>
        </w:rPr>
        <w:t>；2）</w:t>
      </w:r>
      <w:r>
        <w:rPr>
          <w:rFonts w:ascii="宋体" w:hAnsi="宋体" w:eastAsia="宋体"/>
          <w:sz w:val="21"/>
          <w:szCs w:val="21"/>
        </w:rPr>
        <w:t>完成包含碰撞效应的激光等离子体相互作用的动理学模拟程序建模与开发</w:t>
      </w:r>
      <w:r>
        <w:rPr>
          <w:rFonts w:hint="eastAsia" w:ascii="宋体" w:hAnsi="宋体" w:eastAsia="宋体"/>
          <w:sz w:val="21"/>
          <w:szCs w:val="21"/>
        </w:rPr>
        <w:t>；3）</w:t>
      </w:r>
      <w:r>
        <w:rPr>
          <w:rFonts w:ascii="宋体" w:hAnsi="宋体" w:eastAsia="宋体"/>
          <w:sz w:val="21"/>
          <w:szCs w:val="21"/>
        </w:rPr>
        <w:t>掌握多组份等离子体中碰撞效应对汤姆逊散射谱的影响规律</w:t>
      </w:r>
      <w:r>
        <w:rPr>
          <w:rFonts w:hint="eastAsia" w:ascii="宋体" w:hAnsi="宋体" w:eastAsia="宋体"/>
          <w:sz w:val="21"/>
          <w:szCs w:val="21"/>
        </w:rPr>
        <w:t>；4）</w:t>
      </w:r>
      <w:r>
        <w:rPr>
          <w:rFonts w:ascii="宋体" w:hAnsi="宋体" w:eastAsia="宋体"/>
          <w:sz w:val="21"/>
          <w:szCs w:val="21"/>
        </w:rPr>
        <w:t>掌握多组份等离子体中碰撞效应对激光等离子体不稳定性的影响规律</w:t>
      </w:r>
      <w:r>
        <w:rPr>
          <w:rFonts w:hint="eastAsia" w:ascii="宋体" w:hAnsi="宋体" w:eastAsia="宋体"/>
          <w:sz w:val="21"/>
          <w:szCs w:val="21"/>
        </w:rPr>
        <w:t>。</w:t>
      </w:r>
    </w:p>
    <w:p w14:paraId="59FC032D">
      <w:pPr>
        <w:spacing w:line="360" w:lineRule="auto"/>
        <w:ind w:firstLine="420"/>
        <w:rPr>
          <w:rFonts w:hint="eastAsia" w:ascii="宋体" w:hAnsi="宋体" w:eastAsia="宋体"/>
          <w:sz w:val="21"/>
          <w:szCs w:val="21"/>
        </w:rPr>
      </w:pPr>
      <w:r>
        <w:rPr>
          <w:rFonts w:hint="eastAsia" w:ascii="宋体" w:hAnsi="宋体" w:eastAsia="宋体"/>
          <w:sz w:val="21"/>
          <w:szCs w:val="21"/>
        </w:rPr>
        <w:t>中期考察节点内容包括：</w:t>
      </w:r>
      <w:r>
        <w:rPr>
          <w:rFonts w:ascii="宋体" w:hAnsi="宋体" w:eastAsia="宋体"/>
          <w:sz w:val="21"/>
          <w:szCs w:val="21"/>
        </w:rPr>
        <w:t>1）在LPI程序中处理碰撞吸收、碰撞阻尼等效应的物理模型</w:t>
      </w:r>
      <w:r>
        <w:rPr>
          <w:rFonts w:hint="eastAsia" w:ascii="宋体" w:hAnsi="宋体" w:eastAsia="宋体"/>
          <w:sz w:val="21"/>
          <w:szCs w:val="21"/>
        </w:rPr>
        <w:t>，具体可考核、验证成果构成为</w:t>
      </w:r>
      <w:r>
        <w:rPr>
          <w:rFonts w:ascii="宋体" w:hAnsi="宋体" w:eastAsia="宋体"/>
          <w:sz w:val="21"/>
          <w:szCs w:val="21"/>
        </w:rPr>
        <w:t>处理多组分等离子体LPI过程中的碰撞吸收、碰撞阻尼等效应的物理模型</w:t>
      </w:r>
      <w:r>
        <w:rPr>
          <w:rFonts w:hint="eastAsia" w:ascii="宋体" w:hAnsi="宋体" w:eastAsia="宋体"/>
          <w:sz w:val="21"/>
          <w:szCs w:val="21"/>
        </w:rPr>
        <w:t>；</w:t>
      </w:r>
      <w:r>
        <w:rPr>
          <w:rFonts w:ascii="宋体" w:hAnsi="宋体" w:eastAsia="宋体"/>
          <w:sz w:val="21"/>
          <w:szCs w:val="21"/>
        </w:rPr>
        <w:t>2）多组份等离子体中的LPI数据</w:t>
      </w:r>
      <w:r>
        <w:rPr>
          <w:rFonts w:hint="eastAsia" w:ascii="宋体" w:hAnsi="宋体" w:eastAsia="宋体"/>
          <w:sz w:val="21"/>
          <w:szCs w:val="21"/>
        </w:rPr>
        <w:t>，具体可考核、验证成果构成为含</w:t>
      </w:r>
      <w:r>
        <w:rPr>
          <w:rFonts w:ascii="宋体" w:hAnsi="宋体" w:eastAsia="宋体"/>
          <w:sz w:val="21"/>
          <w:szCs w:val="21"/>
        </w:rPr>
        <w:t>碰撞效应对多组份等离子体中LPI增长率、散射光份额和频谱等影响的数据集</w:t>
      </w:r>
      <w:r>
        <w:rPr>
          <w:rFonts w:hint="eastAsia" w:ascii="宋体" w:hAnsi="宋体" w:eastAsia="宋体"/>
          <w:sz w:val="21"/>
          <w:szCs w:val="21"/>
        </w:rPr>
        <w:t>；</w:t>
      </w:r>
      <w:r>
        <w:rPr>
          <w:rFonts w:ascii="宋体" w:hAnsi="宋体" w:eastAsia="宋体"/>
          <w:sz w:val="21"/>
          <w:szCs w:val="21"/>
        </w:rPr>
        <w:t>3）多组份等离子体中碰撞效应对LPI影响的研究报告</w:t>
      </w:r>
      <w:r>
        <w:rPr>
          <w:rFonts w:hint="eastAsia" w:ascii="宋体" w:hAnsi="宋体" w:eastAsia="宋体"/>
          <w:sz w:val="21"/>
          <w:szCs w:val="21"/>
        </w:rPr>
        <w:t>，具体可考核、验证成果构成为</w:t>
      </w:r>
      <w:r>
        <w:rPr>
          <w:rFonts w:ascii="宋体" w:hAnsi="宋体" w:eastAsia="宋体"/>
          <w:sz w:val="21"/>
          <w:szCs w:val="21"/>
        </w:rPr>
        <w:t>关于多组份等离子体中碰撞效应对LPI增长率、散射光份额和频谱、以及超热电子产生等影响的研究报告1篇</w:t>
      </w:r>
      <w:r>
        <w:rPr>
          <w:rFonts w:hint="eastAsia" w:ascii="宋体" w:hAnsi="宋体" w:eastAsia="宋体"/>
          <w:sz w:val="21"/>
          <w:szCs w:val="21"/>
        </w:rPr>
        <w:t>；</w:t>
      </w:r>
      <w:r>
        <w:rPr>
          <w:rFonts w:ascii="宋体" w:hAnsi="宋体" w:eastAsia="宋体"/>
          <w:sz w:val="21"/>
          <w:szCs w:val="21"/>
        </w:rPr>
        <w:t>4）研究论文发表</w:t>
      </w:r>
      <w:r>
        <w:rPr>
          <w:rFonts w:hint="eastAsia" w:ascii="宋体" w:hAnsi="宋体" w:eastAsia="宋体"/>
          <w:sz w:val="21"/>
          <w:szCs w:val="21"/>
        </w:rPr>
        <w:t>，具体可考核、验证成果构成为</w:t>
      </w:r>
      <w:r>
        <w:rPr>
          <w:rFonts w:ascii="宋体" w:hAnsi="宋体" w:eastAsia="宋体"/>
          <w:sz w:val="21"/>
          <w:szCs w:val="21"/>
        </w:rPr>
        <w:t>第一标注SCI论文1篇</w:t>
      </w:r>
      <w:r>
        <w:rPr>
          <w:rFonts w:hint="eastAsia" w:ascii="宋体" w:hAnsi="宋体" w:eastAsia="宋体"/>
          <w:sz w:val="21"/>
          <w:szCs w:val="21"/>
        </w:rPr>
        <w:t>。</w:t>
      </w:r>
    </w:p>
    <w:p w14:paraId="59FC032E">
      <w:pPr>
        <w:spacing w:line="360" w:lineRule="auto"/>
        <w:ind w:firstLine="420"/>
        <w:rPr>
          <w:rFonts w:hint="eastAsia" w:ascii="宋体" w:hAnsi="宋体" w:eastAsia="宋体"/>
          <w:sz w:val="21"/>
          <w:szCs w:val="21"/>
        </w:rPr>
      </w:pPr>
      <w:r>
        <w:rPr>
          <w:rFonts w:hint="eastAsia" w:ascii="宋体" w:hAnsi="宋体" w:eastAsia="宋体"/>
          <w:sz w:val="21"/>
          <w:szCs w:val="21"/>
        </w:rPr>
        <w:t>攻坚计划进度安排：1）建立非平衡态等离子体系统的汤姆逊散射模型，以及包含碰撞吸收、碰撞阻尼等效应的</w:t>
      </w:r>
      <w:r>
        <w:rPr>
          <w:rFonts w:ascii="宋体" w:hAnsi="宋体" w:eastAsia="宋体"/>
          <w:sz w:val="21"/>
          <w:szCs w:val="21"/>
        </w:rPr>
        <w:t>LPI动理学模型</w:t>
      </w:r>
      <w:r>
        <w:rPr>
          <w:rFonts w:hint="eastAsia" w:ascii="宋体" w:hAnsi="宋体" w:eastAsia="宋体"/>
          <w:sz w:val="21"/>
          <w:szCs w:val="21"/>
        </w:rPr>
        <w:t>，完成时间2</w:t>
      </w:r>
      <w:r>
        <w:rPr>
          <w:rFonts w:ascii="宋体" w:hAnsi="宋体" w:eastAsia="宋体"/>
          <w:sz w:val="21"/>
          <w:szCs w:val="21"/>
        </w:rPr>
        <w:t>025</w:t>
      </w:r>
      <w:r>
        <w:rPr>
          <w:rFonts w:hint="eastAsia" w:ascii="宋体" w:hAnsi="宋体" w:eastAsia="宋体"/>
          <w:sz w:val="21"/>
          <w:szCs w:val="21"/>
        </w:rPr>
        <w:t>年1</w:t>
      </w:r>
      <w:r>
        <w:rPr>
          <w:rFonts w:ascii="宋体" w:hAnsi="宋体" w:eastAsia="宋体"/>
          <w:sz w:val="21"/>
          <w:szCs w:val="21"/>
        </w:rPr>
        <w:t>2</w:t>
      </w:r>
      <w:r>
        <w:rPr>
          <w:rFonts w:hint="eastAsia" w:ascii="宋体" w:hAnsi="宋体" w:eastAsia="宋体"/>
          <w:sz w:val="21"/>
          <w:szCs w:val="21"/>
        </w:rPr>
        <w:t>月；2）建立多组份混合等离子体的状态参数、汤姆逊散射光谱和电子速度分布函数之间的映射模型，完成时间</w:t>
      </w:r>
      <w:r>
        <w:rPr>
          <w:rFonts w:ascii="宋体" w:hAnsi="宋体" w:eastAsia="宋体"/>
          <w:sz w:val="21"/>
          <w:szCs w:val="21"/>
        </w:rPr>
        <w:t>2026年6月</w:t>
      </w:r>
      <w:r>
        <w:rPr>
          <w:rFonts w:hint="eastAsia" w:ascii="宋体" w:hAnsi="宋体" w:eastAsia="宋体"/>
          <w:sz w:val="21"/>
          <w:szCs w:val="21"/>
        </w:rPr>
        <w:t>；3）建立基于机器学习的多组份等离子体混合精细状态的汤姆逊散射实验数据分析方法，完成时间</w:t>
      </w:r>
      <w:r>
        <w:rPr>
          <w:rFonts w:ascii="宋体" w:hAnsi="宋体" w:eastAsia="宋体"/>
          <w:sz w:val="21"/>
          <w:szCs w:val="21"/>
        </w:rPr>
        <w:t>2027年6月</w:t>
      </w:r>
      <w:r>
        <w:rPr>
          <w:rFonts w:hint="eastAsia" w:ascii="宋体" w:hAnsi="宋体" w:eastAsia="宋体"/>
          <w:sz w:val="21"/>
          <w:szCs w:val="21"/>
        </w:rPr>
        <w:t>；4）获得多组份等离子体混合对</w:t>
      </w:r>
      <w:r>
        <w:rPr>
          <w:rFonts w:ascii="宋体" w:hAnsi="宋体" w:eastAsia="宋体"/>
          <w:sz w:val="21"/>
          <w:szCs w:val="21"/>
        </w:rPr>
        <w:t>LPI的阻尼率、增长率和散射光谱及背反份额的规律性认识</w:t>
      </w:r>
      <w:r>
        <w:rPr>
          <w:rFonts w:hint="eastAsia" w:ascii="宋体" w:hAnsi="宋体" w:eastAsia="宋体"/>
          <w:sz w:val="21"/>
          <w:szCs w:val="21"/>
        </w:rPr>
        <w:t>，完成时间</w:t>
      </w:r>
      <w:r>
        <w:rPr>
          <w:rFonts w:ascii="宋体" w:hAnsi="宋体" w:eastAsia="宋体"/>
          <w:sz w:val="21"/>
          <w:szCs w:val="21"/>
        </w:rPr>
        <w:t>2027年6月</w:t>
      </w:r>
      <w:r>
        <w:rPr>
          <w:rFonts w:hint="eastAsia" w:ascii="宋体" w:hAnsi="宋体" w:eastAsia="宋体"/>
          <w:sz w:val="21"/>
          <w:szCs w:val="21"/>
        </w:rPr>
        <w:t>（共同负责人湖南大学</w:t>
      </w:r>
      <w:r>
        <w:rPr>
          <w:rFonts w:ascii="宋体" w:hAnsi="宋体" w:eastAsia="宋体"/>
          <w:sz w:val="21"/>
          <w:szCs w:val="21"/>
        </w:rPr>
        <w:t>肖成卓、</w:t>
      </w:r>
      <w:r>
        <w:rPr>
          <w:rFonts w:hint="eastAsia" w:ascii="宋体" w:hAnsi="宋体" w:eastAsia="宋体"/>
          <w:sz w:val="21"/>
          <w:szCs w:val="21"/>
        </w:rPr>
        <w:t>上海交大</w:t>
      </w:r>
      <w:r>
        <w:rPr>
          <w:rFonts w:ascii="宋体" w:hAnsi="宋体" w:eastAsia="宋体"/>
          <w:sz w:val="21"/>
          <w:szCs w:val="21"/>
        </w:rPr>
        <w:t>翁苏明</w:t>
      </w:r>
      <w:r>
        <w:rPr>
          <w:rFonts w:hint="eastAsia" w:ascii="宋体" w:hAnsi="宋体" w:eastAsia="宋体"/>
          <w:sz w:val="21"/>
          <w:szCs w:val="21"/>
        </w:rPr>
        <w:t>）；5）基于汤姆逊散射光谱结构信息，结合模拟仿真，获得多组分混合对电子热流的物理影响规律，完成时间</w:t>
      </w:r>
      <w:r>
        <w:rPr>
          <w:rFonts w:ascii="宋体" w:hAnsi="宋体" w:eastAsia="宋体"/>
          <w:sz w:val="21"/>
          <w:szCs w:val="21"/>
        </w:rPr>
        <w:t>2027年12月</w:t>
      </w:r>
      <w:r>
        <w:rPr>
          <w:rFonts w:hint="eastAsia" w:ascii="宋体" w:hAnsi="宋体" w:eastAsia="宋体"/>
          <w:sz w:val="21"/>
          <w:szCs w:val="21"/>
        </w:rPr>
        <w:t>（共同负责人</w:t>
      </w:r>
      <w:r>
        <w:rPr>
          <w:rFonts w:ascii="宋体" w:hAnsi="宋体" w:eastAsia="宋体"/>
          <w:sz w:val="21"/>
          <w:szCs w:val="21"/>
        </w:rPr>
        <w:t>中物院八所刘耀远、上海交大翁苏明</w:t>
      </w:r>
      <w:r>
        <w:rPr>
          <w:rFonts w:hint="eastAsia" w:ascii="宋体" w:hAnsi="宋体" w:eastAsia="宋体"/>
          <w:sz w:val="21"/>
          <w:szCs w:val="21"/>
        </w:rPr>
        <w:t>）。</w:t>
      </w:r>
    </w:p>
    <w:p w14:paraId="59FC032F">
      <w:pPr>
        <w:spacing w:line="360" w:lineRule="auto"/>
        <w:ind w:firstLine="420"/>
        <w:rPr>
          <w:rFonts w:hint="eastAsia" w:ascii="宋体" w:hAnsi="宋体" w:eastAsia="宋体"/>
          <w:sz w:val="21"/>
          <w:szCs w:val="21"/>
        </w:rPr>
      </w:pPr>
    </w:p>
    <w:p w14:paraId="59FC0330">
      <w:pPr>
        <w:pStyle w:val="38"/>
        <w:numPr>
          <w:ilvl w:val="0"/>
          <w:numId w:val="3"/>
        </w:numPr>
        <w:spacing w:line="360" w:lineRule="auto"/>
        <w:rPr>
          <w:rStyle w:val="26"/>
          <w:rFonts w:hint="eastAsia" w:ascii="宋体" w:hAnsi="宋体" w:eastAsia="宋体" w:cstheme="minorBidi"/>
          <w:i/>
          <w:iCs/>
          <w:color w:val="auto"/>
          <w:sz w:val="28"/>
          <w:szCs w:val="28"/>
        </w:rPr>
      </w:pPr>
      <w:bookmarkStart w:id="3" w:name="_Toc239521147"/>
      <w:r>
        <w:rPr>
          <w:rStyle w:val="26"/>
          <w:rFonts w:ascii="楷体" w:hAnsi="楷体" w:eastAsia="楷体"/>
          <w:color w:val="auto"/>
          <w:sz w:val="28"/>
          <w:szCs w:val="28"/>
        </w:rPr>
        <w:t>节点目标完成情况</w:t>
      </w:r>
      <w:bookmarkEnd w:id="3"/>
    </w:p>
    <w:p w14:paraId="59FC0331">
      <w:pPr>
        <w:pStyle w:val="38"/>
        <w:spacing w:line="360" w:lineRule="auto"/>
        <w:ind w:left="440"/>
        <w:rPr>
          <w:rFonts w:hint="eastAsia" w:ascii="宋体" w:hAnsi="宋体" w:eastAsia="宋体"/>
          <w:i/>
          <w:iCs/>
          <w:sz w:val="28"/>
          <w:szCs w:val="28"/>
        </w:rPr>
      </w:pPr>
      <w:r>
        <w:rPr>
          <w:rFonts w:ascii="宋体" w:hAnsi="宋体" w:eastAsia="宋体"/>
          <w:i/>
          <w:iCs/>
          <w:sz w:val="28"/>
          <w:szCs w:val="28"/>
        </w:rPr>
        <w:t>（对标合同和攻坚计划，要明确写出已完成、部分完成或者未完成）</w:t>
      </w:r>
    </w:p>
    <w:p w14:paraId="59FC0332">
      <w:pPr>
        <w:spacing w:after="0" w:line="520" w:lineRule="exact"/>
        <w:jc w:val="center"/>
        <w:rPr>
          <w:rFonts w:hint="eastAsia" w:ascii="宋体" w:hAnsi="宋体" w:eastAsia="宋体"/>
          <w:b/>
          <w:bCs/>
          <w:sz w:val="28"/>
          <w:szCs w:val="28"/>
        </w:rPr>
      </w:pPr>
      <w:r>
        <w:rPr>
          <w:rFonts w:ascii="宋体" w:hAnsi="宋体" w:eastAsia="宋体"/>
          <w:b/>
          <w:bCs/>
          <w:sz w:val="28"/>
          <w:szCs w:val="28"/>
        </w:rPr>
        <w:t>表 1 合同节点成果完成情况</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2410"/>
        <w:gridCol w:w="1832"/>
        <w:gridCol w:w="2074"/>
      </w:tblGrid>
      <w:tr w14:paraId="59FC0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14:paraId="59FC0333">
            <w:pPr>
              <w:spacing w:after="0" w:line="240" w:lineRule="auto"/>
              <w:jc w:val="center"/>
              <w:rPr>
                <w:rFonts w:hint="eastAsia" w:ascii="宋体" w:hAnsi="宋体" w:eastAsia="宋体"/>
                <w:b/>
                <w:bCs/>
                <w:sz w:val="21"/>
                <w:szCs w:val="21"/>
              </w:rPr>
            </w:pPr>
            <w:r>
              <w:rPr>
                <w:rFonts w:ascii="宋体" w:hAnsi="宋体" w:eastAsia="宋体"/>
                <w:b/>
                <w:bCs/>
                <w:sz w:val="21"/>
                <w:szCs w:val="21"/>
              </w:rPr>
              <w:t>合同节点成果</w:t>
            </w:r>
          </w:p>
        </w:tc>
        <w:tc>
          <w:tcPr>
            <w:tcW w:w="2410" w:type="dxa"/>
            <w:vAlign w:val="center"/>
          </w:tcPr>
          <w:p w14:paraId="59FC0334">
            <w:pPr>
              <w:spacing w:after="0" w:line="240" w:lineRule="auto"/>
              <w:jc w:val="center"/>
              <w:rPr>
                <w:rFonts w:hint="eastAsia" w:ascii="宋体" w:hAnsi="宋体" w:eastAsia="宋体"/>
                <w:b/>
                <w:bCs/>
                <w:sz w:val="21"/>
                <w:szCs w:val="21"/>
              </w:rPr>
            </w:pPr>
            <w:r>
              <w:rPr>
                <w:rFonts w:ascii="宋体" w:hAnsi="宋体" w:eastAsia="宋体"/>
                <w:b/>
                <w:bCs/>
                <w:sz w:val="21"/>
                <w:szCs w:val="21"/>
              </w:rPr>
              <w:t>完成情况</w:t>
            </w:r>
          </w:p>
        </w:tc>
        <w:tc>
          <w:tcPr>
            <w:tcW w:w="1832" w:type="dxa"/>
            <w:vAlign w:val="center"/>
          </w:tcPr>
          <w:p w14:paraId="59FC0335">
            <w:pPr>
              <w:spacing w:after="0" w:line="240" w:lineRule="auto"/>
              <w:jc w:val="center"/>
              <w:rPr>
                <w:rFonts w:hint="eastAsia" w:ascii="宋体" w:hAnsi="宋体" w:eastAsia="宋体"/>
                <w:b/>
                <w:bCs/>
                <w:sz w:val="21"/>
                <w:szCs w:val="21"/>
              </w:rPr>
            </w:pPr>
            <w:r>
              <w:rPr>
                <w:rFonts w:ascii="宋体" w:hAnsi="宋体" w:eastAsia="宋体"/>
                <w:b/>
                <w:bCs/>
                <w:sz w:val="21"/>
                <w:szCs w:val="21"/>
              </w:rPr>
              <w:t>完成情况概述</w:t>
            </w:r>
            <w:r>
              <w:rPr>
                <w:rFonts w:ascii="宋体" w:hAnsi="宋体" w:eastAsia="宋体"/>
                <w:i/>
                <w:iCs/>
                <w:sz w:val="21"/>
                <w:szCs w:val="21"/>
              </w:rPr>
              <w:t>（分已完成、未完成</w:t>
            </w:r>
            <w:r>
              <w:rPr>
                <w:rFonts w:hint="eastAsia" w:ascii="宋体" w:hAnsi="宋体" w:eastAsia="宋体"/>
                <w:i/>
                <w:iCs/>
                <w:sz w:val="21"/>
                <w:szCs w:val="21"/>
              </w:rPr>
              <w:t>+完成率</w:t>
            </w:r>
            <w:r>
              <w:rPr>
                <w:rFonts w:ascii="宋体" w:hAnsi="宋体" w:eastAsia="宋体"/>
                <w:i/>
                <w:iCs/>
                <w:sz w:val="21"/>
                <w:szCs w:val="21"/>
              </w:rPr>
              <w:t>）</w:t>
            </w:r>
          </w:p>
        </w:tc>
        <w:tc>
          <w:tcPr>
            <w:tcW w:w="2074" w:type="dxa"/>
            <w:vAlign w:val="center"/>
          </w:tcPr>
          <w:p w14:paraId="59FC0336">
            <w:pPr>
              <w:spacing w:after="0" w:line="240" w:lineRule="auto"/>
              <w:jc w:val="center"/>
              <w:rPr>
                <w:rFonts w:hint="eastAsia" w:ascii="宋体" w:hAnsi="宋体" w:eastAsia="宋体"/>
                <w:b/>
                <w:bCs/>
                <w:sz w:val="21"/>
                <w:szCs w:val="21"/>
              </w:rPr>
            </w:pPr>
            <w:r>
              <w:rPr>
                <w:rFonts w:ascii="宋体" w:hAnsi="宋体" w:eastAsia="宋体"/>
                <w:b/>
                <w:bCs/>
                <w:sz w:val="21"/>
                <w:szCs w:val="21"/>
              </w:rPr>
              <w:t>备注</w:t>
            </w:r>
            <w:r>
              <w:rPr>
                <w:rFonts w:ascii="宋体" w:hAnsi="宋体" w:eastAsia="宋体"/>
                <w:i/>
                <w:iCs/>
                <w:sz w:val="21"/>
                <w:szCs w:val="21"/>
              </w:rPr>
              <w:t>（对未达到已完成的内容进行简要说明）</w:t>
            </w:r>
          </w:p>
        </w:tc>
      </w:tr>
      <w:tr w14:paraId="59FC0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59FC0338">
            <w:pPr>
              <w:spacing w:after="0" w:line="240" w:lineRule="auto"/>
              <w:rPr>
                <w:rFonts w:hint="eastAsia" w:ascii="宋体" w:hAnsi="宋体" w:eastAsia="宋体"/>
                <w:sz w:val="21"/>
                <w:szCs w:val="21"/>
              </w:rPr>
            </w:pPr>
            <w:r>
              <w:rPr>
                <w:rFonts w:ascii="宋体" w:hAnsi="宋体" w:eastAsia="宋体"/>
                <w:sz w:val="21"/>
                <w:szCs w:val="21"/>
              </w:rPr>
              <w:t>目标 1：</w:t>
            </w:r>
            <w:r>
              <w:rPr>
                <w:rFonts w:hint="eastAsia" w:ascii="宋体" w:hAnsi="宋体" w:eastAsia="宋体"/>
                <w:sz w:val="21"/>
                <w:szCs w:val="21"/>
              </w:rPr>
              <w:t>在</w:t>
            </w:r>
            <w:r>
              <w:rPr>
                <w:rFonts w:ascii="宋体" w:hAnsi="宋体" w:eastAsia="宋体"/>
                <w:sz w:val="21"/>
                <w:szCs w:val="21"/>
              </w:rPr>
              <w:t>LPI程序中处理碰撞吸收、碰撞阻尼等效应的物理模型</w:t>
            </w:r>
          </w:p>
        </w:tc>
        <w:tc>
          <w:tcPr>
            <w:tcW w:w="2410" w:type="dxa"/>
          </w:tcPr>
          <w:p w14:paraId="59FC0339">
            <w:pPr>
              <w:spacing w:after="0" w:line="240" w:lineRule="auto"/>
              <w:rPr>
                <w:rFonts w:hint="eastAsia" w:ascii="宋体" w:hAnsi="宋体" w:eastAsia="宋体"/>
                <w:sz w:val="21"/>
                <w:szCs w:val="21"/>
              </w:rPr>
            </w:pPr>
            <w:r>
              <w:rPr>
                <w:rFonts w:hint="eastAsia" w:ascii="宋体" w:hAnsi="宋体" w:eastAsia="宋体"/>
                <w:sz w:val="21"/>
                <w:szCs w:val="21"/>
              </w:rPr>
              <w:t>已完成该物理模型建模及相应的程序开发，相关工作已发表</w:t>
            </w:r>
          </w:p>
        </w:tc>
        <w:tc>
          <w:tcPr>
            <w:tcW w:w="1832" w:type="dxa"/>
          </w:tcPr>
          <w:p w14:paraId="59FC033A">
            <w:pPr>
              <w:spacing w:after="0" w:line="240" w:lineRule="auto"/>
              <w:rPr>
                <w:rFonts w:hint="eastAsia" w:ascii="宋体" w:hAnsi="宋体" w:eastAsia="宋体"/>
                <w:sz w:val="21"/>
                <w:szCs w:val="21"/>
              </w:rPr>
            </w:pPr>
          </w:p>
          <w:p w14:paraId="59FC033B">
            <w:pPr>
              <w:spacing w:after="0" w:line="240" w:lineRule="auto"/>
              <w:rPr>
                <w:rFonts w:hint="eastAsia" w:ascii="宋体" w:hAnsi="宋体" w:eastAsia="宋体"/>
                <w:sz w:val="21"/>
                <w:szCs w:val="21"/>
              </w:rPr>
            </w:pPr>
            <w:r>
              <w:rPr>
                <w:rFonts w:ascii="宋体" w:hAnsi="宋体" w:eastAsia="宋体"/>
                <w:sz w:val="21"/>
                <w:szCs w:val="21"/>
              </w:rPr>
              <w:t>已完成</w:t>
            </w:r>
            <w:r>
              <w:rPr>
                <w:rFonts w:hint="eastAsia" w:ascii="宋体" w:hAnsi="宋体" w:eastAsia="宋体"/>
                <w:sz w:val="21"/>
                <w:szCs w:val="21"/>
              </w:rPr>
              <w:t>，详见任务1</w:t>
            </w:r>
          </w:p>
          <w:p w14:paraId="59FC033C">
            <w:pPr>
              <w:spacing w:after="0" w:line="240" w:lineRule="auto"/>
              <w:rPr>
                <w:rFonts w:hint="eastAsia" w:ascii="宋体" w:hAnsi="宋体" w:eastAsia="宋体"/>
                <w:sz w:val="21"/>
                <w:szCs w:val="21"/>
              </w:rPr>
            </w:pPr>
          </w:p>
        </w:tc>
        <w:tc>
          <w:tcPr>
            <w:tcW w:w="2074" w:type="dxa"/>
            <w:vAlign w:val="center"/>
          </w:tcPr>
          <w:p w14:paraId="59FC033D">
            <w:pPr>
              <w:spacing w:after="0" w:line="240" w:lineRule="auto"/>
              <w:rPr>
                <w:rFonts w:hint="eastAsia" w:ascii="宋体" w:hAnsi="宋体" w:eastAsia="宋体"/>
                <w:sz w:val="21"/>
                <w:szCs w:val="21"/>
              </w:rPr>
            </w:pPr>
            <w:r>
              <w:rPr>
                <w:rFonts w:ascii="宋体" w:hAnsi="宋体" w:eastAsia="宋体"/>
                <w:sz w:val="21"/>
                <w:szCs w:val="21"/>
              </w:rPr>
              <w:t>无</w:t>
            </w:r>
          </w:p>
        </w:tc>
      </w:tr>
      <w:tr w14:paraId="59FC0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14:paraId="59FC033F">
            <w:pPr>
              <w:spacing w:after="0" w:line="240" w:lineRule="auto"/>
              <w:rPr>
                <w:rFonts w:hint="eastAsia" w:ascii="宋体" w:hAnsi="宋体" w:eastAsia="宋体"/>
                <w:sz w:val="21"/>
                <w:szCs w:val="21"/>
              </w:rPr>
            </w:pPr>
            <w:r>
              <w:rPr>
                <w:rFonts w:ascii="宋体" w:hAnsi="宋体" w:eastAsia="宋体"/>
                <w:sz w:val="21"/>
                <w:szCs w:val="21"/>
              </w:rPr>
              <w:t>目标 2：</w:t>
            </w:r>
            <w:r>
              <w:rPr>
                <w:rFonts w:hint="eastAsia" w:ascii="宋体" w:hAnsi="宋体" w:eastAsia="宋体"/>
                <w:sz w:val="21"/>
                <w:szCs w:val="21"/>
              </w:rPr>
              <w:t>多组份等离子体中的</w:t>
            </w:r>
            <w:r>
              <w:rPr>
                <w:rFonts w:ascii="宋体" w:hAnsi="宋体" w:eastAsia="宋体"/>
                <w:sz w:val="21"/>
                <w:szCs w:val="21"/>
              </w:rPr>
              <w:t>LPI数据</w:t>
            </w:r>
          </w:p>
        </w:tc>
        <w:tc>
          <w:tcPr>
            <w:tcW w:w="2410" w:type="dxa"/>
            <w:vAlign w:val="center"/>
          </w:tcPr>
          <w:p w14:paraId="59FC0340">
            <w:pPr>
              <w:spacing w:after="0" w:line="240" w:lineRule="auto"/>
              <w:rPr>
                <w:rFonts w:hint="eastAsia" w:ascii="宋体" w:hAnsi="宋体" w:eastAsia="宋体"/>
                <w:sz w:val="21"/>
                <w:szCs w:val="21"/>
              </w:rPr>
            </w:pPr>
            <w:r>
              <w:rPr>
                <w:rFonts w:hint="eastAsia" w:ascii="宋体" w:hAnsi="宋体" w:eastAsia="宋体"/>
                <w:sz w:val="21"/>
                <w:szCs w:val="21"/>
              </w:rPr>
              <w:t>已完成，利用所开发的程序开展了多组份等离子体</w:t>
            </w:r>
            <w:r>
              <w:rPr>
                <w:rFonts w:ascii="宋体" w:hAnsi="宋体" w:eastAsia="宋体"/>
                <w:sz w:val="21"/>
                <w:szCs w:val="21"/>
              </w:rPr>
              <w:t>LPI</w:t>
            </w:r>
            <w:r>
              <w:rPr>
                <w:rFonts w:hint="eastAsia" w:ascii="宋体" w:hAnsi="宋体" w:eastAsia="宋体"/>
                <w:sz w:val="21"/>
                <w:szCs w:val="21"/>
              </w:rPr>
              <w:t>模拟，获得了一系列相关</w:t>
            </w:r>
            <w:r>
              <w:rPr>
                <w:rFonts w:ascii="宋体" w:hAnsi="宋体" w:eastAsia="宋体"/>
                <w:sz w:val="21"/>
                <w:szCs w:val="21"/>
              </w:rPr>
              <w:t>数据</w:t>
            </w:r>
          </w:p>
        </w:tc>
        <w:tc>
          <w:tcPr>
            <w:tcW w:w="1832" w:type="dxa"/>
          </w:tcPr>
          <w:p w14:paraId="59FC0341">
            <w:pPr>
              <w:spacing w:after="0" w:line="240" w:lineRule="auto"/>
              <w:rPr>
                <w:rFonts w:hint="eastAsia" w:ascii="宋体" w:hAnsi="宋体" w:eastAsia="宋体"/>
                <w:sz w:val="21"/>
                <w:szCs w:val="21"/>
              </w:rPr>
            </w:pPr>
          </w:p>
          <w:p w14:paraId="59FC0342">
            <w:pPr>
              <w:spacing w:after="0" w:line="240" w:lineRule="auto"/>
              <w:rPr>
                <w:rFonts w:hint="eastAsia" w:ascii="宋体" w:hAnsi="宋体" w:eastAsia="宋体"/>
                <w:sz w:val="21"/>
                <w:szCs w:val="21"/>
              </w:rPr>
            </w:pPr>
            <w:r>
              <w:rPr>
                <w:rFonts w:ascii="宋体" w:hAnsi="宋体" w:eastAsia="宋体"/>
                <w:sz w:val="21"/>
                <w:szCs w:val="21"/>
              </w:rPr>
              <w:t>已完成</w:t>
            </w:r>
            <w:r>
              <w:rPr>
                <w:rFonts w:hint="eastAsia" w:ascii="宋体" w:hAnsi="宋体" w:eastAsia="宋体"/>
                <w:sz w:val="21"/>
                <w:szCs w:val="21"/>
              </w:rPr>
              <w:t>，详见任务2</w:t>
            </w:r>
          </w:p>
          <w:p w14:paraId="59FC0343">
            <w:pPr>
              <w:spacing w:after="0" w:line="520" w:lineRule="exact"/>
              <w:rPr>
                <w:rFonts w:hint="eastAsia" w:ascii="宋体" w:hAnsi="宋体" w:eastAsia="宋体"/>
                <w:sz w:val="21"/>
                <w:szCs w:val="21"/>
              </w:rPr>
            </w:pPr>
          </w:p>
        </w:tc>
        <w:tc>
          <w:tcPr>
            <w:tcW w:w="2074" w:type="dxa"/>
          </w:tcPr>
          <w:p w14:paraId="59FC0344">
            <w:pPr>
              <w:spacing w:after="0" w:line="520" w:lineRule="exact"/>
              <w:rPr>
                <w:rFonts w:hint="eastAsia" w:ascii="宋体" w:hAnsi="宋体" w:eastAsia="宋体"/>
                <w:sz w:val="21"/>
                <w:szCs w:val="21"/>
              </w:rPr>
            </w:pPr>
          </w:p>
          <w:p w14:paraId="59FC0345">
            <w:pPr>
              <w:spacing w:after="0" w:line="520" w:lineRule="exact"/>
              <w:rPr>
                <w:rFonts w:hint="eastAsia" w:ascii="宋体" w:hAnsi="宋体" w:eastAsia="宋体"/>
                <w:sz w:val="21"/>
                <w:szCs w:val="21"/>
              </w:rPr>
            </w:pPr>
            <w:r>
              <w:rPr>
                <w:rFonts w:ascii="宋体" w:hAnsi="宋体" w:eastAsia="宋体"/>
                <w:sz w:val="21"/>
                <w:szCs w:val="21"/>
              </w:rPr>
              <w:t>无</w:t>
            </w:r>
          </w:p>
        </w:tc>
      </w:tr>
      <w:tr w14:paraId="59FC0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14:paraId="59FC0347">
            <w:pPr>
              <w:spacing w:after="0" w:line="240" w:lineRule="auto"/>
              <w:rPr>
                <w:rFonts w:hint="eastAsia" w:ascii="宋体" w:hAnsi="宋体" w:eastAsia="宋体"/>
                <w:sz w:val="21"/>
                <w:szCs w:val="21"/>
              </w:rPr>
            </w:pPr>
            <w:r>
              <w:rPr>
                <w:rFonts w:ascii="宋体" w:hAnsi="宋体" w:eastAsia="宋体"/>
                <w:sz w:val="21"/>
                <w:szCs w:val="21"/>
              </w:rPr>
              <w:t>目标 3：多组份等离子体中碰撞效应对LPI影响的研究报告</w:t>
            </w:r>
          </w:p>
        </w:tc>
        <w:tc>
          <w:tcPr>
            <w:tcW w:w="2410" w:type="dxa"/>
            <w:vAlign w:val="center"/>
          </w:tcPr>
          <w:p w14:paraId="59FC0348">
            <w:pPr>
              <w:spacing w:after="0" w:line="240" w:lineRule="auto"/>
              <w:rPr>
                <w:rFonts w:hint="eastAsia" w:ascii="宋体" w:hAnsi="宋体" w:eastAsia="宋体"/>
                <w:sz w:val="21"/>
                <w:szCs w:val="21"/>
              </w:rPr>
            </w:pPr>
            <w:r>
              <w:rPr>
                <w:rFonts w:hint="eastAsia" w:ascii="宋体" w:hAnsi="宋体" w:eastAsia="宋体"/>
                <w:sz w:val="21"/>
                <w:szCs w:val="21"/>
              </w:rPr>
              <w:t>已完成，分析相关数值模拟结果，完成了多组份等离子体中碰撞效应对</w:t>
            </w:r>
            <w:r>
              <w:rPr>
                <w:rFonts w:ascii="宋体" w:hAnsi="宋体" w:eastAsia="宋体"/>
                <w:sz w:val="21"/>
                <w:szCs w:val="21"/>
              </w:rPr>
              <w:t>LPI影响的研究报告</w:t>
            </w:r>
          </w:p>
        </w:tc>
        <w:tc>
          <w:tcPr>
            <w:tcW w:w="1832" w:type="dxa"/>
          </w:tcPr>
          <w:p w14:paraId="59FC0349">
            <w:pPr>
              <w:spacing w:after="0" w:line="240" w:lineRule="auto"/>
              <w:rPr>
                <w:rFonts w:hint="eastAsia" w:ascii="宋体" w:hAnsi="宋体" w:eastAsia="宋体"/>
                <w:sz w:val="21"/>
                <w:szCs w:val="21"/>
              </w:rPr>
            </w:pPr>
          </w:p>
          <w:p w14:paraId="59FC034A">
            <w:pPr>
              <w:spacing w:after="0" w:line="240" w:lineRule="auto"/>
              <w:rPr>
                <w:rFonts w:hint="eastAsia" w:ascii="宋体" w:hAnsi="宋体" w:eastAsia="宋体"/>
                <w:sz w:val="21"/>
                <w:szCs w:val="21"/>
              </w:rPr>
            </w:pPr>
            <w:r>
              <w:rPr>
                <w:rFonts w:ascii="宋体" w:hAnsi="宋体" w:eastAsia="宋体"/>
                <w:sz w:val="21"/>
                <w:szCs w:val="21"/>
              </w:rPr>
              <w:t>已完成</w:t>
            </w:r>
            <w:r>
              <w:rPr>
                <w:rFonts w:hint="eastAsia" w:ascii="宋体" w:hAnsi="宋体" w:eastAsia="宋体"/>
                <w:sz w:val="21"/>
                <w:szCs w:val="21"/>
              </w:rPr>
              <w:t>，详见任务1以及任务2</w:t>
            </w:r>
          </w:p>
          <w:p w14:paraId="59FC034B">
            <w:pPr>
              <w:spacing w:after="0" w:line="520" w:lineRule="exact"/>
              <w:rPr>
                <w:rFonts w:hint="eastAsia" w:ascii="宋体" w:hAnsi="宋体" w:eastAsia="宋体"/>
                <w:sz w:val="21"/>
                <w:szCs w:val="21"/>
              </w:rPr>
            </w:pPr>
          </w:p>
        </w:tc>
        <w:tc>
          <w:tcPr>
            <w:tcW w:w="2074" w:type="dxa"/>
          </w:tcPr>
          <w:p w14:paraId="59FC034C">
            <w:pPr>
              <w:spacing w:after="0" w:line="520" w:lineRule="exact"/>
              <w:rPr>
                <w:rFonts w:hint="eastAsia" w:ascii="宋体" w:hAnsi="宋体" w:eastAsia="宋体"/>
                <w:sz w:val="21"/>
                <w:szCs w:val="21"/>
              </w:rPr>
            </w:pPr>
          </w:p>
          <w:p w14:paraId="59FC034D">
            <w:pPr>
              <w:spacing w:after="0" w:line="520" w:lineRule="exact"/>
              <w:rPr>
                <w:rFonts w:hint="eastAsia" w:ascii="宋体" w:hAnsi="宋体" w:eastAsia="宋体"/>
                <w:sz w:val="21"/>
                <w:szCs w:val="21"/>
              </w:rPr>
            </w:pPr>
            <w:r>
              <w:rPr>
                <w:rFonts w:ascii="宋体" w:hAnsi="宋体" w:eastAsia="宋体"/>
                <w:sz w:val="21"/>
                <w:szCs w:val="21"/>
              </w:rPr>
              <w:t>无</w:t>
            </w:r>
          </w:p>
        </w:tc>
      </w:tr>
      <w:tr w14:paraId="59FC0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59FC034F">
            <w:pPr>
              <w:spacing w:after="0" w:line="240" w:lineRule="auto"/>
              <w:rPr>
                <w:rFonts w:hint="eastAsia" w:ascii="宋体" w:hAnsi="宋体" w:eastAsia="宋体"/>
                <w:b/>
                <w:bCs/>
                <w:sz w:val="21"/>
                <w:szCs w:val="21"/>
              </w:rPr>
            </w:pPr>
          </w:p>
          <w:p w14:paraId="59FC0350">
            <w:pPr>
              <w:spacing w:after="0" w:line="240" w:lineRule="auto"/>
              <w:rPr>
                <w:rFonts w:hint="eastAsia" w:ascii="宋体" w:hAnsi="宋体" w:eastAsia="宋体"/>
                <w:sz w:val="21"/>
                <w:szCs w:val="21"/>
              </w:rPr>
            </w:pPr>
            <w:r>
              <w:rPr>
                <w:rFonts w:hint="eastAsia" w:ascii="宋体" w:hAnsi="宋体" w:eastAsia="宋体"/>
                <w:sz w:val="21"/>
                <w:szCs w:val="21"/>
              </w:rPr>
              <w:t>目标 4</w:t>
            </w:r>
            <w:r>
              <w:rPr>
                <w:rFonts w:ascii="宋体" w:hAnsi="宋体" w:eastAsia="宋体"/>
                <w:sz w:val="21"/>
                <w:szCs w:val="21"/>
              </w:rPr>
              <w:t>：第一标注SCI论文1篇</w:t>
            </w:r>
          </w:p>
        </w:tc>
        <w:tc>
          <w:tcPr>
            <w:tcW w:w="2410" w:type="dxa"/>
          </w:tcPr>
          <w:p w14:paraId="59FC0351">
            <w:pPr>
              <w:spacing w:after="0" w:line="240" w:lineRule="auto"/>
              <w:rPr>
                <w:rFonts w:ascii="Times New Roman" w:hAnsi="Times New Roman" w:eastAsia="宋体" w:cs="Times New Roman"/>
                <w:sz w:val="21"/>
                <w:szCs w:val="21"/>
              </w:rPr>
            </w:pPr>
            <w:r>
              <w:rPr>
                <w:rFonts w:ascii="Times New Roman" w:hAnsi="Times New Roman" w:eastAsia="宋体" w:cs="Times New Roman"/>
                <w:sz w:val="21"/>
                <w:szCs w:val="21"/>
              </w:rPr>
              <w:t>已发表 2 篇第一资助 SCI 论文。</w:t>
            </w:r>
          </w:p>
          <w:p w14:paraId="59FC0352">
            <w:pPr>
              <w:spacing w:after="0" w:line="240" w:lineRule="auto"/>
              <w:rPr>
                <w:rFonts w:ascii="Times New Roman" w:hAnsi="Times New Roman" w:eastAsia="宋体" w:cs="Times New Roman"/>
                <w:sz w:val="21"/>
                <w:szCs w:val="21"/>
              </w:rPr>
            </w:pPr>
            <w:r>
              <w:rPr>
                <w:rFonts w:ascii="Times New Roman" w:hAnsi="Times New Roman" w:eastAsia="宋体" w:cs="Times New Roman"/>
                <w:b/>
                <w:bCs/>
                <w:sz w:val="21"/>
                <w:szCs w:val="21"/>
              </w:rPr>
              <w:t>论文 1：</w:t>
            </w:r>
            <w:r>
              <w:rPr>
                <w:rFonts w:ascii="Times New Roman" w:hAnsi="Times New Roman" w:eastAsia="宋体" w:cs="Times New Roman"/>
                <w:sz w:val="21"/>
                <w:szCs w:val="21"/>
              </w:rPr>
              <w:t>Kinetic simulation of laser plasma instabilities including collisional effects on sub-</w:t>
            </w:r>
            <w:r>
              <w:rPr>
                <w:rFonts w:hint="eastAsia" w:ascii="Times New Roman" w:hAnsi="Times New Roman" w:eastAsia="宋体" w:cs="Times New Roman"/>
                <w:sz w:val="21"/>
                <w:szCs w:val="21"/>
              </w:rPr>
              <w:t>n</w:t>
            </w:r>
            <w:r>
              <w:rPr>
                <w:rFonts w:ascii="Times New Roman" w:hAnsi="Times New Roman" w:eastAsia="宋体" w:cs="Times New Roman"/>
                <w:sz w:val="21"/>
                <w:szCs w:val="21"/>
              </w:rPr>
              <w:t>anosecond timescales，</w:t>
            </w:r>
            <w:r>
              <w:rPr>
                <w:rFonts w:ascii="Times New Roman" w:hAnsi="Times New Roman" w:eastAsia="宋体" w:cs="Times New Roman"/>
                <w:i/>
                <w:iCs/>
                <w:sz w:val="21"/>
                <w:szCs w:val="21"/>
              </w:rPr>
              <w:t>Plasma Phys. Control. Fusion</w:t>
            </w:r>
            <w:r>
              <w:rPr>
                <w:rFonts w:ascii="Times New Roman" w:hAnsi="Times New Roman" w:eastAsia="宋体" w:cs="Times New Roman"/>
                <w:sz w:val="21"/>
                <w:szCs w:val="21"/>
              </w:rPr>
              <w:t>，2026年3月；</w:t>
            </w:r>
          </w:p>
          <w:p w14:paraId="59FC0353">
            <w:pPr>
              <w:spacing w:after="0" w:line="240" w:lineRule="auto"/>
              <w:rPr>
                <w:rFonts w:hint="eastAsia" w:ascii="宋体" w:hAnsi="宋体" w:eastAsia="宋体"/>
                <w:sz w:val="21"/>
                <w:szCs w:val="21"/>
              </w:rPr>
            </w:pPr>
            <w:r>
              <w:rPr>
                <w:rFonts w:ascii="Times New Roman" w:hAnsi="Times New Roman" w:eastAsia="宋体" w:cs="Times New Roman"/>
                <w:b/>
                <w:bCs/>
                <w:sz w:val="21"/>
                <w:szCs w:val="21"/>
              </w:rPr>
              <w:t>论文 2：</w:t>
            </w:r>
            <w:r>
              <w:rPr>
                <w:rFonts w:ascii="Times New Roman" w:hAnsi="Times New Roman" w:eastAsia="宋体" w:cs="Times New Roman"/>
                <w:sz w:val="21"/>
                <w:szCs w:val="21"/>
              </w:rPr>
              <w:t>High-power, low-coherence laser pulse generation via plasma-based optical modulation，</w:t>
            </w:r>
            <w:r>
              <w:rPr>
                <w:rFonts w:ascii="Times New Roman" w:hAnsi="Times New Roman" w:eastAsia="宋体" w:cs="Times New Roman"/>
                <w:i/>
                <w:iCs/>
                <w:sz w:val="21"/>
                <w:szCs w:val="21"/>
              </w:rPr>
              <w:t>Matter Radiat. Extremes</w:t>
            </w:r>
            <w:r>
              <w:rPr>
                <w:rFonts w:ascii="Times New Roman" w:hAnsi="Times New Roman" w:eastAsia="宋体" w:cs="Times New Roman"/>
                <w:sz w:val="21"/>
                <w:szCs w:val="21"/>
              </w:rPr>
              <w:t>，2026年3月</w:t>
            </w:r>
          </w:p>
        </w:tc>
        <w:tc>
          <w:tcPr>
            <w:tcW w:w="1832" w:type="dxa"/>
          </w:tcPr>
          <w:p w14:paraId="59FC0354">
            <w:pPr>
              <w:spacing w:after="0" w:line="240" w:lineRule="auto"/>
              <w:rPr>
                <w:rFonts w:hint="eastAsia" w:ascii="宋体" w:hAnsi="宋体" w:eastAsia="宋体"/>
                <w:sz w:val="21"/>
                <w:szCs w:val="21"/>
              </w:rPr>
            </w:pPr>
          </w:p>
          <w:p w14:paraId="59FC0355">
            <w:pPr>
              <w:spacing w:after="0" w:line="240" w:lineRule="auto"/>
              <w:rPr>
                <w:rFonts w:hint="eastAsia" w:ascii="宋体" w:hAnsi="宋体" w:eastAsia="宋体"/>
                <w:sz w:val="21"/>
                <w:szCs w:val="21"/>
              </w:rPr>
            </w:pPr>
          </w:p>
          <w:p w14:paraId="59FC0356">
            <w:pPr>
              <w:spacing w:after="0" w:line="240" w:lineRule="auto"/>
              <w:rPr>
                <w:rFonts w:hint="eastAsia" w:ascii="宋体" w:hAnsi="宋体" w:eastAsia="宋体"/>
                <w:sz w:val="21"/>
                <w:szCs w:val="21"/>
              </w:rPr>
            </w:pPr>
          </w:p>
          <w:p w14:paraId="59FC0357">
            <w:pPr>
              <w:spacing w:after="0" w:line="240" w:lineRule="auto"/>
              <w:rPr>
                <w:rFonts w:hint="eastAsia" w:ascii="宋体" w:hAnsi="宋体" w:eastAsia="宋体"/>
                <w:sz w:val="21"/>
                <w:szCs w:val="21"/>
              </w:rPr>
            </w:pPr>
          </w:p>
          <w:p w14:paraId="59FC0358">
            <w:pPr>
              <w:spacing w:after="0" w:line="240" w:lineRule="auto"/>
              <w:rPr>
                <w:rFonts w:hint="eastAsia" w:ascii="宋体" w:hAnsi="宋体" w:eastAsia="宋体"/>
                <w:sz w:val="21"/>
                <w:szCs w:val="21"/>
              </w:rPr>
            </w:pPr>
          </w:p>
          <w:p w14:paraId="59FC0359">
            <w:pPr>
              <w:spacing w:after="0" w:line="240" w:lineRule="auto"/>
              <w:rPr>
                <w:rFonts w:hint="eastAsia" w:ascii="宋体" w:hAnsi="宋体" w:eastAsia="宋体"/>
                <w:sz w:val="21"/>
                <w:szCs w:val="21"/>
              </w:rPr>
            </w:pPr>
          </w:p>
          <w:p w14:paraId="59FC035A">
            <w:pPr>
              <w:spacing w:after="0" w:line="240" w:lineRule="auto"/>
              <w:rPr>
                <w:rFonts w:hint="eastAsia" w:ascii="宋体" w:hAnsi="宋体" w:eastAsia="宋体"/>
                <w:sz w:val="21"/>
                <w:szCs w:val="21"/>
              </w:rPr>
            </w:pPr>
          </w:p>
          <w:p w14:paraId="59FC035B">
            <w:pPr>
              <w:spacing w:after="0" w:line="240" w:lineRule="auto"/>
              <w:rPr>
                <w:rFonts w:hint="eastAsia" w:ascii="宋体" w:hAnsi="宋体" w:eastAsia="宋体"/>
                <w:sz w:val="21"/>
                <w:szCs w:val="21"/>
              </w:rPr>
            </w:pPr>
          </w:p>
          <w:p w14:paraId="59FC035C">
            <w:pPr>
              <w:spacing w:after="0" w:line="240" w:lineRule="auto"/>
              <w:rPr>
                <w:rFonts w:hint="eastAsia" w:ascii="宋体" w:hAnsi="宋体" w:eastAsia="宋体"/>
                <w:sz w:val="21"/>
                <w:szCs w:val="21"/>
              </w:rPr>
            </w:pPr>
            <w:r>
              <w:rPr>
                <w:rFonts w:ascii="宋体" w:hAnsi="宋体" w:eastAsia="宋体"/>
                <w:sz w:val="21"/>
                <w:szCs w:val="21"/>
              </w:rPr>
              <w:t>已完成</w:t>
            </w:r>
          </w:p>
          <w:p w14:paraId="59FC035D">
            <w:pPr>
              <w:spacing w:after="0" w:line="520" w:lineRule="exact"/>
              <w:rPr>
                <w:rFonts w:hint="eastAsia" w:ascii="宋体" w:hAnsi="宋体" w:eastAsia="宋体"/>
                <w:sz w:val="21"/>
                <w:szCs w:val="21"/>
              </w:rPr>
            </w:pPr>
          </w:p>
        </w:tc>
        <w:tc>
          <w:tcPr>
            <w:tcW w:w="2074" w:type="dxa"/>
            <w:vAlign w:val="center"/>
          </w:tcPr>
          <w:p w14:paraId="59FC035E">
            <w:pPr>
              <w:spacing w:after="0" w:line="520" w:lineRule="exact"/>
              <w:rPr>
                <w:rFonts w:hint="eastAsia" w:ascii="宋体" w:hAnsi="宋体" w:eastAsia="宋体"/>
                <w:sz w:val="21"/>
                <w:szCs w:val="21"/>
              </w:rPr>
            </w:pPr>
            <w:r>
              <w:rPr>
                <w:rFonts w:ascii="宋体" w:hAnsi="宋体" w:eastAsia="宋体"/>
                <w:sz w:val="21"/>
                <w:szCs w:val="21"/>
              </w:rPr>
              <w:t>无</w:t>
            </w:r>
          </w:p>
        </w:tc>
      </w:tr>
    </w:tbl>
    <w:p w14:paraId="59FC0360">
      <w:pPr>
        <w:spacing w:after="0" w:line="520" w:lineRule="exact"/>
        <w:jc w:val="center"/>
        <w:rPr>
          <w:rFonts w:hint="eastAsia" w:ascii="宋体" w:hAnsi="宋体" w:eastAsia="宋体"/>
          <w:b/>
          <w:bCs/>
          <w:sz w:val="28"/>
          <w:szCs w:val="28"/>
        </w:rPr>
      </w:pPr>
      <w:r>
        <w:rPr>
          <w:rFonts w:ascii="宋体" w:hAnsi="宋体" w:eastAsia="宋体"/>
          <w:b/>
          <w:bCs/>
          <w:sz w:val="28"/>
          <w:szCs w:val="28"/>
        </w:rPr>
        <w:t>表 2 攻坚计划节点任务完成情况</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59FC0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14:paraId="59FC0361">
            <w:pPr>
              <w:spacing w:after="0" w:line="240" w:lineRule="auto"/>
              <w:jc w:val="center"/>
              <w:rPr>
                <w:rFonts w:hint="eastAsia" w:ascii="宋体" w:hAnsi="宋体" w:eastAsia="宋体"/>
                <w:b/>
                <w:bCs/>
                <w:sz w:val="21"/>
                <w:szCs w:val="21"/>
              </w:rPr>
            </w:pPr>
            <w:r>
              <w:rPr>
                <w:rFonts w:ascii="宋体" w:hAnsi="宋体" w:eastAsia="宋体"/>
                <w:b/>
                <w:bCs/>
                <w:sz w:val="21"/>
                <w:szCs w:val="21"/>
              </w:rPr>
              <w:t>攻坚计划节点任务</w:t>
            </w:r>
          </w:p>
        </w:tc>
        <w:tc>
          <w:tcPr>
            <w:tcW w:w="2074" w:type="dxa"/>
            <w:vAlign w:val="center"/>
          </w:tcPr>
          <w:p w14:paraId="59FC0362">
            <w:pPr>
              <w:spacing w:after="0" w:line="240" w:lineRule="auto"/>
              <w:jc w:val="center"/>
              <w:rPr>
                <w:rFonts w:hint="eastAsia" w:ascii="宋体" w:hAnsi="宋体" w:eastAsia="宋体"/>
                <w:b/>
                <w:bCs/>
                <w:sz w:val="21"/>
                <w:szCs w:val="21"/>
              </w:rPr>
            </w:pPr>
            <w:r>
              <w:rPr>
                <w:rFonts w:ascii="宋体" w:hAnsi="宋体" w:eastAsia="宋体"/>
                <w:b/>
                <w:bCs/>
                <w:sz w:val="21"/>
                <w:szCs w:val="21"/>
              </w:rPr>
              <w:t>完成情况</w:t>
            </w:r>
          </w:p>
        </w:tc>
        <w:tc>
          <w:tcPr>
            <w:tcW w:w="2074" w:type="dxa"/>
            <w:vAlign w:val="center"/>
          </w:tcPr>
          <w:p w14:paraId="59FC0363">
            <w:pPr>
              <w:spacing w:after="0" w:line="240" w:lineRule="auto"/>
              <w:jc w:val="center"/>
              <w:rPr>
                <w:rFonts w:hint="eastAsia" w:ascii="宋体" w:hAnsi="宋体" w:eastAsia="宋体"/>
                <w:b/>
                <w:bCs/>
                <w:sz w:val="21"/>
                <w:szCs w:val="21"/>
              </w:rPr>
            </w:pPr>
            <w:r>
              <w:rPr>
                <w:rFonts w:ascii="宋体" w:hAnsi="宋体" w:eastAsia="宋体"/>
                <w:b/>
                <w:bCs/>
                <w:sz w:val="21"/>
                <w:szCs w:val="21"/>
              </w:rPr>
              <w:t>完成情况概述</w:t>
            </w:r>
            <w:r>
              <w:rPr>
                <w:rFonts w:ascii="宋体" w:hAnsi="宋体" w:eastAsia="宋体"/>
                <w:i/>
                <w:iCs/>
                <w:sz w:val="21"/>
                <w:szCs w:val="21"/>
              </w:rPr>
              <w:t>（分已完成、未完成</w:t>
            </w:r>
            <w:r>
              <w:rPr>
                <w:rFonts w:hint="eastAsia" w:ascii="宋体" w:hAnsi="宋体" w:eastAsia="宋体"/>
                <w:i/>
                <w:iCs/>
                <w:sz w:val="21"/>
                <w:szCs w:val="21"/>
              </w:rPr>
              <w:t>+完成率</w:t>
            </w:r>
            <w:r>
              <w:rPr>
                <w:rFonts w:ascii="宋体" w:hAnsi="宋体" w:eastAsia="宋体"/>
                <w:i/>
                <w:iCs/>
                <w:sz w:val="21"/>
                <w:szCs w:val="21"/>
              </w:rPr>
              <w:t>）</w:t>
            </w:r>
          </w:p>
        </w:tc>
        <w:tc>
          <w:tcPr>
            <w:tcW w:w="2074" w:type="dxa"/>
            <w:vAlign w:val="center"/>
          </w:tcPr>
          <w:p w14:paraId="59FC0364">
            <w:pPr>
              <w:spacing w:after="0" w:line="240" w:lineRule="auto"/>
              <w:jc w:val="center"/>
              <w:rPr>
                <w:rFonts w:hint="eastAsia" w:ascii="宋体" w:hAnsi="宋体" w:eastAsia="宋体"/>
                <w:b/>
                <w:bCs/>
                <w:sz w:val="21"/>
                <w:szCs w:val="21"/>
              </w:rPr>
            </w:pPr>
            <w:r>
              <w:rPr>
                <w:rFonts w:ascii="宋体" w:hAnsi="宋体" w:eastAsia="宋体"/>
                <w:b/>
                <w:bCs/>
                <w:sz w:val="21"/>
                <w:szCs w:val="21"/>
              </w:rPr>
              <w:t>备注</w:t>
            </w:r>
            <w:r>
              <w:rPr>
                <w:rFonts w:ascii="宋体" w:hAnsi="宋体" w:eastAsia="宋体"/>
                <w:i/>
                <w:iCs/>
                <w:sz w:val="21"/>
                <w:szCs w:val="21"/>
              </w:rPr>
              <w:t>（对未达到已完成的内容进行简要说明）</w:t>
            </w:r>
          </w:p>
        </w:tc>
      </w:tr>
      <w:tr w14:paraId="59FC0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9FC0366">
            <w:pPr>
              <w:spacing w:after="0" w:line="240" w:lineRule="auto"/>
              <w:rPr>
                <w:rFonts w:hint="eastAsia" w:ascii="宋体" w:hAnsi="宋体" w:eastAsia="宋体"/>
                <w:sz w:val="21"/>
                <w:szCs w:val="21"/>
              </w:rPr>
            </w:pPr>
            <w:r>
              <w:rPr>
                <w:rFonts w:ascii="宋体" w:hAnsi="宋体" w:eastAsia="宋体"/>
                <w:sz w:val="21"/>
                <w:szCs w:val="21"/>
              </w:rPr>
              <w:t>目标 1：</w:t>
            </w:r>
            <w:r>
              <w:rPr>
                <w:rFonts w:hint="eastAsia" w:ascii="宋体" w:hAnsi="宋体" w:eastAsia="宋体"/>
                <w:sz w:val="21"/>
                <w:szCs w:val="21"/>
              </w:rPr>
              <w:t>建立非平衡态等离子体系统的汤姆逊散射模型，以及包含碰撞吸收、碰撞阻尼等效应的</w:t>
            </w:r>
            <w:r>
              <w:rPr>
                <w:rFonts w:ascii="宋体" w:hAnsi="宋体" w:eastAsia="宋体"/>
                <w:sz w:val="21"/>
                <w:szCs w:val="21"/>
              </w:rPr>
              <w:t>LPI动理学模型</w:t>
            </w:r>
          </w:p>
        </w:tc>
        <w:tc>
          <w:tcPr>
            <w:tcW w:w="2074" w:type="dxa"/>
          </w:tcPr>
          <w:p w14:paraId="59FC0367">
            <w:pPr>
              <w:spacing w:after="0" w:line="240" w:lineRule="auto"/>
              <w:rPr>
                <w:rFonts w:hint="eastAsia" w:ascii="宋体" w:hAnsi="宋体" w:eastAsia="宋体"/>
              </w:rPr>
            </w:pPr>
            <w:r>
              <w:rPr>
                <w:rFonts w:hint="eastAsia" w:ascii="宋体" w:hAnsi="宋体" w:eastAsia="宋体"/>
              </w:rPr>
              <w:t>基于深度神经网络构建了</w:t>
            </w:r>
            <w:r>
              <w:rPr>
                <w:rFonts w:hint="eastAsia" w:ascii="宋体" w:hAnsi="宋体" w:eastAsia="宋体"/>
                <w:sz w:val="21"/>
                <w:szCs w:val="21"/>
              </w:rPr>
              <w:t>非平衡态等离子体系统的汤姆逊散射模型；构建了碰撞吸收、碰撞阻尼等模型，并将其耦合到LPI动理学程序中</w:t>
            </w:r>
          </w:p>
        </w:tc>
        <w:tc>
          <w:tcPr>
            <w:tcW w:w="2074" w:type="dxa"/>
          </w:tcPr>
          <w:p w14:paraId="59FC0368">
            <w:pPr>
              <w:spacing w:after="0" w:line="240" w:lineRule="auto"/>
              <w:rPr>
                <w:rFonts w:hint="eastAsia" w:ascii="宋体" w:hAnsi="宋体" w:eastAsia="宋体"/>
                <w:sz w:val="21"/>
                <w:szCs w:val="21"/>
              </w:rPr>
            </w:pPr>
          </w:p>
          <w:p w14:paraId="59FC0369">
            <w:pPr>
              <w:spacing w:after="0" w:line="240" w:lineRule="auto"/>
              <w:rPr>
                <w:rFonts w:hint="eastAsia" w:ascii="宋体" w:hAnsi="宋体" w:eastAsia="宋体"/>
                <w:sz w:val="21"/>
                <w:szCs w:val="21"/>
              </w:rPr>
            </w:pPr>
          </w:p>
          <w:p w14:paraId="59FC036A">
            <w:pPr>
              <w:spacing w:after="0" w:line="240" w:lineRule="auto"/>
              <w:rPr>
                <w:rFonts w:hint="eastAsia" w:ascii="宋体" w:hAnsi="宋体" w:eastAsia="宋体"/>
                <w:sz w:val="21"/>
                <w:szCs w:val="21"/>
              </w:rPr>
            </w:pPr>
          </w:p>
          <w:p w14:paraId="59FC036B">
            <w:pPr>
              <w:spacing w:after="0" w:line="240" w:lineRule="auto"/>
              <w:rPr>
                <w:rFonts w:hint="eastAsia" w:ascii="宋体" w:hAnsi="宋体" w:eastAsia="宋体"/>
                <w:sz w:val="21"/>
                <w:szCs w:val="21"/>
              </w:rPr>
            </w:pPr>
            <w:r>
              <w:rPr>
                <w:rFonts w:hint="eastAsia" w:ascii="宋体" w:hAnsi="宋体" w:eastAsia="宋体"/>
                <w:sz w:val="21"/>
                <w:szCs w:val="21"/>
              </w:rPr>
              <w:t>已完成，详见亮点工作1，任务1</w:t>
            </w:r>
          </w:p>
        </w:tc>
        <w:tc>
          <w:tcPr>
            <w:tcW w:w="2074" w:type="dxa"/>
          </w:tcPr>
          <w:p w14:paraId="59FC036C">
            <w:pPr>
              <w:spacing w:after="0" w:line="240" w:lineRule="auto"/>
              <w:rPr>
                <w:rFonts w:hint="eastAsia" w:ascii="宋体" w:hAnsi="宋体" w:eastAsia="宋体"/>
                <w:sz w:val="21"/>
                <w:szCs w:val="21"/>
              </w:rPr>
            </w:pPr>
          </w:p>
          <w:p w14:paraId="59FC036D">
            <w:pPr>
              <w:spacing w:after="0" w:line="240" w:lineRule="auto"/>
              <w:rPr>
                <w:rFonts w:hint="eastAsia" w:ascii="宋体" w:hAnsi="宋体" w:eastAsia="宋体"/>
                <w:sz w:val="21"/>
                <w:szCs w:val="21"/>
              </w:rPr>
            </w:pPr>
          </w:p>
          <w:p w14:paraId="59FC036E">
            <w:pPr>
              <w:spacing w:after="0" w:line="240" w:lineRule="auto"/>
              <w:rPr>
                <w:rFonts w:hint="eastAsia" w:ascii="宋体" w:hAnsi="宋体" w:eastAsia="宋体"/>
                <w:sz w:val="21"/>
                <w:szCs w:val="21"/>
              </w:rPr>
            </w:pPr>
          </w:p>
          <w:p w14:paraId="59FC036F">
            <w:pPr>
              <w:spacing w:after="0" w:line="240" w:lineRule="auto"/>
              <w:rPr>
                <w:rFonts w:hint="eastAsia" w:ascii="宋体" w:hAnsi="宋体" w:eastAsia="宋体"/>
                <w:sz w:val="21"/>
                <w:szCs w:val="21"/>
              </w:rPr>
            </w:pPr>
            <w:r>
              <w:rPr>
                <w:rFonts w:ascii="宋体" w:hAnsi="宋体" w:eastAsia="宋体"/>
                <w:sz w:val="21"/>
                <w:szCs w:val="21"/>
              </w:rPr>
              <w:t>无</w:t>
            </w:r>
          </w:p>
        </w:tc>
      </w:tr>
      <w:tr w14:paraId="59FC0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14:paraId="59FC0371">
            <w:pPr>
              <w:spacing w:after="0" w:line="240" w:lineRule="auto"/>
              <w:rPr>
                <w:rFonts w:hint="eastAsia" w:ascii="宋体" w:hAnsi="宋体" w:eastAsia="宋体"/>
                <w:sz w:val="21"/>
                <w:szCs w:val="21"/>
              </w:rPr>
            </w:pPr>
            <w:r>
              <w:rPr>
                <w:rFonts w:ascii="宋体" w:hAnsi="宋体" w:eastAsia="宋体"/>
                <w:sz w:val="21"/>
                <w:szCs w:val="21"/>
              </w:rPr>
              <w:t>目标 2：</w:t>
            </w:r>
            <w:r>
              <w:rPr>
                <w:rFonts w:hint="eastAsia" w:ascii="宋体" w:hAnsi="宋体" w:eastAsia="宋体"/>
                <w:sz w:val="21"/>
                <w:szCs w:val="21"/>
              </w:rPr>
              <w:t>建立多组份混合等离子体的状态参数、汤姆逊散射光谱和电子速度分布函数之间的映射模型</w:t>
            </w:r>
          </w:p>
        </w:tc>
        <w:tc>
          <w:tcPr>
            <w:tcW w:w="2074" w:type="dxa"/>
            <w:vAlign w:val="center"/>
          </w:tcPr>
          <w:p w14:paraId="59FC0372">
            <w:pPr>
              <w:spacing w:after="0" w:line="240" w:lineRule="auto"/>
              <w:rPr>
                <w:rFonts w:hint="eastAsia" w:ascii="宋体" w:hAnsi="宋体" w:eastAsia="宋体"/>
                <w:sz w:val="21"/>
                <w:szCs w:val="21"/>
              </w:rPr>
            </w:pPr>
            <w:r>
              <w:rPr>
                <w:rFonts w:hint="eastAsia" w:ascii="宋体" w:hAnsi="宋体" w:eastAsia="宋体"/>
              </w:rPr>
              <w:t>利用开发的</w:t>
            </w:r>
            <w:r>
              <w:rPr>
                <w:rFonts w:hint="eastAsia" w:ascii="宋体" w:hAnsi="宋体" w:eastAsia="宋体"/>
                <w:sz w:val="21"/>
                <w:szCs w:val="21"/>
              </w:rPr>
              <w:t>LPI动理学程序，获得了多离子组分对LPI的影响规律以及速度分布函数等的状态参数；</w:t>
            </w:r>
            <w:r>
              <w:rPr>
                <w:rFonts w:hint="eastAsia" w:ascii="宋体" w:hAnsi="宋体" w:eastAsia="宋体"/>
              </w:rPr>
              <w:t>利用新开发的非平衡态等离子体系统的汤姆逊散射模型，建立了汤姆逊散射光谱和电子速度分布函数之间的映射模型</w:t>
            </w:r>
          </w:p>
        </w:tc>
        <w:tc>
          <w:tcPr>
            <w:tcW w:w="2074" w:type="dxa"/>
          </w:tcPr>
          <w:p w14:paraId="59FC0373">
            <w:pPr>
              <w:spacing w:after="0" w:line="520" w:lineRule="exact"/>
              <w:rPr>
                <w:rFonts w:hint="eastAsia" w:ascii="宋体" w:hAnsi="宋体" w:eastAsia="宋体"/>
                <w:sz w:val="21"/>
                <w:szCs w:val="21"/>
              </w:rPr>
            </w:pPr>
          </w:p>
          <w:p w14:paraId="59FC0374">
            <w:pPr>
              <w:spacing w:after="0" w:line="520" w:lineRule="exact"/>
              <w:rPr>
                <w:rFonts w:hint="eastAsia" w:ascii="宋体" w:hAnsi="宋体" w:eastAsia="宋体"/>
                <w:sz w:val="21"/>
                <w:szCs w:val="21"/>
              </w:rPr>
            </w:pPr>
          </w:p>
          <w:p w14:paraId="59FC0375">
            <w:pPr>
              <w:spacing w:after="0" w:line="520" w:lineRule="exact"/>
              <w:rPr>
                <w:rFonts w:hint="eastAsia" w:ascii="宋体" w:hAnsi="宋体" w:eastAsia="宋体"/>
                <w:sz w:val="21"/>
                <w:szCs w:val="21"/>
              </w:rPr>
            </w:pPr>
          </w:p>
          <w:p w14:paraId="59FC0376">
            <w:pPr>
              <w:spacing w:after="0" w:line="520" w:lineRule="exact"/>
              <w:rPr>
                <w:rFonts w:hint="eastAsia" w:ascii="宋体" w:hAnsi="宋体" w:eastAsia="宋体"/>
                <w:sz w:val="21"/>
                <w:szCs w:val="21"/>
              </w:rPr>
            </w:pPr>
            <w:r>
              <w:rPr>
                <w:rFonts w:hint="eastAsia" w:ascii="宋体" w:hAnsi="宋体" w:eastAsia="宋体"/>
                <w:sz w:val="21"/>
                <w:szCs w:val="21"/>
              </w:rPr>
              <w:t>已完成，详见任务2，亮点工作1</w:t>
            </w:r>
          </w:p>
        </w:tc>
        <w:tc>
          <w:tcPr>
            <w:tcW w:w="2074" w:type="dxa"/>
          </w:tcPr>
          <w:p w14:paraId="59FC0377">
            <w:pPr>
              <w:spacing w:after="0" w:line="520" w:lineRule="exact"/>
              <w:rPr>
                <w:rFonts w:hint="eastAsia" w:ascii="宋体" w:hAnsi="宋体" w:eastAsia="宋体"/>
                <w:sz w:val="21"/>
                <w:szCs w:val="21"/>
              </w:rPr>
            </w:pPr>
          </w:p>
          <w:p w14:paraId="59FC0378">
            <w:pPr>
              <w:spacing w:after="0" w:line="520" w:lineRule="exact"/>
              <w:rPr>
                <w:rFonts w:hint="eastAsia" w:ascii="宋体" w:hAnsi="宋体" w:eastAsia="宋体"/>
                <w:sz w:val="21"/>
                <w:szCs w:val="21"/>
              </w:rPr>
            </w:pPr>
          </w:p>
          <w:p w14:paraId="59FC0379">
            <w:pPr>
              <w:spacing w:after="0" w:line="520" w:lineRule="exact"/>
              <w:rPr>
                <w:rFonts w:hint="eastAsia" w:ascii="宋体" w:hAnsi="宋体" w:eastAsia="宋体"/>
                <w:sz w:val="21"/>
                <w:szCs w:val="21"/>
              </w:rPr>
            </w:pPr>
          </w:p>
          <w:p w14:paraId="59FC037A">
            <w:pPr>
              <w:spacing w:after="0" w:line="520" w:lineRule="exact"/>
              <w:rPr>
                <w:rFonts w:hint="eastAsia" w:ascii="宋体" w:hAnsi="宋体" w:eastAsia="宋体"/>
                <w:sz w:val="21"/>
                <w:szCs w:val="21"/>
              </w:rPr>
            </w:pPr>
            <w:r>
              <w:rPr>
                <w:rFonts w:ascii="宋体" w:hAnsi="宋体" w:eastAsia="宋体"/>
                <w:sz w:val="21"/>
                <w:szCs w:val="21"/>
              </w:rPr>
              <w:t>无</w:t>
            </w:r>
          </w:p>
        </w:tc>
      </w:tr>
    </w:tbl>
    <w:p w14:paraId="59FC037C">
      <w:pPr>
        <w:spacing w:line="520" w:lineRule="exact"/>
        <w:rPr>
          <w:rFonts w:hint="eastAsia" w:ascii="宋体" w:hAnsi="宋体" w:eastAsia="宋体"/>
          <w:b/>
          <w:bCs/>
          <w:sz w:val="28"/>
          <w:szCs w:val="28"/>
        </w:rPr>
      </w:pPr>
    </w:p>
    <w:p w14:paraId="59FC037D">
      <w:pPr>
        <w:pStyle w:val="2"/>
        <w:numPr>
          <w:ilvl w:val="0"/>
          <w:numId w:val="2"/>
        </w:numPr>
        <w:rPr>
          <w:rFonts w:hint="eastAsia" w:ascii="微软雅黑" w:hAnsi="微软雅黑" w:eastAsia="微软雅黑"/>
          <w:b/>
          <w:bCs/>
          <w:color w:val="auto"/>
          <w:sz w:val="36"/>
          <w:szCs w:val="36"/>
        </w:rPr>
      </w:pPr>
      <w:bookmarkStart w:id="4" w:name="_Toc239521148"/>
      <w:r>
        <w:rPr>
          <w:rFonts w:ascii="微软雅黑" w:hAnsi="微软雅黑" w:eastAsia="微软雅黑"/>
          <w:b/>
          <w:bCs/>
          <w:color w:val="auto"/>
          <w:sz w:val="36"/>
          <w:szCs w:val="36"/>
        </w:rPr>
        <w:t>研究成果概况</w:t>
      </w:r>
      <w:bookmarkEnd w:id="4"/>
    </w:p>
    <w:p w14:paraId="59FC037E">
      <w:pPr>
        <w:spacing w:line="520" w:lineRule="exact"/>
        <w:rPr>
          <w:rFonts w:hint="eastAsia" w:ascii="宋体" w:hAnsi="宋体" w:eastAsia="宋体"/>
          <w:i/>
          <w:iCs/>
          <w:sz w:val="28"/>
          <w:szCs w:val="28"/>
        </w:rPr>
      </w:pPr>
      <w:r>
        <w:rPr>
          <w:rFonts w:ascii="宋体" w:hAnsi="宋体" w:eastAsia="宋体"/>
          <w:i/>
          <w:iCs/>
          <w:sz w:val="28"/>
          <w:szCs w:val="28"/>
        </w:rPr>
        <w:t>（文章、程序、人才等的总体统计信息</w:t>
      </w:r>
      <w:r>
        <w:rPr>
          <w:rFonts w:hint="eastAsia" w:ascii="宋体" w:hAnsi="宋体" w:eastAsia="宋体"/>
          <w:i/>
          <w:iCs/>
          <w:sz w:val="28"/>
          <w:szCs w:val="28"/>
        </w:rPr>
        <w:t>，详细信息在附表中填写</w:t>
      </w:r>
      <w:r>
        <w:rPr>
          <w:rFonts w:ascii="宋体" w:hAnsi="宋体" w:eastAsia="宋体"/>
          <w:i/>
          <w:iCs/>
          <w:sz w:val="28"/>
          <w:szCs w:val="28"/>
        </w:rPr>
        <w:t>）</w:t>
      </w:r>
    </w:p>
    <w:p w14:paraId="59FC037F">
      <w:pPr>
        <w:spacing w:line="520" w:lineRule="exact"/>
        <w:ind w:firstLine="420"/>
        <w:rPr>
          <w:rFonts w:hint="eastAsia" w:ascii="宋体" w:hAnsi="宋体" w:eastAsia="宋体"/>
          <w:sz w:val="28"/>
          <w:szCs w:val="28"/>
        </w:rPr>
      </w:pPr>
      <w:r>
        <w:rPr>
          <w:rFonts w:ascii="宋体" w:hAnsi="宋体" w:eastAsia="宋体"/>
          <w:sz w:val="28"/>
          <w:szCs w:val="28"/>
        </w:rPr>
        <w:t>共发表第一资助 SCI 论文 2 篇，完成</w:t>
      </w:r>
      <w:r>
        <w:rPr>
          <w:rFonts w:hint="eastAsia" w:ascii="宋体" w:hAnsi="宋体" w:eastAsia="宋体"/>
          <w:sz w:val="28"/>
          <w:szCs w:val="28"/>
        </w:rPr>
        <w:t>程序2个（第一个为包含碰撞吸收、碰撞阻尼等效应的</w:t>
      </w:r>
      <w:r>
        <w:rPr>
          <w:rFonts w:ascii="宋体" w:hAnsi="宋体" w:eastAsia="宋体"/>
          <w:sz w:val="28"/>
          <w:szCs w:val="28"/>
        </w:rPr>
        <w:t>LPI动理学程序</w:t>
      </w:r>
      <w:r>
        <w:rPr>
          <w:rFonts w:hint="eastAsia" w:ascii="宋体" w:hAnsi="宋体" w:eastAsia="宋体"/>
          <w:sz w:val="28"/>
          <w:szCs w:val="28"/>
        </w:rPr>
        <w:t>，第二个为基于神经网络的非平衡态等离子体系统汤姆逊散射诊断分析程序）</w:t>
      </w:r>
      <w:r>
        <w:rPr>
          <w:rFonts w:ascii="宋体" w:hAnsi="宋体" w:eastAsia="宋体"/>
          <w:sz w:val="28"/>
          <w:szCs w:val="28"/>
        </w:rPr>
        <w:t>，培养博士生毕业 1 名，</w:t>
      </w:r>
      <w:r>
        <w:rPr>
          <w:rFonts w:hint="eastAsia" w:ascii="宋体" w:hAnsi="宋体" w:eastAsia="宋体"/>
          <w:sz w:val="28"/>
          <w:szCs w:val="28"/>
        </w:rPr>
        <w:t>出站博士后2名。参研学生汪华洋荣获物理与天文学院“春耕奖学金”，王峥荣获上海交通大学“董氏奖学金”，俞思成荣获上海交通大学“三星奖学金”。目前在读博士生</w:t>
      </w:r>
      <w:r>
        <w:rPr>
          <w:rFonts w:ascii="宋体" w:hAnsi="宋体" w:eastAsia="宋体"/>
          <w:sz w:val="28"/>
          <w:szCs w:val="28"/>
        </w:rPr>
        <w:t>13人</w:t>
      </w:r>
      <w:r>
        <w:rPr>
          <w:rFonts w:hint="eastAsia" w:ascii="宋体" w:hAnsi="宋体" w:eastAsia="宋体"/>
          <w:sz w:val="28"/>
          <w:szCs w:val="28"/>
        </w:rPr>
        <w:t>，其中3人为与中物院联合培养学生</w:t>
      </w:r>
      <w:r>
        <w:rPr>
          <w:rFonts w:ascii="宋体" w:hAnsi="宋体" w:eastAsia="宋体"/>
          <w:sz w:val="28"/>
          <w:szCs w:val="28"/>
        </w:rPr>
        <w:t>（郭守嘉、朱仲源</w:t>
      </w:r>
      <w:r>
        <w:rPr>
          <w:rFonts w:hint="eastAsia" w:ascii="宋体" w:hAnsi="宋体" w:eastAsia="宋体"/>
          <w:sz w:val="28"/>
          <w:szCs w:val="28"/>
        </w:rPr>
        <w:t>、</w:t>
      </w:r>
      <w:r>
        <w:rPr>
          <w:rFonts w:ascii="宋体" w:hAnsi="宋体" w:eastAsia="宋体"/>
          <w:sz w:val="28"/>
          <w:szCs w:val="28"/>
        </w:rPr>
        <w:t>张嘉宁）</w:t>
      </w:r>
      <w:r>
        <w:rPr>
          <w:rFonts w:hint="eastAsia" w:ascii="宋体" w:hAnsi="宋体" w:eastAsia="宋体"/>
          <w:sz w:val="28"/>
          <w:szCs w:val="28"/>
        </w:rPr>
        <w:t>。</w:t>
      </w:r>
      <w:r>
        <w:rPr>
          <w:rFonts w:ascii="宋体" w:hAnsi="宋体" w:eastAsia="宋体"/>
          <w:sz w:val="28"/>
          <w:szCs w:val="28"/>
        </w:rPr>
        <w:t>课题负责人翁苏明荣获2026年度上海交通大学“教书育人奖”三等奖以及2025年度上海交通大学物理与天文学院“春耕”教育奖教金。</w:t>
      </w:r>
    </w:p>
    <w:p w14:paraId="59FC0380">
      <w:pPr>
        <w:pStyle w:val="2"/>
        <w:numPr>
          <w:ilvl w:val="0"/>
          <w:numId w:val="2"/>
        </w:numPr>
        <w:rPr>
          <w:rFonts w:hint="eastAsia" w:ascii="微软雅黑" w:hAnsi="微软雅黑" w:eastAsia="微软雅黑"/>
          <w:b/>
          <w:bCs/>
          <w:color w:val="auto"/>
          <w:sz w:val="36"/>
          <w:szCs w:val="36"/>
        </w:rPr>
      </w:pPr>
      <w:bookmarkStart w:id="5" w:name="_Toc239521149"/>
      <w:r>
        <w:rPr>
          <w:rFonts w:ascii="微软雅黑" w:hAnsi="微软雅黑" w:eastAsia="微软雅黑"/>
          <w:b/>
          <w:bCs/>
          <w:color w:val="auto"/>
          <w:sz w:val="36"/>
          <w:szCs w:val="36"/>
        </w:rPr>
        <w:t>科研工作进展</w:t>
      </w:r>
      <w:bookmarkEnd w:id="5"/>
    </w:p>
    <w:p w14:paraId="59FC0381">
      <w:pPr>
        <w:pStyle w:val="38"/>
        <w:numPr>
          <w:ilvl w:val="0"/>
          <w:numId w:val="4"/>
        </w:numPr>
        <w:spacing w:line="360" w:lineRule="auto"/>
        <w:rPr>
          <w:rStyle w:val="26"/>
          <w:rFonts w:hint="eastAsia" w:ascii="楷体" w:hAnsi="楷体" w:eastAsia="楷体"/>
          <w:b/>
          <w:bCs/>
          <w:color w:val="auto"/>
          <w:sz w:val="28"/>
          <w:szCs w:val="28"/>
        </w:rPr>
      </w:pPr>
      <w:bookmarkStart w:id="6" w:name="_Toc239521150"/>
      <w:r>
        <w:rPr>
          <w:rStyle w:val="26"/>
          <w:rFonts w:hint="eastAsia" w:ascii="楷体" w:hAnsi="楷体" w:eastAsia="楷体"/>
          <w:b/>
          <w:bCs/>
          <w:color w:val="auto"/>
          <w:sz w:val="28"/>
          <w:szCs w:val="28"/>
        </w:rPr>
        <w:t>科研</w:t>
      </w:r>
      <w:r>
        <w:rPr>
          <w:rStyle w:val="26"/>
          <w:rFonts w:ascii="楷体" w:hAnsi="楷体" w:eastAsia="楷体"/>
          <w:b/>
          <w:bCs/>
          <w:color w:val="auto"/>
          <w:sz w:val="28"/>
          <w:szCs w:val="28"/>
        </w:rPr>
        <w:t>亮点工作</w:t>
      </w:r>
      <w:bookmarkEnd w:id="6"/>
    </w:p>
    <w:p w14:paraId="59FC0382">
      <w:pPr>
        <w:spacing w:line="520" w:lineRule="exact"/>
        <w:rPr>
          <w:rFonts w:hint="eastAsia" w:ascii="宋体" w:hAnsi="宋体" w:eastAsia="宋体"/>
          <w:i/>
          <w:iCs/>
          <w:sz w:val="28"/>
          <w:szCs w:val="28"/>
        </w:rPr>
      </w:pPr>
      <w:r>
        <w:rPr>
          <w:rFonts w:ascii="宋体" w:hAnsi="宋体" w:eastAsia="宋体"/>
          <w:i/>
          <w:iCs/>
          <w:sz w:val="28"/>
          <w:szCs w:val="28"/>
        </w:rPr>
        <w:t>（从问题需求、主要进展、创新性或挑战性、价值贡献等角度详细阐述，要求图文并茂，</w:t>
      </w:r>
      <w:r>
        <w:rPr>
          <w:rFonts w:hint="eastAsia" w:ascii="宋体" w:hAnsi="宋体" w:eastAsia="宋体"/>
          <w:i/>
          <w:iCs/>
          <w:sz w:val="28"/>
          <w:szCs w:val="28"/>
        </w:rPr>
        <w:t>每个</w:t>
      </w:r>
      <w:r>
        <w:rPr>
          <w:rFonts w:ascii="宋体" w:hAnsi="宋体" w:eastAsia="宋体"/>
          <w:i/>
          <w:iCs/>
          <w:sz w:val="28"/>
          <w:szCs w:val="28"/>
        </w:rPr>
        <w:t>篇幅不少于 3 页</w:t>
      </w:r>
      <w:r>
        <w:rPr>
          <w:rFonts w:hint="eastAsia" w:ascii="宋体" w:hAnsi="宋体" w:eastAsia="宋体"/>
          <w:i/>
          <w:iCs/>
          <w:sz w:val="28"/>
          <w:szCs w:val="28"/>
        </w:rPr>
        <w:t>，</w:t>
      </w:r>
      <w:r>
        <w:rPr>
          <w:rFonts w:ascii="宋体" w:hAnsi="宋体" w:eastAsia="宋体"/>
          <w:i/>
          <w:iCs/>
          <w:sz w:val="28"/>
          <w:szCs w:val="28"/>
        </w:rPr>
        <w:t>4号</w:t>
      </w:r>
      <w:r>
        <w:rPr>
          <w:rFonts w:hint="eastAsia" w:ascii="宋体" w:hAnsi="宋体" w:eastAsia="宋体"/>
          <w:i/>
          <w:iCs/>
          <w:sz w:val="28"/>
          <w:szCs w:val="28"/>
        </w:rPr>
        <w:t>宋体</w:t>
      </w:r>
      <w:r>
        <w:rPr>
          <w:rFonts w:ascii="宋体" w:hAnsi="宋体" w:eastAsia="宋体"/>
          <w:i/>
          <w:iCs/>
          <w:sz w:val="28"/>
          <w:szCs w:val="28"/>
        </w:rPr>
        <w:t>字、26 磅行距）</w:t>
      </w:r>
    </w:p>
    <w:p w14:paraId="59FC0383">
      <w:pPr>
        <w:spacing w:line="520" w:lineRule="exact"/>
        <w:ind w:firstLine="420"/>
        <w:rPr>
          <w:rFonts w:ascii="Times New Roman" w:hAnsi="Times New Roman" w:eastAsia="宋体" w:cs="Times New Roman"/>
          <w:sz w:val="28"/>
          <w:szCs w:val="28"/>
        </w:rPr>
      </w:pPr>
      <w:r>
        <w:rPr>
          <w:rFonts w:ascii="楷体" w:hAnsi="楷体" w:eastAsia="楷体"/>
          <w:b/>
          <w:bCs/>
          <w:sz w:val="28"/>
          <w:szCs w:val="32"/>
        </w:rPr>
        <w:t>亮点工作1：</w:t>
      </w:r>
      <w:r>
        <w:rPr>
          <w:rFonts w:ascii="Times New Roman" w:hAnsi="Times New Roman" w:eastAsia="宋体" w:cs="Times New Roman"/>
          <w:sz w:val="28"/>
          <w:szCs w:val="28"/>
        </w:rPr>
        <w:t>面向非平衡态等离子体的汤姆逊散射诊断技术研发</w:t>
      </w:r>
    </w:p>
    <w:p w14:paraId="59FC0384">
      <w:pPr>
        <w:spacing w:line="520" w:lineRule="exact"/>
        <w:ind w:firstLine="420"/>
        <w:rPr>
          <w:rFonts w:ascii="Times New Roman" w:hAnsi="Times New Roman" w:eastAsia="宋体" w:cs="Times New Roman"/>
          <w:sz w:val="28"/>
          <w:szCs w:val="28"/>
        </w:rPr>
      </w:pPr>
      <w:r>
        <w:rPr>
          <w:rFonts w:ascii="Times New Roman" w:hAnsi="Times New Roman" w:eastAsia="宋体" w:cs="Times New Roman"/>
          <w:sz w:val="28"/>
          <w:szCs w:val="28"/>
        </w:rPr>
        <w:t>光学汤姆逊散射（Optical Thomson Scattering, OTS）是等离子体诊断中的核心技术之一。其基本原理是将一束激光射入等离子体，激光与自由电子发生汤姆逊散射，散射光的频谱因电子多普勒效应发生频移，从而编码了电子的速度信息。通过解析散射光谱，可获得等离子体的电子温度、密度、流速等关键参数。经过数十年发展，OTS诊断技术已成为惯性约束聚变（ICF）、磁约束聚变及实验室天体物理等领域不可或缺的诊断手段。</w:t>
      </w:r>
    </w:p>
    <w:p w14:paraId="59FC0385">
      <w:pPr>
        <w:spacing w:line="520" w:lineRule="exact"/>
        <w:ind w:firstLine="420"/>
        <w:rPr>
          <w:rFonts w:ascii="Times New Roman" w:hAnsi="Times New Roman" w:eastAsia="宋体" w:cs="Times New Roman"/>
          <w:sz w:val="28"/>
          <w:szCs w:val="28"/>
        </w:rPr>
      </w:pPr>
      <w:r>
        <w:rPr>
          <w:rFonts w:ascii="Times New Roman" w:hAnsi="Times New Roman" w:eastAsia="宋体" w:cs="Times New Roman"/>
          <w:sz w:val="28"/>
          <w:szCs w:val="28"/>
        </w:rPr>
        <w:t>传统OTS诊断技术普遍基于一个核心假设——电子速度分布函数（EVDF）近似为麦克斯韦分布，即等离子体处于平衡态。然而，在激光驱动的ICF等场景中，这一假设往往失效。例如，Langdon于1980年指出，逆轫致辐射吸收会将电子分布从麦克斯韦型驱向超高斯型；而受激拉曼散射（SRS）等激光等离子体不稳定性（LPI）则会诱发“超热电子”，其占比虽仅为0.1%～1%，却能显著影响聚变性能。研究表明，即使EVDF发生微小偏离，OTS光谱也可能出现明显变化，而现有基于近麦克斯韦假设的反演算法难以准确提取非平衡态等离子体的状态参数。</w:t>
      </w:r>
    </w:p>
    <w:p w14:paraId="59FC0386">
      <w:pPr>
        <w:spacing w:line="520" w:lineRule="exact"/>
        <w:ind w:firstLine="420"/>
        <w:rPr>
          <w:rFonts w:ascii="Times New Roman" w:hAnsi="Times New Roman" w:eastAsia="宋体" w:cs="Times New Roman"/>
          <w:sz w:val="28"/>
          <w:szCs w:val="28"/>
        </w:rPr>
      </w:pPr>
      <w:r>
        <w:rPr>
          <w:rFonts w:ascii="Times New Roman" w:hAnsi="Times New Roman" w:eastAsia="宋体" w:cs="Times New Roman"/>
          <w:sz w:val="28"/>
          <w:szCs w:val="28"/>
        </w:rPr>
        <w:t>近年来，研究者尝试将OTS诊断推广至Langdon效应、非局域热输运等非平衡体系，但这些方法无一例外地依赖预设的分布函数形式（如超高斯分布），限制了其对未知或复杂非平衡态的适用性。因此，亟需一种无需先验假设、快速准确且能处理任意EVDF的OTS光谱反演方法。</w:t>
      </w:r>
    </w:p>
    <w:p w14:paraId="59FC0387">
      <w:pPr>
        <w:spacing w:line="520" w:lineRule="exact"/>
        <w:ind w:firstLine="420"/>
        <w:rPr>
          <w:rFonts w:ascii="Times New Roman" w:hAnsi="Times New Roman" w:eastAsia="宋体" w:cs="Times New Roman"/>
          <w:sz w:val="28"/>
          <w:szCs w:val="28"/>
        </w:rPr>
      </w:pPr>
      <w:r>
        <w:rPr>
          <w:rFonts w:ascii="Times New Roman" w:hAnsi="Times New Roman" w:eastAsia="宋体" w:cs="Times New Roman"/>
          <w:sz w:val="28"/>
          <w:szCs w:val="28"/>
        </w:rPr>
        <w:t>针对上述挑战，本工作基于深度神经网络（DNN）等人工智能技术，研发了一套面向非平衡态等离子体系统的OTS诊断技术，实现了从OTS光谱到任意EVDF的快速准确反演。</w:t>
      </w:r>
    </w:p>
    <w:p w14:paraId="59FC0388">
      <w:pPr>
        <w:jc w:val="center"/>
        <w:rPr>
          <w:rFonts w:ascii="Times New Roman" w:hAnsi="Times New Roman" w:eastAsia="宋体" w:cs="Times New Roman"/>
        </w:rPr>
      </w:pPr>
      <w:r>
        <w:rPr>
          <w:rFonts w:ascii="Times New Roman" w:hAnsi="Times New Roman" w:eastAsia="宋体" w:cs="Times New Roman"/>
        </w:rPr>
        <w:drawing>
          <wp:inline distT="0" distB="0" distL="0" distR="0">
            <wp:extent cx="3522345" cy="2086610"/>
            <wp:effectExtent l="0" t="0" r="1905"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6" cstate="print">
                      <a:extLst>
                        <a:ext uri="{28A0092B-C50C-407E-A947-70E740481C1C}">
                          <a14:useLocalDpi xmlns:a14="http://schemas.microsoft.com/office/drawing/2010/main" val="0"/>
                        </a:ext>
                      </a:extLst>
                    </a:blip>
                    <a:srcRect t="3155"/>
                    <a:stretch>
                      <a:fillRect/>
                    </a:stretch>
                  </pic:blipFill>
                  <pic:spPr>
                    <a:xfrm>
                      <a:off x="0" y="0"/>
                      <a:ext cx="3573668" cy="2117550"/>
                    </a:xfrm>
                    <a:prstGeom prst="rect">
                      <a:avLst/>
                    </a:prstGeom>
                    <a:noFill/>
                    <a:ln>
                      <a:noFill/>
                    </a:ln>
                  </pic:spPr>
                </pic:pic>
              </a:graphicData>
            </a:graphic>
          </wp:inline>
        </w:drawing>
      </w:r>
    </w:p>
    <w:p w14:paraId="59FC0389">
      <w:pPr>
        <w:pStyle w:val="45"/>
        <w:jc w:val="both"/>
        <w:rPr>
          <w:rFonts w:ascii="Times New Roman" w:eastAsia="宋体"/>
        </w:rPr>
      </w:pPr>
      <w:r>
        <w:rPr>
          <w:rFonts w:ascii="Times New Roman" w:eastAsia="宋体"/>
          <w:b/>
          <w:bCs/>
          <w:sz w:val="24"/>
          <w:szCs w:val="24"/>
        </w:rPr>
        <w:t>基于DNN的OTS光谱反演重建EVDF示意图</w:t>
      </w:r>
      <w:r>
        <w:rPr>
          <w:rFonts w:ascii="Times New Roman" w:eastAsia="宋体"/>
          <w:sz w:val="24"/>
          <w:szCs w:val="24"/>
        </w:rPr>
        <w:t>：DNN输入为1224维向量，由三段归一化光谱拼接而成：离子峰（349–353 nm，579个采样点）、红移电子峰（375–500 nm，304个采样点）和蓝移电子峰（200–340 nm，341个采样点），各谱段分别归一化至最大值1。网络结构包括1224维输入层、两个各含5000个神经元并采用Leaky ReLU激活的全连接隐藏层，以及162维无激活函数的输出层。输出层前160维为EVDF傅里叶变换的实部（前80）与虚部（后80），经逆变换可得EVDF；剩余2维分别输出离子温度和等离子体密度。</w:t>
      </w:r>
    </w:p>
    <w:p w14:paraId="59FC038A">
      <w:pPr>
        <w:rPr>
          <w:rFonts w:ascii="Times New Roman" w:hAnsi="Times New Roman" w:eastAsia="宋体" w:cs="Times New Roman"/>
        </w:rPr>
      </w:pPr>
    </w:p>
    <w:p w14:paraId="59FC038B">
      <w:pPr>
        <w:pStyle w:val="44"/>
        <w:spacing w:after="160" w:line="520" w:lineRule="exact"/>
        <w:ind w:firstLine="420" w:firstLineChars="0"/>
        <w:rPr>
          <w:rFonts w:ascii="Times New Roman"/>
          <w:szCs w:val="28"/>
        </w:rPr>
      </w:pPr>
      <w:r>
        <w:rPr>
          <w:rFonts w:ascii="Times New Roman"/>
        </w:rPr>
        <w:t>整体技术路线如图1所示：我们构建并训练了一个大型DNN，使其直接从输入光谱映射至速度分布函数。该网络以大规模随机生成的EVDF及其理论光谱为训练样本，通过监督学习将反演所需的隐式正则化嵌入网络参数中。训练数据集的EVDF由10个随机高斯函数叠加构造，各高斯的宽度、幅度和中心位置分别在预定范围内均匀采样（宽度0.01～0.05 c，幅度0.2～2.5，中心-0.06～0.06 c）。训练完成后，从光谱到EVDF的反演仅需单次前向计算，速度达毫秒量级，且具备天然的噪声鲁棒性。为提升计算效率，我们进一步利用傅里叶变换将EVDF表示为频域分量的叠加，并通过围道积分解析处理速度空间奇异点，将极化率计算转化为频域分量的线性加权积分。这一处理不仅将计算效率提升了三个量级，还清晰揭示了散射光谱对EVDF高频分量的敏感程度，为反问题病态性的成因提供了数学依据。</w:t>
      </w:r>
    </w:p>
    <w:p w14:paraId="59FC038C">
      <w:pPr>
        <w:jc w:val="center"/>
        <w:rPr>
          <w:rFonts w:ascii="Times New Roman" w:hAnsi="Times New Roman" w:eastAsia="宋体" w:cs="Times New Roman"/>
        </w:rPr>
      </w:pPr>
      <w:r>
        <w:rPr>
          <w:rFonts w:ascii="Times New Roman" w:hAnsi="Times New Roman" w:eastAsia="宋体" w:cs="Times New Roman"/>
          <w14:ligatures w14:val="none"/>
        </w:rPr>
        <w:drawing>
          <wp:inline distT="0" distB="0" distL="0" distR="0">
            <wp:extent cx="3303905" cy="29718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311510" cy="2979001"/>
                    </a:xfrm>
                    <a:prstGeom prst="rect">
                      <a:avLst/>
                    </a:prstGeom>
                  </pic:spPr>
                </pic:pic>
              </a:graphicData>
            </a:graphic>
          </wp:inline>
        </w:drawing>
      </w:r>
    </w:p>
    <w:p w14:paraId="59FC038D">
      <w:pPr>
        <w:pStyle w:val="45"/>
        <w:jc w:val="both"/>
        <w:rPr>
          <w:rFonts w:ascii="Times New Roman" w:eastAsia="宋体"/>
        </w:rPr>
      </w:pPr>
      <w:r>
        <w:rPr>
          <w:rFonts w:ascii="Times New Roman" w:eastAsia="宋体"/>
          <w:b/>
          <w:bCs/>
          <w:sz w:val="24"/>
          <w:szCs w:val="24"/>
        </w:rPr>
        <w:t>超高斯EVDF的重建结果与误差分析：</w:t>
      </w:r>
      <w:r>
        <w:rPr>
          <w:rFonts w:ascii="Times New Roman" w:eastAsia="宋体"/>
          <w:sz w:val="24"/>
          <w:szCs w:val="24"/>
        </w:rPr>
        <w:t>（a）–（c）分别为超高斯指数 m = 2.1、3.5、4.6 的重建结果，蓝线为预设 EVDF，红线为重建结果，横轴为电子速度（归一化到光速）。（d）为重建相对误差随 m 的变化，每个 m 值下随机生成 100 个不同中心位置和腰宽的 EVDF；红色实线为平均误差，淡红色区域宽度为误差标准差的二倍。</w:t>
      </w:r>
    </w:p>
    <w:p w14:paraId="59FC038E">
      <w:pPr>
        <w:rPr>
          <w:rFonts w:ascii="Times New Roman" w:hAnsi="Times New Roman" w:eastAsia="宋体" w:cs="Times New Roman"/>
        </w:rPr>
      </w:pPr>
    </w:p>
    <w:p w14:paraId="59FC038F">
      <w:pPr>
        <w:pStyle w:val="44"/>
        <w:spacing w:after="160" w:line="520" w:lineRule="exact"/>
        <w:ind w:firstLine="420" w:firstLineChars="0"/>
        <w:rPr>
          <w:rFonts w:ascii="Times New Roman"/>
          <w:szCs w:val="28"/>
        </w:rPr>
      </w:pPr>
      <w:r>
        <w:rPr>
          <w:rFonts w:ascii="Times New Roman"/>
          <w:szCs w:val="28"/>
        </w:rPr>
        <w:t>该DNN模型在OTS光谱反演中展现了良好的泛化能力。尽管训练集中未包含超高斯分布，如图2所示，模型仍能准确重构不同超高斯指数（m = 2.1、3.5、4.6）下的EVDF。对每个m值，我们随机生成100个超高斯EVDF，经理论正向计算得到OTS光谱，再输入训练好的DNN进行反演。结果表明，所有测试m值下的平均重建相对误差均低于5%，充分验证了模型对训练集之外的非麦克斯韦分布形态具有可靠的泛化性能。</w:t>
      </w:r>
    </w:p>
    <w:p w14:paraId="59FC0390">
      <w:pPr>
        <w:pStyle w:val="44"/>
        <w:spacing w:after="160" w:line="520" w:lineRule="exact"/>
        <w:ind w:firstLine="420" w:firstLineChars="0"/>
        <w:rPr>
          <w:rFonts w:ascii="Times New Roman"/>
          <w:szCs w:val="28"/>
        </w:rPr>
      </w:pPr>
      <w:r>
        <w:rPr>
          <w:rFonts w:ascii="Times New Roman"/>
          <w:color w:val="0F1115"/>
          <w:shd w:val="clear" w:color="auto" w:fill="FFFFFF"/>
        </w:rPr>
        <w:t>更重要的是，该模型还可拓展至SRS等参量不稳定性过程产生的超热电子诊断。如图3（a）所示，针对超热电子诊断需求，我们对原始训练集进行了增强，在保留背景低能主峰的同时，于高能段额外引入一个弱峰以模拟超热电子尾部分布，增强模型对尾部信号的感知能力。如图3（b）所示，在增强训练集上重新训练的DNN模型能够准确反演PIC模拟中由SRS产生的EVDF，即使在超热电子信号比背景主峰低约两个量级的高能平台区域，重建结果仍与模拟定量吻合。在长达皮秒级的时间演化追踪中，增强模型亦能准确捕捉EVDF的整体演化特征［图3（c）］及超热电子数密度的动态变化［图3（d）］，验证了其稳定的时间分辨诊断能力。</w:t>
      </w:r>
    </w:p>
    <w:p w14:paraId="59FC0391">
      <w:pPr>
        <w:jc w:val="center"/>
        <w:rPr>
          <w:rFonts w:ascii="Times New Roman" w:hAnsi="Times New Roman" w:eastAsia="宋体" w:cs="Times New Roman"/>
        </w:rPr>
      </w:pPr>
      <w:r>
        <w:rPr>
          <w:rFonts w:ascii="Times New Roman" w:hAnsi="Times New Roman" w:eastAsia="宋体" w:cs="Times New Roman"/>
          <w14:ligatures w14:val="none"/>
        </w:rPr>
        <w:drawing>
          <wp:inline distT="0" distB="0" distL="0" distR="0">
            <wp:extent cx="4230370" cy="3279775"/>
            <wp:effectExtent l="0" t="0" r="825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230991" cy="3279932"/>
                    </a:xfrm>
                    <a:prstGeom prst="rect">
                      <a:avLst/>
                    </a:prstGeom>
                  </pic:spPr>
                </pic:pic>
              </a:graphicData>
            </a:graphic>
          </wp:inline>
        </w:drawing>
      </w:r>
    </w:p>
    <w:p w14:paraId="59FC0392">
      <w:pPr>
        <w:pStyle w:val="45"/>
        <w:jc w:val="both"/>
        <w:rPr>
          <w:rFonts w:ascii="Times New Roman" w:eastAsia="宋体"/>
        </w:rPr>
      </w:pPr>
      <w:r>
        <w:rPr>
          <w:rFonts w:ascii="Times New Roman" w:eastAsia="宋体"/>
          <w:b/>
          <w:bCs/>
          <w:sz w:val="24"/>
          <w:szCs w:val="24"/>
        </w:rPr>
        <w:t>增强型DNN模型对超热电子分布的诊断：</w:t>
      </w:r>
      <w:r>
        <w:rPr>
          <w:rFonts w:ascii="Times New Roman" w:eastAsia="宋体"/>
          <w:sz w:val="24"/>
          <w:szCs w:val="24"/>
        </w:rPr>
        <w:t>（a）训练集中典型EVDF样本在增强前（蓝色曲线）与增强后（红色曲线）的对比；（b）基于未增强（黑线曲线）和增强（红线曲线）训练集得到的DNN模型对PIC模拟所得EVDF（蓝线曲线）的重构结果比较；（c）增强DNN模型在不同时刻重建的EVDF（红线曲线）与PIC模拟结果（蓝线曲线）的对比，红色阴影区标记超热电子贡献；（d）前向传播的超热电子数密度的时间演化，蓝线与红线曲线分别来自PIC模拟与DNN重建。</w:t>
      </w:r>
    </w:p>
    <w:p w14:paraId="59FC0393">
      <w:pPr>
        <w:rPr>
          <w:rFonts w:ascii="Times New Roman" w:hAnsi="Times New Roman" w:eastAsia="宋体" w:cs="Times New Roman"/>
        </w:rPr>
      </w:pPr>
    </w:p>
    <w:p w14:paraId="59FC0394">
      <w:pPr>
        <w:pStyle w:val="44"/>
        <w:spacing w:line="520" w:lineRule="exact"/>
        <w:ind w:firstLine="560"/>
        <w:rPr>
          <w:rFonts w:ascii="Times New Roman"/>
          <w:szCs w:val="28"/>
        </w:rPr>
      </w:pPr>
      <w:r>
        <w:rPr>
          <w:rFonts w:ascii="Times New Roman"/>
          <w:szCs w:val="28"/>
        </w:rPr>
        <w:t>此外，该DNN模型还具备良好的抗噪性能。在真实诊断测量中，OTS光谱往往混杂多种噪声。为模拟此类场景，我们在光谱中加入0～20%的随机噪声后输入训练好的模型。如图4所示，重建误差在含噪音的情况下仍在可接受范围内，超热电子数误差随噪声水平平稳增长，20%高噪声下误差约为30%，展现出了一定鲁棒性。这一特性源于训练集的清洁性：数据驱动的神经网络倾向于忽略训练中未出现的噪声模式，从而为病态反问题提供稳定连续的解。</w:t>
      </w:r>
    </w:p>
    <w:p w14:paraId="59FC0395">
      <w:pPr>
        <w:jc w:val="center"/>
        <w:rPr>
          <w:rFonts w:ascii="Times New Roman" w:hAnsi="Times New Roman" w:eastAsia="宋体" w:cs="Times New Roman"/>
        </w:rPr>
      </w:pPr>
      <w:r>
        <w:rPr>
          <w:rFonts w:ascii="Times New Roman" w:hAnsi="Times New Roman" w:eastAsia="宋体" w:cs="Times New Roman"/>
          <w14:ligatures w14:val="none"/>
        </w:rPr>
        <w:drawing>
          <wp:inline distT="0" distB="0" distL="0" distR="0">
            <wp:extent cx="2974975" cy="2675890"/>
            <wp:effectExtent l="0" t="0" r="635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975106" cy="2676376"/>
                    </a:xfrm>
                    <a:prstGeom prst="rect">
                      <a:avLst/>
                    </a:prstGeom>
                  </pic:spPr>
                </pic:pic>
              </a:graphicData>
            </a:graphic>
          </wp:inline>
        </w:drawing>
      </w:r>
    </w:p>
    <w:p w14:paraId="59FC0396">
      <w:pPr>
        <w:pStyle w:val="45"/>
        <w:jc w:val="both"/>
        <w:rPr>
          <w:rFonts w:ascii="Times New Roman" w:eastAsia="宋体"/>
          <w:sz w:val="24"/>
          <w:szCs w:val="24"/>
        </w:rPr>
      </w:pPr>
      <w:r>
        <w:rPr>
          <w:rFonts w:ascii="Times New Roman" w:eastAsia="宋体"/>
          <w:b/>
          <w:bCs/>
          <w:sz w:val="24"/>
          <w:szCs w:val="24"/>
        </w:rPr>
        <w:t>不同噪声水平下DNN模型的重建误差：</w:t>
      </w:r>
      <w:r>
        <w:rPr>
          <w:rFonts w:ascii="Times New Roman" w:eastAsia="宋体"/>
          <w:sz w:val="24"/>
          <w:szCs w:val="24"/>
        </w:rPr>
        <w:t>红色曲线表示超热电子数预测的相对误差均值，红色区域表示标准差；各噪声水平下误差基于700个不同EVDF进行模拟平均后获得。插图为电子峰在噪声水平分别为O、10%、20%时的光谱对比，直观展示噪声对谱形及超热电子预测的影响。</w:t>
      </w:r>
    </w:p>
    <w:p w14:paraId="59FC0397">
      <w:pPr>
        <w:pStyle w:val="44"/>
        <w:ind w:firstLine="0" w:firstLineChars="0"/>
        <w:rPr>
          <w:rFonts w:ascii="Times New Roman"/>
        </w:rPr>
      </w:pPr>
    </w:p>
    <w:p w14:paraId="59FC0398">
      <w:pPr>
        <w:pStyle w:val="44"/>
        <w:spacing w:line="520" w:lineRule="exact"/>
        <w:ind w:firstLine="560"/>
        <w:rPr>
          <w:rFonts w:ascii="Times New Roman"/>
          <w:color w:val="0F1115"/>
          <w:szCs w:val="28"/>
          <w:shd w:val="clear" w:color="auto" w:fill="FFFFFF"/>
        </w:rPr>
      </w:pPr>
      <w:r>
        <w:rPr>
          <w:rFonts w:ascii="Times New Roman"/>
          <w:color w:val="0F1115"/>
          <w:szCs w:val="28"/>
          <w:shd w:val="clear" w:color="auto" w:fill="FFFFFF"/>
        </w:rPr>
        <w:t>综上，本工作基于神经网络等AI技术建立了面向非平衡态等离子体系统的汤姆逊散射模型，获得了散射光谱与非平衡态EVDF之间的映射关系。其创新性体现在两个层面：一是首次实现了无需任何先验函数假设的任意EVDF直接反演，使OTS诊断具备了对未知复杂非平衡态的适应能力；二是在网络架构设计上，反直觉地选用浅层宽网络，并验证其在本问题中显著优于卷积网络和深层网络——这一发现挑战了“更深更优”的普遍认知，凸显了物理先验对网络选型的主导作用。</w:t>
      </w:r>
    </w:p>
    <w:p w14:paraId="59FC0399">
      <w:pPr>
        <w:pStyle w:val="44"/>
        <w:spacing w:line="520" w:lineRule="exact"/>
        <w:ind w:firstLine="560"/>
        <w:rPr>
          <w:rFonts w:ascii="Times New Roman"/>
          <w:color w:val="0F1115"/>
          <w:szCs w:val="28"/>
          <w:shd w:val="clear" w:color="auto" w:fill="FFFFFF"/>
        </w:rPr>
      </w:pPr>
      <w:r>
        <w:rPr>
          <w:rFonts w:ascii="Times New Roman"/>
          <w:color w:val="0F1115"/>
          <w:szCs w:val="28"/>
          <w:shd w:val="clear" w:color="auto" w:fill="FFFFFF"/>
        </w:rPr>
        <w:t>与此同时，该方法仍面临若干亟需攻克的挑战。当前模型处理的是沿探测方向投影的一维速度分布，对于具有显著各向异性的磁化等离子体，三维全速度空间重建尚需引入多角度散射数据融合策略；当超热电子占比低于千分之一时，其在光谱远端的微弱特征易被主峰淹没，信噪比不足以支撑可靠重建；此外，所有验证目前均基于合成数据与PIC模拟，尚未在包含仪器展宽、杂散光及连续背景辐射等真实实验因素的数据上进行系统测试；模型对超出训练参数范围（如更高密度或温度）的等离子体条件的泛化能力也有待进一步评估，尽管超高斯测试已展示了其对未见分布形态的较好适应性。</w:t>
      </w:r>
    </w:p>
    <w:p w14:paraId="59FC039A">
      <w:pPr>
        <w:pStyle w:val="44"/>
        <w:spacing w:line="520" w:lineRule="exact"/>
        <w:ind w:firstLine="560"/>
        <w:rPr>
          <w:rFonts w:ascii="Times New Roman"/>
          <w:szCs w:val="28"/>
        </w:rPr>
      </w:pPr>
      <w:r>
        <w:rPr>
          <w:rFonts w:ascii="Times New Roman"/>
          <w:szCs w:val="28"/>
        </w:rPr>
        <w:t>在价值贡献方面，本工作为惯性约束聚变装置（如神光系列）提供了一种原位诊断非平衡态等离子体的新途径，有助于解释实验与流体模拟之间的偏差，并为验证和改进非平衡输运模型提供直接数据支撑。同时，本工作展示了将物理先验（傅里叶域低通正则化）嵌入神经网络设计的成功范例，以物理约束引导数据驱动，为小样本物理诊断提供了可复用的思路。该研究还通过清晰的对比警示了盲目套用流行架构和盲目追求网络深度的风险，强调物理内在属性应作为网络设计的第一性指导原则。总体而言，本工作不仅在技术上实现了OTS非平衡态诊断从“不可能”到“可能”的跨越，也在方法学上为物理与人工智能的深度交叉融合贡献了可复用的思想与工具。</w:t>
      </w:r>
    </w:p>
    <w:p w14:paraId="59FC039B">
      <w:pPr>
        <w:pStyle w:val="44"/>
        <w:spacing w:line="520" w:lineRule="exact"/>
        <w:ind w:firstLine="560"/>
        <w:rPr>
          <w:rFonts w:ascii="Times New Roman"/>
          <w:szCs w:val="28"/>
        </w:rPr>
      </w:pPr>
      <w:r>
        <w:rPr>
          <w:rFonts w:hint="eastAsia" w:ascii="Times New Roman"/>
          <w:szCs w:val="28"/>
        </w:rPr>
        <w:t>另外，就多离子组分等离子体的OTS光谱方面，目前已经建立了基于各组分服从麦克斯韦分布假设的精确理论模型，具备给定多离子参数得到理论光谱的正向计算能力。我们利用该模型计算了H-He，H-C，Au-B三种不同组分的等离子体上各组分对光谱的贡献，并对比了平均离子态描述和双离子组分描述。</w:t>
      </w:r>
    </w:p>
    <w:p w14:paraId="59FC03AC">
      <w:pPr>
        <w:pStyle w:val="44"/>
        <w:spacing w:line="520" w:lineRule="exact"/>
        <w:ind w:firstLine="0" w:firstLineChars="0"/>
        <w:rPr>
          <w:rFonts w:ascii="Times New Roman"/>
          <w:szCs w:val="28"/>
        </w:rPr>
      </w:pPr>
    </w:p>
    <w:p w14:paraId="6FE69E3F">
      <w:pPr>
        <w:rPr>
          <w:rFonts w:hint="eastAsia"/>
        </w:rPr>
      </w:pPr>
    </w:p>
    <w:p w14:paraId="430994E7">
      <w:r>
        <w:drawing>
          <wp:inline distT="0" distB="0" distL="0" distR="0">
            <wp:extent cx="4273550" cy="3119120"/>
            <wp:effectExtent l="0" t="0" r="3175" b="5080"/>
            <wp:docPr id="3919984" name="图片 2" descr="C:/Users/win/OneDrive/Desktop/ots/OTS_code_share/NN_hotE_large_lmRange/spectral_fitting_composition_plots/03_H-He_x_H_0p50.png03_H-He_x_H_0p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984" name="图片 2" descr="C:/Users/win/OneDrive/Desktop/ots/OTS_code_share/NN_hotE_large_lmRange/spectral_fitting_composition_plots/03_H-He_x_H_0p50.png03_H-He_x_H_0p50"/>
                    <pic:cNvPicPr>
                      <a:picLocks noChangeAspect="1" noChangeArrowheads="1"/>
                    </pic:cNvPicPr>
                  </pic:nvPicPr>
                  <pic:blipFill>
                    <a:blip r:embed="rId10"/>
                    <a:srcRect t="15" b="15"/>
                    <a:stretch>
                      <a:fillRect/>
                    </a:stretch>
                  </pic:blipFill>
                  <pic:spPr>
                    <a:xfrm>
                      <a:off x="0" y="0"/>
                      <a:ext cx="4273550" cy="3138531"/>
                    </a:xfrm>
                    <a:prstGeom prst="rect">
                      <a:avLst/>
                    </a:prstGeom>
                    <a:noFill/>
                    <a:ln>
                      <a:noFill/>
                    </a:ln>
                  </pic:spPr>
                </pic:pic>
              </a:graphicData>
            </a:graphic>
          </wp:inline>
        </w:drawing>
      </w:r>
    </w:p>
    <w:p w14:paraId="57B55E0A">
      <w:pPr>
        <w:pStyle w:val="45"/>
        <w:jc w:val="left"/>
        <w:rPr>
          <w:rFonts w:hint="eastAsia" w:ascii="宋体" w:hAnsi="宋体" w:eastAsia="宋体" w:cs="宋体"/>
          <w:sz w:val="24"/>
          <w:szCs w:val="18"/>
        </w:rPr>
      </w:pPr>
      <w:r>
        <w:rPr>
          <w:rFonts w:hint="eastAsia" w:ascii="宋体" w:hAnsi="宋体" w:eastAsia="宋体"/>
          <w:b/>
          <w:bCs/>
          <w:sz w:val="24"/>
          <w:szCs w:val="18"/>
        </w:rPr>
        <w:t>H-He双离子组分OTS理论光谱</w:t>
      </w:r>
      <w:r>
        <w:rPr>
          <w:rFonts w:hint="eastAsia"/>
        </w:rPr>
        <w:t>：</w:t>
      </w:r>
      <w:r>
        <w:rPr>
          <w:rFonts w:hint="eastAsia" w:ascii="宋体" w:hAnsi="宋体" w:eastAsia="宋体" w:cs="宋体"/>
          <w:sz w:val="24"/>
          <w:szCs w:val="18"/>
        </w:rPr>
        <w:t>入射波长为351nm，ne=0.3nc，T</w:t>
      </w:r>
      <w:r>
        <w:rPr>
          <w:rFonts w:hint="eastAsia" w:ascii="宋体" w:hAnsi="宋体" w:eastAsia="宋体" w:cs="宋体"/>
          <w:sz w:val="24"/>
          <w:szCs w:val="18"/>
          <w:vertAlign w:val="subscript"/>
        </w:rPr>
        <w:t>e</w:t>
      </w:r>
      <w:r>
        <w:rPr>
          <w:rFonts w:hint="eastAsia" w:ascii="宋体" w:hAnsi="宋体" w:eastAsia="宋体" w:cs="宋体"/>
          <w:sz w:val="24"/>
          <w:szCs w:val="18"/>
        </w:rPr>
        <w:t>=2000eV，T</w:t>
      </w:r>
      <w:r>
        <w:rPr>
          <w:rFonts w:hint="eastAsia" w:ascii="宋体" w:hAnsi="宋体" w:eastAsia="宋体" w:cs="宋体"/>
          <w:sz w:val="24"/>
          <w:szCs w:val="18"/>
          <w:vertAlign w:val="subscript"/>
        </w:rPr>
        <w:t>H</w:t>
      </w:r>
      <w:r>
        <w:rPr>
          <w:rFonts w:hint="eastAsia" w:ascii="宋体" w:hAnsi="宋体" w:eastAsia="宋体" w:cs="宋体"/>
          <w:sz w:val="24"/>
          <w:szCs w:val="18"/>
        </w:rPr>
        <w:t>=800eV，T</w:t>
      </w:r>
      <w:r>
        <w:rPr>
          <w:rFonts w:hint="eastAsia" w:ascii="宋体" w:hAnsi="宋体" w:eastAsia="宋体" w:cs="宋体"/>
          <w:sz w:val="24"/>
          <w:szCs w:val="18"/>
          <w:vertAlign w:val="subscript"/>
        </w:rPr>
        <w:t>He</w:t>
      </w:r>
      <w:r>
        <w:rPr>
          <w:rFonts w:hint="eastAsia" w:ascii="宋体" w:hAnsi="宋体" w:eastAsia="宋体" w:cs="宋体"/>
          <w:sz w:val="24"/>
          <w:szCs w:val="18"/>
        </w:rPr>
        <w:t>=1200eV。左上为纯H等离子体光谱，右上为纯He等离子体光谱，左下为两者各半时平均离子描述光谱，右下为双离子组分模型光谱</w:t>
      </w:r>
      <w:r>
        <w:rPr>
          <w:rFonts w:hint="eastAsia" w:ascii="宋体" w:hAnsi="宋体" w:eastAsia="宋体" w:cs="宋体"/>
          <w:sz w:val="24"/>
          <w:szCs w:val="18"/>
          <w:lang w:eastAsia="zh-CN"/>
        </w:rPr>
        <w:t>。</w:t>
      </w:r>
      <w:r>
        <w:rPr>
          <w:rFonts w:hint="eastAsia" w:ascii="宋体" w:hAnsi="宋体" w:eastAsia="宋体" w:cs="宋体"/>
          <w:sz w:val="24"/>
          <w:szCs w:val="18"/>
          <w:lang w:val="en-US" w:eastAsia="zh-CN"/>
        </w:rPr>
        <w:t>以双离子组分描述光谱最大值归一化。</w:t>
      </w:r>
    </w:p>
    <w:p w14:paraId="7A9F455A">
      <w:pPr>
        <w:rPr>
          <w:rFonts w:hint="eastAsia"/>
        </w:rPr>
      </w:pPr>
      <w:r>
        <w:drawing>
          <wp:inline distT="0" distB="0" distL="0" distR="0">
            <wp:extent cx="4325620" cy="3157220"/>
            <wp:effectExtent l="0" t="0" r="8255" b="5080"/>
            <wp:docPr id="737003242" name="图片 4" descr="C:/Users/win/OneDrive/Desktop/ots/OTS_code_share/NN_hotE_large_lmRange/spectral_fitting_composition_plots/09_H-C_x_H_0p50.png09_H-C_x_H_0p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03242" name="图片 4" descr="C:/Users/win/OneDrive/Desktop/ots/OTS_code_share/NN_hotE_large_lmRange/spectral_fitting_composition_plots/09_H-C_x_H_0p50.png09_H-C_x_H_0p50"/>
                    <pic:cNvPicPr>
                      <a:picLocks noChangeAspect="1" noChangeArrowheads="1"/>
                    </pic:cNvPicPr>
                  </pic:nvPicPr>
                  <pic:blipFill>
                    <a:blip r:embed="rId11"/>
                    <a:srcRect t="15" b="15"/>
                    <a:stretch>
                      <a:fillRect/>
                    </a:stretch>
                  </pic:blipFill>
                  <pic:spPr>
                    <a:xfrm>
                      <a:off x="0" y="0"/>
                      <a:ext cx="4325620" cy="3159397"/>
                    </a:xfrm>
                    <a:prstGeom prst="rect">
                      <a:avLst/>
                    </a:prstGeom>
                    <a:noFill/>
                    <a:ln>
                      <a:noFill/>
                    </a:ln>
                  </pic:spPr>
                </pic:pic>
              </a:graphicData>
            </a:graphic>
          </wp:inline>
        </w:drawing>
      </w:r>
    </w:p>
    <w:p w14:paraId="1A63F908">
      <w:pPr>
        <w:pStyle w:val="45"/>
        <w:jc w:val="left"/>
        <w:rPr>
          <w:rFonts w:ascii="宋体" w:hAnsi="宋体" w:eastAsia="宋体"/>
          <w:sz w:val="24"/>
          <w:szCs w:val="18"/>
        </w:rPr>
      </w:pPr>
      <w:r>
        <w:rPr>
          <w:rFonts w:hint="eastAsia" w:ascii="宋体" w:hAnsi="宋体" w:eastAsia="宋体"/>
          <w:b/>
          <w:bCs/>
          <w:sz w:val="24"/>
          <w:szCs w:val="18"/>
        </w:rPr>
        <w:t>C-H双离子组分OTS理论光谱：</w:t>
      </w:r>
      <w:r>
        <w:rPr>
          <w:rFonts w:hint="eastAsia" w:ascii="宋体" w:hAnsi="宋体" w:eastAsia="宋体"/>
          <w:sz w:val="24"/>
          <w:szCs w:val="18"/>
        </w:rPr>
        <w:t>T</w:t>
      </w:r>
      <w:r>
        <w:rPr>
          <w:rFonts w:hint="eastAsia" w:ascii="宋体" w:hAnsi="宋体" w:eastAsia="宋体"/>
          <w:sz w:val="24"/>
          <w:szCs w:val="18"/>
          <w:vertAlign w:val="subscript"/>
        </w:rPr>
        <w:t>e</w:t>
      </w:r>
      <w:r>
        <w:rPr>
          <w:rFonts w:hint="eastAsia" w:ascii="宋体" w:hAnsi="宋体" w:eastAsia="宋体"/>
          <w:sz w:val="24"/>
          <w:szCs w:val="18"/>
        </w:rPr>
        <w:t>=4800eV，T</w:t>
      </w:r>
      <w:r>
        <w:rPr>
          <w:rFonts w:hint="eastAsia" w:ascii="宋体" w:hAnsi="宋体" w:eastAsia="宋体"/>
          <w:sz w:val="24"/>
          <w:szCs w:val="18"/>
          <w:vertAlign w:val="subscript"/>
        </w:rPr>
        <w:t>C</w:t>
      </w:r>
      <w:r>
        <w:rPr>
          <w:rFonts w:hint="eastAsia" w:ascii="宋体" w:hAnsi="宋体" w:eastAsia="宋体"/>
          <w:sz w:val="24"/>
          <w:szCs w:val="18"/>
        </w:rPr>
        <w:t>=480eV，T</w:t>
      </w:r>
      <w:r>
        <w:rPr>
          <w:rFonts w:hint="eastAsia" w:ascii="宋体" w:hAnsi="宋体" w:eastAsia="宋体"/>
          <w:sz w:val="24"/>
          <w:szCs w:val="18"/>
          <w:vertAlign w:val="subscript"/>
        </w:rPr>
        <w:t>H</w:t>
      </w:r>
      <w:r>
        <w:rPr>
          <w:rFonts w:hint="eastAsia" w:ascii="宋体" w:hAnsi="宋体" w:eastAsia="宋体"/>
          <w:sz w:val="24"/>
          <w:szCs w:val="18"/>
        </w:rPr>
        <w:t>=720eV，H占比0.5。图片含义如前。</w:t>
      </w:r>
    </w:p>
    <w:p w14:paraId="3EAFF06E">
      <w:pPr>
        <w:pStyle w:val="44"/>
        <w:ind w:firstLine="560"/>
      </w:pPr>
    </w:p>
    <w:p w14:paraId="79EA907B">
      <w:r>
        <w:drawing>
          <wp:inline distT="0" distB="0" distL="0" distR="0">
            <wp:extent cx="4305300" cy="3142615"/>
            <wp:effectExtent l="0" t="0" r="0" b="635"/>
            <wp:docPr id="1181058842" name="图片 5" descr="C:/Users/win/OneDrive/Desktop/ots/OTS_code_share/NN_hotE_large_lmRange/spectral_fitting_composition_plots/13_Au-B_x_Au_0p6.png13_Au-B_x_Au_0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58842" name="图片 5" descr="C:/Users/win/OneDrive/Desktop/ots/OTS_code_share/NN_hotE_large_lmRange/spectral_fitting_composition_plots/13_Au-B_x_Au_0p6.png13_Au-B_x_Au_0p6"/>
                    <pic:cNvPicPr>
                      <a:picLocks noChangeAspect="1" noChangeArrowheads="1"/>
                    </pic:cNvPicPr>
                  </pic:nvPicPr>
                  <pic:blipFill>
                    <a:blip r:embed="rId12"/>
                    <a:srcRect t="7" b="7"/>
                    <a:stretch>
                      <a:fillRect/>
                    </a:stretch>
                  </pic:blipFill>
                  <pic:spPr>
                    <a:xfrm>
                      <a:off x="0" y="0"/>
                      <a:ext cx="4305300" cy="3159287"/>
                    </a:xfrm>
                    <a:prstGeom prst="rect">
                      <a:avLst/>
                    </a:prstGeom>
                    <a:noFill/>
                    <a:ln>
                      <a:noFill/>
                    </a:ln>
                  </pic:spPr>
                </pic:pic>
              </a:graphicData>
            </a:graphic>
          </wp:inline>
        </w:drawing>
      </w:r>
    </w:p>
    <w:p w14:paraId="7D1C04F7">
      <w:pPr>
        <w:pStyle w:val="45"/>
        <w:jc w:val="left"/>
        <w:rPr>
          <w:rFonts w:hint="eastAsia"/>
        </w:rPr>
      </w:pPr>
      <w:r>
        <w:rPr>
          <w:rFonts w:hint="eastAsia" w:ascii="宋体" w:hAnsi="宋体" w:eastAsia="宋体"/>
          <w:b/>
          <w:bCs/>
          <w:sz w:val="24"/>
          <w:szCs w:val="18"/>
        </w:rPr>
        <w:t>Au-B双离子组分OTS理论光谱：</w:t>
      </w:r>
      <w:r>
        <w:rPr>
          <w:rFonts w:hint="eastAsia" w:ascii="宋体" w:hAnsi="宋体" w:eastAsia="宋体"/>
          <w:sz w:val="24"/>
          <w:szCs w:val="18"/>
        </w:rPr>
        <w:t>T</w:t>
      </w:r>
      <w:r>
        <w:rPr>
          <w:rFonts w:hint="eastAsia" w:ascii="宋体" w:hAnsi="宋体" w:eastAsia="宋体"/>
          <w:sz w:val="24"/>
          <w:szCs w:val="18"/>
          <w:vertAlign w:val="subscript"/>
        </w:rPr>
        <w:t>e</w:t>
      </w:r>
      <w:r>
        <w:rPr>
          <w:rFonts w:hint="eastAsia" w:ascii="宋体" w:hAnsi="宋体" w:eastAsia="宋体"/>
          <w:sz w:val="24"/>
          <w:szCs w:val="18"/>
        </w:rPr>
        <w:t>=3000eV，T</w:t>
      </w:r>
      <w:r>
        <w:rPr>
          <w:rFonts w:hint="eastAsia" w:ascii="宋体" w:hAnsi="宋体" w:eastAsia="宋体"/>
          <w:sz w:val="24"/>
          <w:szCs w:val="18"/>
          <w:vertAlign w:val="subscript"/>
        </w:rPr>
        <w:t>Au</w:t>
      </w:r>
      <w:r>
        <w:rPr>
          <w:rFonts w:hint="eastAsia" w:ascii="宋体" w:hAnsi="宋体" w:eastAsia="宋体"/>
          <w:sz w:val="24"/>
          <w:szCs w:val="18"/>
        </w:rPr>
        <w:t>=800eV，T</w:t>
      </w:r>
      <w:r>
        <w:rPr>
          <w:rFonts w:hint="eastAsia" w:ascii="宋体" w:hAnsi="宋体" w:eastAsia="宋体"/>
          <w:sz w:val="24"/>
          <w:szCs w:val="18"/>
          <w:vertAlign w:val="subscript"/>
        </w:rPr>
        <w:t>B</w:t>
      </w:r>
      <w:r>
        <w:rPr>
          <w:rFonts w:hint="eastAsia" w:ascii="宋体" w:hAnsi="宋体" w:eastAsia="宋体"/>
          <w:sz w:val="24"/>
          <w:szCs w:val="18"/>
        </w:rPr>
        <w:t>=1200eV，Au占比0.6。图片含义如前。</w:t>
      </w:r>
    </w:p>
    <w:p w14:paraId="47FB717D">
      <w:pPr>
        <w:spacing w:line="520" w:lineRule="exact"/>
        <w:ind w:firstLine="560" w:firstLineChars="200"/>
        <w:rPr>
          <w:rFonts w:hint="eastAsia" w:ascii="Times New Roman" w:hAnsi="Times New Roman" w:eastAsia="宋体" w:cs="Times New Roman"/>
          <w:kern w:val="0"/>
          <w:sz w:val="28"/>
          <w:szCs w:val="28"/>
          <w14:ligatures w14:val="none"/>
        </w:rPr>
      </w:pPr>
      <w:r>
        <w:rPr>
          <w:rFonts w:hint="eastAsia" w:ascii="Times New Roman" w:hAnsi="Times New Roman" w:eastAsia="宋体" w:cs="Times New Roman"/>
          <w:kern w:val="0"/>
          <w:sz w:val="28"/>
          <w:szCs w:val="28"/>
          <w14:ligatures w14:val="none"/>
        </w:rPr>
        <w:t>在双离子组分OTS光谱数学模型的描述中，两种离子会分别对位于谱密度函数分母上的介电函数产生贡献，从而</w:t>
      </w:r>
      <w:r>
        <w:rPr>
          <w:rFonts w:hint="eastAsia" w:ascii="Times New Roman" w:hAnsi="Times New Roman" w:eastAsia="宋体" w:cs="Times New Roman"/>
          <w:kern w:val="0"/>
          <w:sz w:val="28"/>
          <w:szCs w:val="28"/>
          <w:lang w:val="en-US" w:eastAsia="zh-CN"/>
          <w14:ligatures w14:val="none"/>
        </w:rPr>
        <w:t>影响其色散关系</w:t>
      </w:r>
      <w:r>
        <w:rPr>
          <w:rFonts w:hint="eastAsia" w:ascii="Times New Roman" w:hAnsi="Times New Roman" w:eastAsia="宋体" w:cs="Times New Roman"/>
          <w:kern w:val="0"/>
          <w:sz w:val="28"/>
          <w:szCs w:val="28"/>
          <w14:ligatures w14:val="none"/>
        </w:rPr>
        <w:t>。各组分对总光谱的影响并非简单的线性叠加，而是通过速度全域的介电响应和相速度处局域的速度密度函数非线性耦合，使得总光谱发生频移，展宽，</w:t>
      </w:r>
      <w:r>
        <w:rPr>
          <w:rFonts w:hint="eastAsia" w:ascii="Times New Roman" w:hAnsi="Times New Roman" w:eastAsia="宋体" w:cs="Times New Roman"/>
          <w:kern w:val="0"/>
          <w:sz w:val="28"/>
          <w:szCs w:val="28"/>
          <w:lang w:val="en-US" w:eastAsia="zh-CN"/>
          <w14:ligatures w14:val="none"/>
        </w:rPr>
        <w:t>变化峰值强度，</w:t>
      </w:r>
      <w:r>
        <w:rPr>
          <w:rFonts w:hint="eastAsia" w:ascii="Times New Roman" w:hAnsi="Times New Roman" w:eastAsia="宋体" w:cs="Times New Roman"/>
          <w:kern w:val="0"/>
          <w:sz w:val="28"/>
          <w:szCs w:val="28"/>
          <w14:ligatures w14:val="none"/>
        </w:rPr>
        <w:t>乃至产生额外的峰值。</w:t>
      </w:r>
    </w:p>
    <w:p w14:paraId="47B115C5">
      <w:pPr>
        <w:spacing w:line="520" w:lineRule="exact"/>
        <w:ind w:firstLine="560" w:firstLineChars="200"/>
        <w:rPr>
          <w:rFonts w:hint="eastAsia" w:ascii="Times New Roman" w:hAnsi="Times New Roman" w:eastAsia="宋体" w:cs="Times New Roman"/>
          <w:kern w:val="0"/>
          <w:sz w:val="28"/>
          <w:szCs w:val="28"/>
          <w:lang w:val="en-US" w:eastAsia="zh-CN"/>
          <w14:ligatures w14:val="none"/>
        </w:rPr>
      </w:pPr>
      <w:r>
        <w:rPr>
          <w:rFonts w:hint="eastAsia" w:ascii="Times New Roman" w:hAnsi="Times New Roman" w:eastAsia="宋体" w:cs="Times New Roman"/>
          <w:kern w:val="0"/>
          <w:sz w:val="28"/>
          <w:szCs w:val="28"/>
          <w14:ligatures w14:val="none"/>
        </w:rPr>
        <w:t>从上图中可以看到</w:t>
      </w:r>
      <w:r>
        <w:rPr>
          <w:rFonts w:hint="eastAsia" w:ascii="Times New Roman" w:hAnsi="Times New Roman" w:eastAsia="宋体" w:cs="Times New Roman"/>
          <w:kern w:val="0"/>
          <w:sz w:val="28"/>
          <w:szCs w:val="28"/>
          <w:lang w:val="en-US" w:eastAsia="zh-CN"/>
          <w14:ligatures w14:val="none"/>
        </w:rPr>
        <w:t>多离子组分对OTS光谱的非线性影响。在考虑了两种离子的响应之后，C-H，Au-B总光谱强度反而低于任一单组分光谱，这种反直觉的现象物理上正是来源于多离子组分下离子声波的失谐：当入射光和出射光的频率与波数之差恰巧满足离子声波色散关系时OTS产生峰值，多引入一种不同的离子修正了色散关系，破坏了该频率作为谐振频率的性质，因此光谱强度反而变低。</w:t>
      </w:r>
    </w:p>
    <w:p w14:paraId="5A14688C">
      <w:pPr>
        <w:spacing w:line="520" w:lineRule="exact"/>
        <w:ind w:firstLine="560" w:firstLineChars="200"/>
        <w:rPr>
          <w:rFonts w:hint="default" w:ascii="Times New Roman" w:hAnsi="Times New Roman" w:eastAsia="宋体" w:cs="Times New Roman"/>
          <w:kern w:val="0"/>
          <w:sz w:val="28"/>
          <w:szCs w:val="28"/>
          <w:lang w:val="en-US"/>
          <w14:ligatures w14:val="none"/>
        </w:rPr>
      </w:pPr>
      <w:r>
        <w:rPr>
          <w:rFonts w:hint="eastAsia" w:ascii="Times New Roman" w:hAnsi="Times New Roman" w:eastAsia="宋体" w:cs="Times New Roman"/>
          <w:kern w:val="0"/>
          <w:sz w:val="28"/>
          <w:szCs w:val="28"/>
          <w:lang w:val="en-US" w:eastAsia="zh-CN"/>
          <w14:ligatures w14:val="none"/>
        </w:rPr>
        <w:t>对于这种复杂的非线性耦合，</w:t>
      </w:r>
      <w:r>
        <w:rPr>
          <w:rFonts w:hint="eastAsia" w:ascii="Times New Roman" w:hAnsi="Times New Roman" w:eastAsia="宋体" w:cs="Times New Roman"/>
          <w:kern w:val="0"/>
          <w:sz w:val="28"/>
          <w:szCs w:val="28"/>
          <w14:ligatures w14:val="none"/>
        </w:rPr>
        <w:t>平均离子组分</w:t>
      </w:r>
      <w:r>
        <w:rPr>
          <w:rFonts w:hint="eastAsia" w:ascii="Times New Roman" w:hAnsi="Times New Roman" w:eastAsia="宋体" w:cs="Times New Roman"/>
          <w:kern w:val="0"/>
          <w:sz w:val="28"/>
          <w:szCs w:val="28"/>
          <w:lang w:val="en-US" w:eastAsia="zh-CN"/>
          <w14:ligatures w14:val="none"/>
        </w:rPr>
        <w:t>描述</w:t>
      </w:r>
      <w:r>
        <w:rPr>
          <w:rFonts w:hint="eastAsia" w:ascii="Times New Roman" w:hAnsi="Times New Roman" w:eastAsia="宋体" w:cs="Times New Roman"/>
          <w:kern w:val="0"/>
          <w:sz w:val="28"/>
          <w:szCs w:val="28"/>
          <w14:ligatures w14:val="none"/>
        </w:rPr>
        <w:t>丢失了每种组分各自的物理细节</w:t>
      </w:r>
      <w:r>
        <w:rPr>
          <w:rFonts w:hint="eastAsia" w:ascii="Times New Roman" w:hAnsi="Times New Roman" w:eastAsia="宋体" w:cs="Times New Roman"/>
          <w:kern w:val="0"/>
          <w:sz w:val="28"/>
          <w:szCs w:val="28"/>
          <w:lang w:eastAsia="zh-CN"/>
          <w14:ligatures w14:val="none"/>
        </w:rPr>
        <w:t>，</w:t>
      </w:r>
      <w:r>
        <w:rPr>
          <w:rFonts w:hint="eastAsia" w:ascii="Times New Roman" w:hAnsi="Times New Roman" w:eastAsia="宋体" w:cs="Times New Roman"/>
          <w:kern w:val="0"/>
          <w:sz w:val="28"/>
          <w:szCs w:val="28"/>
          <w:lang w:val="en-US" w:eastAsia="zh-CN"/>
          <w14:ligatures w14:val="none"/>
        </w:rPr>
        <w:t>其虽然</w:t>
      </w:r>
      <w:r>
        <w:rPr>
          <w:rFonts w:hint="eastAsia" w:ascii="Times New Roman" w:hAnsi="Times New Roman" w:eastAsia="宋体" w:cs="Times New Roman"/>
          <w:kern w:val="0"/>
          <w:sz w:val="28"/>
          <w:szCs w:val="28"/>
          <w14:ligatures w14:val="none"/>
        </w:rPr>
        <w:t>可以一定程度上捕捉频移信息，但是难以</w:t>
      </w:r>
      <w:r>
        <w:rPr>
          <w:rFonts w:hint="eastAsia" w:ascii="Times New Roman" w:hAnsi="Times New Roman" w:eastAsia="宋体" w:cs="Times New Roman"/>
          <w:kern w:val="0"/>
          <w:sz w:val="28"/>
          <w:szCs w:val="28"/>
          <w:lang w:val="en-US" w:eastAsia="zh-CN"/>
          <w14:ligatures w14:val="none"/>
        </w:rPr>
        <w:t>展现</w:t>
      </w:r>
      <w:r>
        <w:rPr>
          <w:rFonts w:hint="eastAsia" w:ascii="Times New Roman" w:hAnsi="Times New Roman" w:eastAsia="宋体" w:cs="Times New Roman"/>
          <w:kern w:val="0"/>
          <w:sz w:val="28"/>
          <w:szCs w:val="28"/>
          <w14:ligatures w14:val="none"/>
        </w:rPr>
        <w:t>多峰叠加后展宽的峰形状，</w:t>
      </w:r>
      <w:r>
        <w:rPr>
          <w:rFonts w:hint="eastAsia" w:ascii="Times New Roman" w:hAnsi="Times New Roman" w:eastAsia="宋体" w:cs="Times New Roman"/>
          <w:kern w:val="0"/>
          <w:sz w:val="28"/>
          <w:szCs w:val="28"/>
          <w:lang w:val="en-US" w:eastAsia="zh-CN"/>
          <w14:ligatures w14:val="none"/>
        </w:rPr>
        <w:t>对于多离子组分下的峰值强度更是无能为力，凸显了引入双离子描述的OTS光谱的必要性。</w:t>
      </w:r>
      <w:bookmarkStart w:id="25" w:name="_GoBack"/>
      <w:bookmarkEnd w:id="25"/>
    </w:p>
    <w:p w14:paraId="59FC03AD">
      <w:pPr>
        <w:pStyle w:val="44"/>
        <w:spacing w:line="520" w:lineRule="exact"/>
        <w:ind w:firstLine="560"/>
        <w:rPr>
          <w:rFonts w:ascii="Times New Roman"/>
          <w:szCs w:val="28"/>
        </w:rPr>
      </w:pPr>
      <w:r>
        <w:rPr>
          <w:rFonts w:hint="eastAsia" w:ascii="Times New Roman"/>
          <w:szCs w:val="28"/>
        </w:rPr>
        <w:t>通过该正向模型，从多离子组分OTS光谱诊断各组分温度和流速的需求可以转换为最小化正向模型输出与目标光谱之差的优化问题，该问题可用传统优化方法求解。从而在预先获知各离子比例和种类的情况下，我们亦能够对各离子组分温度和流速进行一定程度的推断。</w:t>
      </w:r>
    </w:p>
    <w:p w14:paraId="59FC03AE">
      <w:pPr>
        <w:pStyle w:val="44"/>
        <w:spacing w:line="520" w:lineRule="exact"/>
        <w:ind w:firstLine="560"/>
        <w:rPr>
          <w:rFonts w:ascii="Times New Roman"/>
          <w:szCs w:val="28"/>
        </w:rPr>
      </w:pPr>
      <w:r>
        <w:rPr>
          <w:rFonts w:hint="eastAsia" w:ascii="Times New Roman"/>
          <w:szCs w:val="28"/>
        </w:rPr>
        <w:t>我们在H-He，H-C，Au-B三种不同组分的等离子体上开展了模型反演测试。在每个算例中我们为两种离子设置了彼此不同的温度，使用正向模型获得目标光谱。之后我们将各离子流速和温度设置为优化变量</w:t>
      </w:r>
      <w:bookmarkStart w:id="7" w:name="_Toc239521151"/>
      <w:r>
        <w:rPr>
          <w:rFonts w:hint="eastAsia" w:ascii="Times New Roman"/>
          <w:szCs w:val="28"/>
        </w:rPr>
        <w:t>，最小化输出L2误差，期望得到与正向计算设置相同的温度和流速，以验证正反演自洽性。</w:t>
      </w:r>
    </w:p>
    <w:p w14:paraId="59FC03AF">
      <w:pPr>
        <w:rPr>
          <w:rFonts w:ascii="Times New Roman" w:hAnsi="Times New Roman" w:cs="Times New Roman"/>
          <w:kern w:val="0"/>
          <w:sz w:val="28"/>
          <w:szCs w:val="28"/>
          <w14:ligatures w14:val="none"/>
        </w:rPr>
      </w:pPr>
      <w:r>
        <w:rPr>
          <w:rFonts w:hint="eastAsia" w:ascii="Times New Roman" w:hAnsi="Times New Roman" w:cs="Times New Roman"/>
          <w:kern w:val="0"/>
          <w:sz w:val="28"/>
          <w:szCs w:val="28"/>
          <w14:ligatures w14:val="none"/>
        </w:rPr>
        <w:drawing>
          <wp:inline distT="0" distB="0" distL="114300" distR="114300">
            <wp:extent cx="5586095" cy="1741805"/>
            <wp:effectExtent l="0" t="0" r="5080" b="1270"/>
            <wp:docPr id="25" name="图片 25" descr="02_H-He_x_H_0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02_H-He_x_H_0p5"/>
                    <pic:cNvPicPr>
                      <a:picLocks noChangeAspect="1"/>
                    </pic:cNvPicPr>
                  </pic:nvPicPr>
                  <pic:blipFill>
                    <a:blip r:embed="rId13"/>
                    <a:stretch>
                      <a:fillRect/>
                    </a:stretch>
                  </pic:blipFill>
                  <pic:spPr>
                    <a:xfrm>
                      <a:off x="0" y="0"/>
                      <a:ext cx="5586095" cy="1741805"/>
                    </a:xfrm>
                    <a:prstGeom prst="rect">
                      <a:avLst/>
                    </a:prstGeom>
                  </pic:spPr>
                </pic:pic>
              </a:graphicData>
            </a:graphic>
          </wp:inline>
        </w:drawing>
      </w:r>
    </w:p>
    <w:p w14:paraId="59FC03B0">
      <w:pPr>
        <w:pStyle w:val="45"/>
        <w:jc w:val="left"/>
        <w:rPr>
          <w:rFonts w:hint="eastAsia" w:ascii="宋体" w:hAnsi="宋体" w:eastAsia="宋体" w:cs="宋体"/>
          <w:sz w:val="24"/>
          <w:szCs w:val="18"/>
        </w:rPr>
      </w:pPr>
      <w:r>
        <w:rPr>
          <w:rFonts w:hint="eastAsia"/>
        </w:rPr>
        <w:t xml:space="preserve"> </w:t>
      </w:r>
      <w:r>
        <w:rPr>
          <w:rFonts w:hint="eastAsia" w:ascii="宋体" w:hAnsi="宋体" w:eastAsia="宋体" w:cs="宋体"/>
          <w:b/>
          <w:bCs/>
          <w:sz w:val="24"/>
          <w:szCs w:val="18"/>
        </w:rPr>
        <w:t>H-He双离子组分OTS光谱反演结果：</w:t>
      </w:r>
      <w:r>
        <w:rPr>
          <w:rFonts w:hint="eastAsia" w:ascii="宋体" w:hAnsi="宋体" w:eastAsia="宋体" w:cs="宋体"/>
          <w:sz w:val="24"/>
          <w:szCs w:val="18"/>
        </w:rPr>
        <w:t>入射波长为351nm，ne=0.3nc，T</w:t>
      </w:r>
      <w:r>
        <w:rPr>
          <w:rFonts w:hint="eastAsia" w:ascii="宋体" w:hAnsi="宋体" w:eastAsia="宋体" w:cs="宋体"/>
          <w:sz w:val="24"/>
          <w:szCs w:val="18"/>
          <w:vertAlign w:val="subscript"/>
        </w:rPr>
        <w:t>e</w:t>
      </w:r>
      <w:r>
        <w:rPr>
          <w:rFonts w:hint="eastAsia" w:ascii="宋体" w:hAnsi="宋体" w:eastAsia="宋体" w:cs="宋体"/>
          <w:sz w:val="24"/>
          <w:szCs w:val="18"/>
        </w:rPr>
        <w:t>=2000eV，T</w:t>
      </w:r>
      <w:r>
        <w:rPr>
          <w:rFonts w:hint="eastAsia" w:ascii="宋体" w:hAnsi="宋体" w:eastAsia="宋体" w:cs="宋体"/>
          <w:sz w:val="24"/>
          <w:szCs w:val="18"/>
          <w:vertAlign w:val="subscript"/>
        </w:rPr>
        <w:t>H</w:t>
      </w:r>
      <w:r>
        <w:rPr>
          <w:rFonts w:hint="eastAsia" w:ascii="宋体" w:hAnsi="宋体" w:eastAsia="宋体" w:cs="宋体"/>
          <w:sz w:val="24"/>
          <w:szCs w:val="18"/>
        </w:rPr>
        <w:t>=800eV，T</w:t>
      </w:r>
      <w:r>
        <w:rPr>
          <w:rFonts w:hint="eastAsia" w:ascii="宋体" w:hAnsi="宋体" w:eastAsia="宋体" w:cs="宋体"/>
          <w:sz w:val="24"/>
          <w:szCs w:val="18"/>
          <w:vertAlign w:val="subscript"/>
        </w:rPr>
        <w:t>He</w:t>
      </w:r>
      <w:r>
        <w:rPr>
          <w:rFonts w:hint="eastAsia" w:ascii="宋体" w:hAnsi="宋体" w:eastAsia="宋体" w:cs="宋体"/>
          <w:sz w:val="24"/>
          <w:szCs w:val="18"/>
        </w:rPr>
        <w:t>=1200eV，H占比0.5。左1为正演光谱和反演最佳拟合光谱；左2为T</w:t>
      </w:r>
      <w:r>
        <w:rPr>
          <w:rFonts w:hint="eastAsia" w:ascii="宋体" w:hAnsi="宋体" w:eastAsia="宋体" w:cs="宋体"/>
          <w:sz w:val="24"/>
          <w:szCs w:val="18"/>
          <w:vertAlign w:val="subscript"/>
        </w:rPr>
        <w:t>e</w:t>
      </w:r>
      <w:r>
        <w:rPr>
          <w:rFonts w:hint="eastAsia" w:ascii="宋体" w:hAnsi="宋体" w:eastAsia="宋体" w:cs="宋体"/>
          <w:sz w:val="24"/>
          <w:szCs w:val="18"/>
        </w:rPr>
        <w:t>-T</w:t>
      </w:r>
      <w:r>
        <w:rPr>
          <w:rFonts w:hint="eastAsia" w:ascii="宋体" w:hAnsi="宋体" w:eastAsia="宋体" w:cs="宋体"/>
          <w:sz w:val="24"/>
          <w:szCs w:val="18"/>
          <w:vertAlign w:val="subscript"/>
        </w:rPr>
        <w:t>H</w:t>
      </w:r>
      <w:r>
        <w:rPr>
          <w:rFonts w:hint="eastAsia" w:ascii="宋体" w:hAnsi="宋体" w:eastAsia="宋体" w:cs="宋体"/>
          <w:sz w:val="24"/>
          <w:szCs w:val="18"/>
        </w:rPr>
        <w:t>空间中的误差等高线，其中每个点代表该温度下的光谱与原始正演光谱的相对误差，正演参数位于最低点；左3为T</w:t>
      </w:r>
      <w:r>
        <w:rPr>
          <w:rFonts w:hint="eastAsia" w:ascii="宋体" w:hAnsi="宋体" w:eastAsia="宋体" w:cs="宋体"/>
          <w:sz w:val="24"/>
          <w:szCs w:val="18"/>
          <w:vertAlign w:val="subscript"/>
        </w:rPr>
        <w:t>e</w:t>
      </w:r>
      <w:r>
        <w:rPr>
          <w:rFonts w:hint="eastAsia" w:ascii="宋体" w:hAnsi="宋体" w:eastAsia="宋体" w:cs="宋体"/>
          <w:sz w:val="24"/>
          <w:szCs w:val="18"/>
        </w:rPr>
        <w:t>-T</w:t>
      </w:r>
      <w:r>
        <w:rPr>
          <w:rFonts w:hint="eastAsia" w:ascii="宋体" w:hAnsi="宋体" w:eastAsia="宋体" w:cs="宋体"/>
          <w:sz w:val="24"/>
          <w:szCs w:val="18"/>
          <w:vertAlign w:val="subscript"/>
        </w:rPr>
        <w:t>He</w:t>
      </w:r>
      <w:r>
        <w:rPr>
          <w:rFonts w:hint="eastAsia" w:ascii="宋体" w:hAnsi="宋体" w:eastAsia="宋体" w:cs="宋体"/>
          <w:sz w:val="24"/>
          <w:szCs w:val="18"/>
        </w:rPr>
        <w:t>空间的误差等高线。</w:t>
      </w:r>
    </w:p>
    <w:p w14:paraId="59FC03B1">
      <w:pPr>
        <w:pStyle w:val="44"/>
        <w:ind w:firstLine="560"/>
      </w:pPr>
    </w:p>
    <w:p w14:paraId="59FC03B2">
      <w:pPr>
        <w:rPr>
          <w:rFonts w:hint="eastAsia"/>
        </w:rPr>
      </w:pPr>
      <w:r>
        <w:rPr>
          <w:rStyle w:val="26"/>
          <w:rFonts w:hint="eastAsia" w:ascii="宋体" w:hAnsi="宋体" w:eastAsia="宋体" w:cs="宋体"/>
          <w:b/>
          <w:bCs/>
          <w:color w:val="auto"/>
          <w:sz w:val="24"/>
          <w:szCs w:val="24"/>
        </w:rPr>
        <w:drawing>
          <wp:inline distT="0" distB="0" distL="114300" distR="114300">
            <wp:extent cx="5842000" cy="1821815"/>
            <wp:effectExtent l="0" t="0" r="6350" b="6985"/>
            <wp:docPr id="27" name="图片 27" descr="06_H-C_x_H_0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06_H-C_x_H_0p5"/>
                    <pic:cNvPicPr>
                      <a:picLocks noChangeAspect="1"/>
                    </pic:cNvPicPr>
                  </pic:nvPicPr>
                  <pic:blipFill>
                    <a:blip r:embed="rId14"/>
                    <a:stretch>
                      <a:fillRect/>
                    </a:stretch>
                  </pic:blipFill>
                  <pic:spPr>
                    <a:xfrm>
                      <a:off x="0" y="0"/>
                      <a:ext cx="5842000" cy="1821815"/>
                    </a:xfrm>
                    <a:prstGeom prst="rect">
                      <a:avLst/>
                    </a:prstGeom>
                  </pic:spPr>
                </pic:pic>
              </a:graphicData>
            </a:graphic>
          </wp:inline>
        </w:drawing>
      </w:r>
    </w:p>
    <w:p w14:paraId="59FC03B3">
      <w:pPr>
        <w:pStyle w:val="45"/>
        <w:jc w:val="left"/>
        <w:rPr>
          <w:rFonts w:hint="eastAsia" w:ascii="宋体" w:hAnsi="宋体" w:eastAsia="宋体" w:cs="宋体"/>
          <w:sz w:val="24"/>
          <w:szCs w:val="18"/>
        </w:rPr>
      </w:pPr>
      <w:r>
        <w:rPr>
          <w:rFonts w:hint="eastAsia" w:ascii="宋体" w:hAnsi="宋体" w:eastAsia="宋体" w:cs="宋体"/>
          <w:b/>
          <w:bCs/>
          <w:sz w:val="24"/>
          <w:szCs w:val="18"/>
        </w:rPr>
        <w:t>C-H双离子组分OTS光谱反演结果：</w:t>
      </w:r>
      <w:r>
        <w:rPr>
          <w:rFonts w:hint="eastAsia" w:ascii="宋体" w:hAnsi="宋体" w:eastAsia="宋体" w:cs="宋体"/>
          <w:sz w:val="24"/>
          <w:szCs w:val="18"/>
        </w:rPr>
        <w:t>T</w:t>
      </w:r>
      <w:r>
        <w:rPr>
          <w:rFonts w:hint="eastAsia" w:ascii="宋体" w:hAnsi="宋体" w:eastAsia="宋体" w:cs="宋体"/>
          <w:sz w:val="24"/>
          <w:szCs w:val="18"/>
          <w:vertAlign w:val="subscript"/>
        </w:rPr>
        <w:t>e</w:t>
      </w:r>
      <w:r>
        <w:rPr>
          <w:rFonts w:hint="eastAsia" w:ascii="宋体" w:hAnsi="宋体" w:eastAsia="宋体" w:cs="宋体"/>
          <w:sz w:val="24"/>
          <w:szCs w:val="18"/>
        </w:rPr>
        <w:t>=4800eV，T</w:t>
      </w:r>
      <w:r>
        <w:rPr>
          <w:rFonts w:hint="eastAsia" w:ascii="宋体" w:hAnsi="宋体" w:eastAsia="宋体" w:cs="宋体"/>
          <w:sz w:val="24"/>
          <w:szCs w:val="18"/>
          <w:vertAlign w:val="subscript"/>
        </w:rPr>
        <w:t>C</w:t>
      </w:r>
      <w:r>
        <w:rPr>
          <w:rFonts w:hint="eastAsia" w:ascii="宋体" w:hAnsi="宋体" w:eastAsia="宋体" w:cs="宋体"/>
          <w:sz w:val="24"/>
          <w:szCs w:val="18"/>
        </w:rPr>
        <w:t>=480eV，T</w:t>
      </w:r>
      <w:r>
        <w:rPr>
          <w:rFonts w:hint="eastAsia" w:ascii="宋体" w:hAnsi="宋体" w:eastAsia="宋体" w:cs="宋体"/>
          <w:sz w:val="24"/>
          <w:szCs w:val="18"/>
          <w:vertAlign w:val="subscript"/>
        </w:rPr>
        <w:t>H</w:t>
      </w:r>
      <w:r>
        <w:rPr>
          <w:rFonts w:hint="eastAsia" w:ascii="宋体" w:hAnsi="宋体" w:eastAsia="宋体" w:cs="宋体"/>
          <w:sz w:val="24"/>
          <w:szCs w:val="18"/>
        </w:rPr>
        <w:t>=720eV，H占比0.5。图片含义如前。</w:t>
      </w:r>
    </w:p>
    <w:p w14:paraId="59FC03B4">
      <w:pPr>
        <w:rPr>
          <w:rStyle w:val="26"/>
          <w:rFonts w:hint="eastAsia" w:ascii="楷体" w:hAnsi="楷体" w:eastAsia="楷体"/>
          <w:b/>
          <w:bCs/>
          <w:color w:val="auto"/>
          <w:sz w:val="28"/>
          <w:szCs w:val="28"/>
        </w:rPr>
      </w:pPr>
    </w:p>
    <w:p w14:paraId="59FC03B5">
      <w:pPr>
        <w:rPr>
          <w:rStyle w:val="26"/>
          <w:rFonts w:hint="eastAsia" w:ascii="楷体" w:hAnsi="楷体" w:eastAsia="楷体"/>
          <w:b/>
          <w:bCs/>
          <w:color w:val="auto"/>
          <w:sz w:val="28"/>
          <w:szCs w:val="28"/>
        </w:rPr>
      </w:pPr>
      <w:r>
        <w:rPr>
          <w:rStyle w:val="26"/>
          <w:rFonts w:hint="eastAsia" w:ascii="楷体" w:hAnsi="楷体" w:eastAsia="楷体"/>
          <w:b/>
          <w:bCs/>
          <w:color w:val="auto"/>
          <w:sz w:val="28"/>
          <w:szCs w:val="28"/>
        </w:rPr>
        <w:drawing>
          <wp:inline distT="0" distB="0" distL="114300" distR="114300">
            <wp:extent cx="5662930" cy="1765935"/>
            <wp:effectExtent l="0" t="0" r="4445" b="5715"/>
            <wp:docPr id="28" name="图片 28" descr="09_Au-B_x_Au_0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09_Au-B_x_Au_0p6"/>
                    <pic:cNvPicPr>
                      <a:picLocks noChangeAspect="1"/>
                    </pic:cNvPicPr>
                  </pic:nvPicPr>
                  <pic:blipFill>
                    <a:blip r:embed="rId15"/>
                    <a:stretch>
                      <a:fillRect/>
                    </a:stretch>
                  </pic:blipFill>
                  <pic:spPr>
                    <a:xfrm>
                      <a:off x="0" y="0"/>
                      <a:ext cx="5662930" cy="1765935"/>
                    </a:xfrm>
                    <a:prstGeom prst="rect">
                      <a:avLst/>
                    </a:prstGeom>
                  </pic:spPr>
                </pic:pic>
              </a:graphicData>
            </a:graphic>
          </wp:inline>
        </w:drawing>
      </w:r>
    </w:p>
    <w:p w14:paraId="59FC03B6">
      <w:pPr>
        <w:pStyle w:val="45"/>
        <w:jc w:val="left"/>
        <w:rPr>
          <w:rFonts w:hint="eastAsia" w:ascii="宋体" w:hAnsi="宋体" w:eastAsia="宋体" w:cs="宋体"/>
          <w:sz w:val="24"/>
          <w:szCs w:val="18"/>
        </w:rPr>
      </w:pPr>
      <w:r>
        <w:rPr>
          <w:rFonts w:hint="eastAsia" w:ascii="宋体" w:hAnsi="宋体" w:eastAsia="宋体" w:cs="宋体"/>
          <w:b/>
          <w:bCs/>
          <w:sz w:val="24"/>
          <w:szCs w:val="18"/>
        </w:rPr>
        <w:t>Au-B双离子组分OTS光谱反演结果：</w:t>
      </w:r>
      <w:r>
        <w:rPr>
          <w:rFonts w:hint="eastAsia" w:ascii="宋体" w:hAnsi="宋体" w:eastAsia="宋体" w:cs="宋体"/>
          <w:sz w:val="24"/>
          <w:szCs w:val="18"/>
        </w:rPr>
        <w:t>T</w:t>
      </w:r>
      <w:r>
        <w:rPr>
          <w:rFonts w:hint="eastAsia" w:ascii="宋体" w:hAnsi="宋体" w:eastAsia="宋体" w:cs="宋体"/>
          <w:sz w:val="24"/>
          <w:szCs w:val="18"/>
          <w:vertAlign w:val="subscript"/>
        </w:rPr>
        <w:t>e</w:t>
      </w:r>
      <w:r>
        <w:rPr>
          <w:rFonts w:hint="eastAsia" w:ascii="宋体" w:hAnsi="宋体" w:eastAsia="宋体" w:cs="宋体"/>
          <w:sz w:val="24"/>
          <w:szCs w:val="18"/>
        </w:rPr>
        <w:t>=3000eV，T</w:t>
      </w:r>
      <w:r>
        <w:rPr>
          <w:rFonts w:hint="eastAsia" w:ascii="宋体" w:hAnsi="宋体" w:eastAsia="宋体" w:cs="宋体"/>
          <w:sz w:val="24"/>
          <w:szCs w:val="18"/>
          <w:vertAlign w:val="subscript"/>
        </w:rPr>
        <w:t>Au</w:t>
      </w:r>
      <w:r>
        <w:rPr>
          <w:rFonts w:hint="eastAsia" w:ascii="宋体" w:hAnsi="宋体" w:eastAsia="宋体" w:cs="宋体"/>
          <w:sz w:val="24"/>
          <w:szCs w:val="18"/>
        </w:rPr>
        <w:t>=800eV，T</w:t>
      </w:r>
      <w:r>
        <w:rPr>
          <w:rFonts w:hint="eastAsia" w:ascii="宋体" w:hAnsi="宋体" w:eastAsia="宋体" w:cs="宋体"/>
          <w:sz w:val="24"/>
          <w:szCs w:val="18"/>
          <w:vertAlign w:val="subscript"/>
        </w:rPr>
        <w:t>B</w:t>
      </w:r>
      <w:r>
        <w:rPr>
          <w:rFonts w:hint="eastAsia" w:ascii="宋体" w:hAnsi="宋体" w:eastAsia="宋体" w:cs="宋体"/>
          <w:sz w:val="24"/>
          <w:szCs w:val="18"/>
        </w:rPr>
        <w:t>=1200eV，Au占比0.6。图片含义如前。</w:t>
      </w:r>
    </w:p>
    <w:p w14:paraId="59FC03B7">
      <w:pPr>
        <w:pStyle w:val="44"/>
        <w:spacing w:line="520" w:lineRule="exact"/>
        <w:ind w:firstLine="560"/>
        <w:rPr>
          <w:rFonts w:ascii="Times New Roman"/>
          <w:szCs w:val="28"/>
        </w:rPr>
      </w:pPr>
      <w:r>
        <w:rPr>
          <w:rFonts w:hint="eastAsia" w:ascii="Times New Roman"/>
          <w:szCs w:val="28"/>
        </w:rPr>
        <w:t>除了在不同相对原子质量和Z值下进行的测试，我们还变动了离子组分比例，多组算例均精确重建了预先设定的组分温度和流速，验证了正演模型和反演推断之间的自洽性。</w:t>
      </w:r>
    </w:p>
    <w:p w14:paraId="59FC03B8">
      <w:pPr>
        <w:pStyle w:val="44"/>
        <w:spacing w:line="520" w:lineRule="exact"/>
        <w:ind w:firstLine="560"/>
        <w:rPr>
          <w:rFonts w:ascii="Times New Roman"/>
          <w:szCs w:val="28"/>
        </w:rPr>
      </w:pPr>
      <w:r>
        <w:rPr>
          <w:rFonts w:hint="eastAsia" w:ascii="Times New Roman"/>
          <w:szCs w:val="28"/>
        </w:rPr>
        <w:t>综上所述，我们基于平衡分布假设，利用经典的等离子体色散函数理论建立了正向计算多离子组分等离子体OTS光谱的模型，并通过参数优化具备了反向推断各组分温度和流速的能力。该方法在正演意义上可导向对多离子组分下OTS光谱相关物理机制更深入的认知，在反演意义上可被用于初步确定光谱所对应的等离子体参数，供神经网络参考对照。其对神经网络方法的进一步推广具有重要基线价值。</w:t>
      </w:r>
    </w:p>
    <w:p w14:paraId="59FC03B9">
      <w:pPr>
        <w:rPr>
          <w:rStyle w:val="26"/>
          <w:rFonts w:hint="eastAsia" w:ascii="楷体" w:hAnsi="楷体" w:eastAsia="楷体"/>
          <w:b/>
          <w:bCs/>
          <w:color w:val="auto"/>
          <w:sz w:val="28"/>
          <w:szCs w:val="28"/>
        </w:rPr>
      </w:pPr>
      <w:r>
        <w:rPr>
          <w:rStyle w:val="26"/>
          <w:rFonts w:ascii="楷体" w:hAnsi="楷体" w:eastAsia="楷体"/>
          <w:b/>
          <w:bCs/>
          <w:color w:val="auto"/>
          <w:sz w:val="28"/>
          <w:szCs w:val="28"/>
        </w:rPr>
        <w:t>任务完成情况</w:t>
      </w:r>
      <w:bookmarkEnd w:id="7"/>
    </w:p>
    <w:p w14:paraId="59FC03BA">
      <w:pPr>
        <w:spacing w:line="520" w:lineRule="exact"/>
        <w:rPr>
          <w:rFonts w:hint="eastAsia" w:ascii="宋体" w:hAnsi="宋体" w:eastAsia="宋体"/>
          <w:i/>
          <w:iCs/>
          <w:sz w:val="28"/>
          <w:szCs w:val="28"/>
        </w:rPr>
      </w:pPr>
      <w:r>
        <w:rPr>
          <w:rFonts w:ascii="宋体" w:hAnsi="宋体" w:eastAsia="宋体"/>
          <w:i/>
          <w:iCs/>
          <w:sz w:val="28"/>
          <w:szCs w:val="28"/>
        </w:rPr>
        <w:t>（对照第一章中表 1 和表 2 条目，逐个条目详细展开介绍完成情况，论文和报告等数量指标类可不介绍，例如“完成 XX 篇 SCI 论文”条目不需要在这里介绍）</w:t>
      </w:r>
    </w:p>
    <w:p w14:paraId="59FC03BB">
      <w:pPr>
        <w:spacing w:line="520" w:lineRule="exact"/>
        <w:rPr>
          <w:rFonts w:hint="eastAsia" w:ascii="宋体" w:hAnsi="宋体" w:eastAsia="宋体"/>
          <w:b/>
          <w:bCs/>
          <w:sz w:val="28"/>
          <w:szCs w:val="28"/>
        </w:rPr>
      </w:pPr>
      <w:r>
        <w:rPr>
          <w:rFonts w:ascii="宋体" w:hAnsi="宋体" w:eastAsia="宋体"/>
          <w:b/>
          <w:bCs/>
          <w:sz w:val="28"/>
          <w:szCs w:val="28"/>
        </w:rPr>
        <w:t>（1）任务 1：</w:t>
      </w:r>
      <w:r>
        <w:rPr>
          <w:rFonts w:hint="eastAsia" w:ascii="宋体" w:hAnsi="宋体" w:eastAsia="宋体"/>
          <w:b/>
          <w:bCs/>
          <w:sz w:val="28"/>
          <w:szCs w:val="28"/>
        </w:rPr>
        <w:t>在</w:t>
      </w:r>
      <w:r>
        <w:rPr>
          <w:rFonts w:ascii="宋体" w:hAnsi="宋体" w:eastAsia="宋体"/>
          <w:b/>
          <w:bCs/>
          <w:sz w:val="28"/>
          <w:szCs w:val="28"/>
        </w:rPr>
        <w:t>LPI程序中处理碰撞吸收、碰撞阻尼等效应的物理模型</w:t>
      </w:r>
    </w:p>
    <w:p w14:paraId="59FC03BC">
      <w:pPr>
        <w:pStyle w:val="44"/>
        <w:spacing w:line="520" w:lineRule="exact"/>
        <w:ind w:firstLine="560"/>
        <w:rPr>
          <w:rFonts w:ascii="Times New Roman"/>
          <w:color w:val="0F1115"/>
          <w:szCs w:val="28"/>
          <w:shd w:val="clear" w:color="auto" w:fill="FFFFFF"/>
        </w:rPr>
      </w:pPr>
      <w:r>
        <w:rPr>
          <w:rFonts w:hint="eastAsia" w:ascii="Times New Roman"/>
          <w:color w:val="0F1115"/>
          <w:szCs w:val="28"/>
          <w:shd w:val="clear" w:color="auto" w:fill="FFFFFF"/>
        </w:rPr>
        <w:t>在惯性约束聚变（</w:t>
      </w:r>
      <w:r>
        <w:rPr>
          <w:rFonts w:ascii="Times New Roman"/>
          <w:color w:val="0F1115"/>
          <w:szCs w:val="28"/>
          <w:shd w:val="clear" w:color="auto" w:fill="FFFFFF"/>
        </w:rPr>
        <w:t>ICF）中，激光能量主要通过两种机制耦合给等离子体：一是碰撞吸收（</w:t>
      </w:r>
      <w:r>
        <w:rPr>
          <w:rFonts w:hint="eastAsia" w:ascii="Times New Roman"/>
          <w:color w:val="0F1115"/>
          <w:szCs w:val="28"/>
          <w:shd w:val="clear" w:color="auto" w:fill="FFFFFF"/>
        </w:rPr>
        <w:t>或称</w:t>
      </w:r>
      <w:r>
        <w:rPr>
          <w:rFonts w:ascii="Times New Roman"/>
          <w:color w:val="0F1115"/>
          <w:szCs w:val="28"/>
          <w:shd w:val="clear" w:color="auto" w:fill="FFFFFF"/>
        </w:rPr>
        <w:t>逆轫致辐射），即电子在激光场中振荡并与离子库仑场碰撞，将定向动能转化为热能；二是反常吸收，由激光等离子体不稳定性（LPIs，如SRS、SBS、TPD）驱动，产生热电子并导致能量损失。在高Z、低温或高密度等离子体中，碰撞效应不可忽略，它不仅直接贡献于能量沉积，还通过碰撞阻尼抑制或改变LPIs的演化。因此，</w:t>
      </w:r>
      <w:r>
        <w:rPr>
          <w:rFonts w:hint="eastAsia" w:ascii="Times New Roman"/>
          <w:color w:val="0F1115"/>
          <w:szCs w:val="28"/>
          <w:shd w:val="clear" w:color="auto" w:fill="FFFFFF"/>
        </w:rPr>
        <w:t>本工作我们</w:t>
      </w:r>
      <w:r>
        <w:rPr>
          <w:rFonts w:ascii="Times New Roman"/>
          <w:color w:val="0F1115"/>
          <w:szCs w:val="28"/>
          <w:shd w:val="clear" w:color="auto" w:fill="FFFFFF"/>
        </w:rPr>
        <w:t>在先前开发的PM1D（一维）和PM2D（二维）粒子-网格</w:t>
      </w:r>
      <w:r>
        <w:rPr>
          <w:rFonts w:hint="eastAsia" w:ascii="Times New Roman"/>
          <w:color w:val="0F1115"/>
          <w:szCs w:val="28"/>
          <w:shd w:val="clear" w:color="auto" w:fill="FFFFFF"/>
        </w:rPr>
        <w:t>动理</w:t>
      </w:r>
      <w:r>
        <w:rPr>
          <w:rFonts w:ascii="Times New Roman"/>
          <w:color w:val="0F1115"/>
          <w:szCs w:val="28"/>
          <w:shd w:val="clear" w:color="auto" w:fill="FFFFFF"/>
        </w:rPr>
        <w:t>学程序中自洽地加入了碰撞模块，旨在同时模拟碰撞吸收、</w:t>
      </w:r>
      <w:r>
        <w:rPr>
          <w:rFonts w:hint="eastAsia" w:ascii="Times New Roman"/>
          <w:color w:val="0F1115"/>
          <w:szCs w:val="28"/>
          <w:shd w:val="clear" w:color="auto" w:fill="FFFFFF"/>
        </w:rPr>
        <w:t>等离子体波碰撞阻尼及相应的能量沉积，从而更精确地研究亚纳秒尺度上碰撞与</w:t>
      </w:r>
      <w:r>
        <w:rPr>
          <w:rFonts w:ascii="Times New Roman"/>
          <w:color w:val="0F1115"/>
          <w:szCs w:val="28"/>
          <w:shd w:val="clear" w:color="auto" w:fill="FFFFFF"/>
        </w:rPr>
        <w:t>LPIs的竞争与协同。</w:t>
      </w:r>
    </w:p>
    <w:p w14:paraId="59FC03BD">
      <w:pPr>
        <w:pStyle w:val="44"/>
        <w:spacing w:line="520" w:lineRule="exact"/>
        <w:ind w:firstLine="562"/>
        <w:rPr>
          <w:rFonts w:ascii="Times New Roman"/>
          <w:color w:val="0F1115"/>
          <w:szCs w:val="28"/>
          <w:shd w:val="clear" w:color="auto" w:fill="FFFFFF"/>
        </w:rPr>
      </w:pPr>
      <w:r>
        <w:rPr>
          <w:rFonts w:hint="eastAsia" w:ascii="Segoe UI" w:hAnsi="Segoe UI" w:cs="Segoe UI"/>
          <w:b/>
          <w:bCs/>
          <w:color w:val="0F1115"/>
          <w:shd w:val="clear" w:color="auto" w:fill="FFFFFF"/>
        </w:rPr>
        <w:t>碰撞吸收的物理模型：</w:t>
      </w:r>
      <w:r>
        <w:rPr>
          <w:rFonts w:ascii="Segoe UI" w:hAnsi="Segoe UI" w:cs="Segoe UI"/>
          <w:color w:val="0F1115"/>
          <w:shd w:val="clear" w:color="auto" w:fill="FFFFFF"/>
        </w:rPr>
        <w:t>激光在等离子体中传播时，其矢量势 </w:t>
      </w:r>
      <w:r>
        <w:rPr>
          <w:rStyle w:val="51"/>
          <w:rFonts w:ascii="KaTeX_Main" w:hAnsi="KaTeX_Main"/>
          <w:b/>
          <w:bCs/>
          <w:i/>
          <w:iCs/>
          <w:color w:val="0F1115"/>
          <w:sz w:val="29"/>
          <w:szCs w:val="29"/>
          <w:shd w:val="clear" w:color="auto" w:fill="FFFFFF"/>
        </w:rPr>
        <w:t>a</w:t>
      </w:r>
      <w:r>
        <w:rPr>
          <w:rFonts w:ascii="Segoe UI" w:hAnsi="Segoe UI" w:cs="Segoe UI"/>
          <w:color w:val="0F1115"/>
          <w:shd w:val="clear" w:color="auto" w:fill="FFFFFF"/>
        </w:rPr>
        <w:t> 满足波动方程。为包含碰撞吸收，我们将方程右端还原为横向</w:t>
      </w:r>
      <w:r>
        <w:rPr>
          <w:rFonts w:hint="eastAsia" w:ascii="Times New Roman"/>
          <w:color w:val="0F1115"/>
          <w:szCs w:val="28"/>
          <w:shd w:val="clear" w:color="auto" w:fill="FFFFFF"/>
        </w:rPr>
        <w:t>电流项：</w:t>
      </w:r>
    </w:p>
    <w:p w14:paraId="59FC03BE">
      <w:pPr>
        <w:jc w:val="right"/>
        <w:rPr>
          <w:rFonts w:hint="eastAsia"/>
        </w:rPr>
      </w:pPr>
      <m:oMath>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m:rPr/>
                      <w:rPr>
                        <w:rFonts w:ascii="Cambria Math" w:hAnsi="Cambria Math"/>
                      </w:rPr>
                      <m:t>∂</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num>
              <m:den>
                <m:sSup>
                  <m:sSupPr>
                    <m:ctrlPr>
                      <w:rPr>
                        <w:rFonts w:ascii="Cambria Math" w:hAnsi="Cambria Math"/>
                        <w:i/>
                      </w:rPr>
                    </m:ctrlPr>
                  </m:sSupPr>
                  <m:e>
                    <m:r>
                      <m:rPr/>
                      <w:rPr>
                        <w:rFonts w:ascii="Cambria Math" w:hAnsi="Cambria Math"/>
                      </w:rPr>
                      <m:t>t</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den>
            </m:f>
            <m:r>
              <m:rPr/>
              <w:rPr>
                <w:rFonts w:ascii="Cambria Math" w:hAnsi="Cambria Math"/>
              </w:rPr>
              <m:t xml:space="preserve">  −</m:t>
            </m:r>
            <m:sSup>
              <m:sSupPr>
                <m:ctrlPr>
                  <w:rPr>
                    <w:rFonts w:ascii="Cambria Math" w:hAnsi="Cambria Math"/>
                    <w:i/>
                  </w:rPr>
                </m:ctrlPr>
              </m:sSupPr>
              <m:e>
                <m:r>
                  <m:rPr>
                    <m:sty m:val="p"/>
                  </m:rPr>
                  <w:rPr>
                    <w:rFonts w:ascii="Cambria Math" w:hAnsi="Cambria Math"/>
                  </w:rPr>
                  <m:t>∇</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d>
        <m:r>
          <m:rPr>
            <m:sty m:val="bi"/>
          </m:rPr>
          <w:rPr>
            <w:rFonts w:ascii="Cambria Math" w:hAnsi="Cambria Math"/>
          </w:rPr>
          <m:t>a</m:t>
        </m:r>
        <m:r>
          <m:rPr/>
          <w:rPr>
            <w:rFonts w:ascii="Cambria Math" w:hAnsi="Cambria Math"/>
          </w:rPr>
          <m:t>=</m:t>
        </m:r>
        <m:f>
          <m:fPr>
            <m:ctrlPr>
              <w:rPr>
                <w:rFonts w:ascii="Cambria Math" w:hAnsi="Cambria Math"/>
                <w:i/>
              </w:rPr>
            </m:ctrlPr>
          </m:fPr>
          <m:num>
            <m:r>
              <m:rPr/>
              <w:rPr>
                <w:rFonts w:ascii="Cambria Math" w:hAnsi="Cambria Math"/>
              </w:rPr>
              <m:t>4</m:t>
            </m:r>
            <m:sSup>
              <m:sSupPr>
                <m:ctrlPr>
                  <w:rPr>
                    <w:rFonts w:ascii="Cambria Math" w:hAnsi="Cambria Math"/>
                    <w:i/>
                  </w:rPr>
                </m:ctrlPr>
              </m:sSupPr>
              <m:e>
                <m:r>
                  <m:rPr/>
                  <w:rPr>
                    <w:rFonts w:ascii="Cambria Math" w:hAnsi="Cambria Math"/>
                  </w:rPr>
                  <m:t>π</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num>
          <m:den>
            <m:r>
              <m:rPr/>
              <w:rPr>
                <w:rFonts w:ascii="Cambria Math" w:hAnsi="Cambria Math"/>
              </w:rPr>
              <m:t>e</m:t>
            </m:r>
            <m:ctrlPr>
              <w:rPr>
                <w:rFonts w:ascii="Cambria Math" w:hAnsi="Cambria Math"/>
                <w:i/>
              </w:rPr>
            </m:ctrlPr>
          </m:den>
        </m:f>
        <m:sSub>
          <m:sSubPr>
            <m:ctrlPr>
              <w:rPr>
                <w:rFonts w:ascii="Cambria Math" w:hAnsi="Cambria Math"/>
                <w:i/>
              </w:rPr>
            </m:ctrlPr>
          </m:sSubPr>
          <m:e>
            <m:r>
              <m:rPr>
                <m:sty m:val="bi"/>
              </m:rPr>
              <w:rPr>
                <w:rFonts w:ascii="Cambria Math" w:hAnsi="Cambria Math"/>
              </w:rPr>
              <m:t>J</m:t>
            </m:r>
            <m:ctrlPr>
              <w:rPr>
                <w:rFonts w:ascii="Cambria Math" w:hAnsi="Cambria Math"/>
                <w:b/>
                <w:bCs/>
                <w:i/>
              </w:rPr>
            </m:ctrlPr>
          </m:e>
          <m:sub>
            <m:r>
              <m:rPr/>
              <w:rPr>
                <w:rFonts w:ascii="Cambria Math" w:hAnsi="Cambria Math"/>
              </w:rPr>
              <m:t>t</m:t>
            </m:r>
            <m:ctrlPr>
              <w:rPr>
                <w:rFonts w:ascii="Cambria Math" w:hAnsi="Cambria Math"/>
                <w:i/>
              </w:rPr>
            </m:ctrlPr>
          </m:sub>
        </m:sSub>
      </m:oMath>
      <w:r>
        <w:t xml:space="preserve"> </w:t>
      </w:r>
      <w:r>
        <w:tab/>
      </w:r>
      <w:r>
        <w:tab/>
      </w:r>
      <w:r>
        <w:tab/>
      </w:r>
      <w:r>
        <w:tab/>
      </w:r>
      <w:r>
        <w:tab/>
      </w:r>
      <w:r>
        <w:tab/>
      </w:r>
      <w:r>
        <w:tab/>
      </w:r>
      <w:r>
        <w:t xml:space="preserve"> </w:t>
      </w:r>
      <w:r>
        <w:rPr>
          <w:rFonts w:ascii="Times New Roman" w:hAnsi="Times New Roman" w:eastAsia="宋体" w:cs="Times New Roman"/>
          <w:sz w:val="28"/>
          <w:szCs w:val="28"/>
        </w:rPr>
        <w:t>(1)</w:t>
      </w:r>
    </w:p>
    <w:p w14:paraId="59FC03BF">
      <w:pPr>
        <w:pStyle w:val="44"/>
        <w:spacing w:line="520" w:lineRule="exact"/>
        <w:ind w:firstLine="0" w:firstLineChars="0"/>
        <w:rPr>
          <w:rFonts w:ascii="Times New Roman"/>
          <w:color w:val="0F1115"/>
          <w:szCs w:val="28"/>
          <w:shd w:val="clear" w:color="auto" w:fill="FFFFFF"/>
        </w:rPr>
      </w:pPr>
      <w:r>
        <w:rPr>
          <w:rFonts w:hint="eastAsia" w:ascii="Times New Roman"/>
          <w:color w:val="0F1115"/>
          <w:szCs w:val="28"/>
          <w:shd w:val="clear" w:color="auto" w:fill="FFFFFF"/>
        </w:rPr>
        <w:t>其中</w:t>
      </w:r>
      <w:r>
        <w:rPr>
          <w:rFonts w:hint="eastAsia"/>
          <w:position w:val="-12"/>
          <w:szCs w:val="28"/>
        </w:rPr>
        <w:object>
          <v:shape id="_x0000_i1025" o:spt="75" type="#_x0000_t75" style="height:21.4pt;width:58.15pt;" o:ole="t" filled="f" o:preferrelative="t" stroked="f" coordsize="21600,21600">
            <v:path/>
            <v:fill on="f" focussize="0,0"/>
            <v:stroke on="f" joinstyle="miter"/>
            <v:imagedata r:id="rId17" o:title=""/>
            <o:lock v:ext="edit" aspectratio="t"/>
            <w10:wrap type="none"/>
            <w10:anchorlock/>
          </v:shape>
          <o:OLEObject Type="Embed" ProgID="Equation.3" ShapeID="_x0000_i1025" DrawAspect="Content" ObjectID="_1468075725" r:id="rId16">
            <o:LockedField>false</o:LockedField>
          </o:OLEObject>
        </w:object>
      </w:r>
      <w:r>
        <w:rPr>
          <w:rFonts w:hint="eastAsia"/>
          <w:szCs w:val="28"/>
        </w:rPr>
        <w:t>为</w:t>
      </w:r>
      <w:r>
        <w:rPr>
          <w:rFonts w:hint="eastAsia" w:ascii="Times New Roman"/>
          <w:color w:val="0F1115"/>
          <w:szCs w:val="28"/>
          <w:shd w:val="clear" w:color="auto" w:fill="FFFFFF"/>
        </w:rPr>
        <w:t>横向振荡电流</w:t>
      </w:r>
      <w:r>
        <w:rPr>
          <w:rFonts w:hint="eastAsia"/>
          <w:szCs w:val="28"/>
        </w:rPr>
        <w:t>，</w:t>
      </w:r>
      <w:r>
        <w:rPr>
          <w:rFonts w:hint="eastAsia"/>
          <w:position w:val="-12"/>
          <w:szCs w:val="28"/>
        </w:rPr>
        <w:object>
          <v:shape id="_x0000_i1026" o:spt="75" type="#_x0000_t75" style="height:21.4pt;width:14.65pt;" o:ole="t" filled="f" o:preferrelative="t" stroked="f" coordsize="21600,21600">
            <v:path/>
            <v:fill on="f" focussize="0,0"/>
            <v:stroke on="f" joinstyle="miter"/>
            <v:imagedata r:id="rId19" o:title=""/>
            <o:lock v:ext="edit" aspectratio="t"/>
            <w10:wrap type="none"/>
            <w10:anchorlock/>
          </v:shape>
          <o:OLEObject Type="Embed" ProgID="Equation.3" ShapeID="_x0000_i1026" DrawAspect="Content" ObjectID="_1468075726" r:id="rId18">
            <o:LockedField>false</o:LockedField>
          </o:OLEObject>
        </w:object>
      </w:r>
      <w:r>
        <w:rPr>
          <w:rFonts w:hint="eastAsia" w:ascii="Times New Roman"/>
          <w:color w:val="0F1115"/>
          <w:szCs w:val="28"/>
          <w:shd w:val="clear" w:color="auto" w:fill="FFFFFF"/>
        </w:rPr>
        <w:t>为电子在激光场中的振荡速度。考虑</w:t>
      </w:r>
      <w:r>
        <w:rPr>
          <w:rFonts w:ascii="Segoe UI" w:hAnsi="Segoe UI" w:cs="Segoe UI"/>
          <w:color w:val="0F1115"/>
          <w:shd w:val="clear" w:color="auto" w:fill="FFFFFF"/>
        </w:rPr>
        <w:t>电子-离子碰撞后，</w:t>
      </w:r>
      <w:r>
        <w:rPr>
          <w:rFonts w:hint="eastAsia"/>
          <w:position w:val="-12"/>
          <w:szCs w:val="28"/>
        </w:rPr>
        <w:object>
          <v:shape id="_x0000_i1027" o:spt="75" type="#_x0000_t75" style="height:21.4pt;width:14.65pt;" o:ole="t" filled="f" o:preferrelative="t" stroked="f" coordsize="21600,21600">
            <v:path/>
            <v:fill on="f" focussize="0,0"/>
            <v:stroke on="f" joinstyle="miter"/>
            <v:imagedata r:id="rId19" o:title=""/>
            <o:lock v:ext="edit" aspectratio="t"/>
            <w10:wrap type="none"/>
            <w10:anchorlock/>
          </v:shape>
          <o:OLEObject Type="Embed" ProgID="Equation.3" ShapeID="_x0000_i1027" DrawAspect="Content" ObjectID="_1468075727" r:id="rId20">
            <o:LockedField>false</o:LockedField>
          </o:OLEObject>
        </w:object>
      </w:r>
      <w:r>
        <w:rPr>
          <w:rFonts w:hint="eastAsia"/>
          <w:szCs w:val="28"/>
        </w:rPr>
        <w:t>的演化满足</w:t>
      </w:r>
      <w:r>
        <w:rPr>
          <w:rFonts w:hint="eastAsia" w:ascii="Times New Roman"/>
          <w:color w:val="0F1115"/>
          <w:szCs w:val="28"/>
          <w:shd w:val="clear" w:color="auto" w:fill="FFFFFF"/>
        </w:rPr>
        <w:t>：</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8"/>
        <w:gridCol w:w="5589"/>
        <w:gridCol w:w="1439"/>
      </w:tblGrid>
      <w:tr w14:paraId="59FC0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5" w:type="dxa"/>
            <w:tcBorders>
              <w:top w:val="nil"/>
              <w:left w:val="nil"/>
              <w:bottom w:val="nil"/>
              <w:right w:val="nil"/>
            </w:tcBorders>
            <w:vAlign w:val="center"/>
          </w:tcPr>
          <w:p w14:paraId="59FC03C0">
            <w:pPr>
              <w:pStyle w:val="49"/>
              <w:adjustRightInd w:val="0"/>
              <w:spacing w:line="288" w:lineRule="auto"/>
              <w:jc w:val="left"/>
            </w:pPr>
          </w:p>
        </w:tc>
        <w:tc>
          <w:tcPr>
            <w:tcW w:w="5788" w:type="dxa"/>
            <w:tcBorders>
              <w:top w:val="nil"/>
              <w:left w:val="nil"/>
              <w:bottom w:val="nil"/>
              <w:right w:val="nil"/>
            </w:tcBorders>
            <w:vAlign w:val="center"/>
          </w:tcPr>
          <w:p w14:paraId="59FC03C1">
            <w:pPr>
              <w:pStyle w:val="49"/>
              <w:adjustRightInd w:val="0"/>
              <w:spacing w:line="288" w:lineRule="auto"/>
              <w:jc w:val="center"/>
              <w:rPr>
                <w:position w:val="-12"/>
              </w:rPr>
            </w:pPr>
            <w:r>
              <w:rPr>
                <w:position w:val="-24"/>
              </w:rPr>
              <w:object>
                <v:shape id="_x0000_i1028" o:spt="75" type="#_x0000_t75" style="height:28.5pt;width:86.65pt;" o:ole="t" filled="f" o:preferrelative="t" stroked="f" coordsize="21600,21600">
                  <v:path/>
                  <v:fill on="f" focussize="0,0"/>
                  <v:stroke on="f" joinstyle="miter"/>
                  <v:imagedata r:id="rId22" o:title=""/>
                  <o:lock v:ext="edit" aspectratio="t"/>
                  <w10:wrap type="none"/>
                  <w10:anchorlock/>
                </v:shape>
                <o:OLEObject Type="Embed" ProgID="Equation.3" ShapeID="_x0000_i1028" DrawAspect="Content" ObjectID="_1468075728" r:id="rId21">
                  <o:LockedField>false</o:LockedField>
                </o:OLEObject>
              </w:object>
            </w:r>
          </w:p>
        </w:tc>
        <w:tc>
          <w:tcPr>
            <w:tcW w:w="1465" w:type="dxa"/>
            <w:tcBorders>
              <w:top w:val="nil"/>
              <w:left w:val="nil"/>
              <w:bottom w:val="nil"/>
              <w:right w:val="nil"/>
            </w:tcBorders>
            <w:vAlign w:val="center"/>
          </w:tcPr>
          <w:p w14:paraId="59FC03C2">
            <w:pPr>
              <w:pStyle w:val="49"/>
              <w:adjustRightInd w:val="0"/>
              <w:spacing w:line="288" w:lineRule="auto"/>
              <w:jc w:val="right"/>
            </w:pPr>
            <w:r>
              <w:rPr>
                <w:rFonts w:hint="eastAsia"/>
              </w:rPr>
              <w:t>(</w:t>
            </w:r>
            <w:r>
              <w:t>2</w:t>
            </w:r>
            <w:r>
              <w:rPr>
                <w:rFonts w:hint="eastAsia"/>
              </w:rPr>
              <w:t>)</w:t>
            </w:r>
          </w:p>
        </w:tc>
      </w:tr>
    </w:tbl>
    <w:p w14:paraId="59FC03C4">
      <w:pPr>
        <w:pStyle w:val="44"/>
        <w:spacing w:line="520" w:lineRule="exact"/>
        <w:ind w:firstLine="0" w:firstLineChars="0"/>
        <w:rPr>
          <w:rFonts w:ascii="Times New Roman"/>
          <w:color w:val="0F1115"/>
          <w:szCs w:val="28"/>
          <w:shd w:val="clear" w:color="auto" w:fill="FFFFFF"/>
        </w:rPr>
      </w:pPr>
      <w:r>
        <w:rPr>
          <w:rFonts w:hint="eastAsia" w:ascii="Times New Roman"/>
          <w:color w:val="0F1115"/>
          <w:szCs w:val="28"/>
          <w:shd w:val="clear" w:color="auto" w:fill="FFFFFF"/>
        </w:rPr>
        <w:t>其中</w:t>
      </w:r>
      <w:r>
        <w:rPr>
          <w:rFonts w:hint="eastAsia"/>
          <w:position w:val="-12"/>
          <w:szCs w:val="28"/>
        </w:rPr>
        <w:object>
          <v:shape id="_x0000_i1029" o:spt="75" type="#_x0000_t75" style="height:21.4pt;width:14.65pt;" o:ole="t" filled="f" o:preferrelative="t" stroked="f" coordsize="21600,21600">
            <v:path/>
            <v:fill on="f" focussize="0,0"/>
            <v:stroke on="f" joinstyle="miter"/>
            <v:imagedata r:id="rId24" o:title=""/>
            <o:lock v:ext="edit" aspectratio="t"/>
            <w10:wrap type="none"/>
            <w10:anchorlock/>
          </v:shape>
          <o:OLEObject Type="Embed" ProgID="Equation.3" ShapeID="_x0000_i1029" DrawAspect="Content" ObjectID="_1468075729" r:id="rId23">
            <o:LockedField>false</o:LockedField>
          </o:OLEObject>
        </w:object>
      </w:r>
      <w:r>
        <w:rPr>
          <w:rFonts w:hint="eastAsia" w:ascii="Times New Roman"/>
          <w:color w:val="0F1115"/>
          <w:szCs w:val="28"/>
          <w:shd w:val="clear" w:color="auto" w:fill="FFFFFF"/>
        </w:rPr>
        <w:t>为电子-离子碰撞频率，右边第一项代表库仑规范下的激光电场驱动，第二项为碰撞阻尼项，描述了电子振荡速度因离子库仑散射而衰减。对于电子-离子碰撞频率</w:t>
      </w:r>
      <w:r>
        <w:rPr>
          <w:rFonts w:hint="eastAsia"/>
          <w:position w:val="-12"/>
          <w:szCs w:val="28"/>
        </w:rPr>
        <w:object>
          <v:shape id="_x0000_i1030" o:spt="75" type="#_x0000_t75" style="height:21.4pt;width:14.65pt;" o:ole="t" filled="f" o:preferrelative="t" stroked="f" coordsize="21600,21600">
            <v:path/>
            <v:fill on="f" focussize="0,0"/>
            <v:stroke on="f" joinstyle="miter"/>
            <v:imagedata r:id="rId24" o:title=""/>
            <o:lock v:ext="edit" aspectratio="t"/>
            <w10:wrap type="none"/>
            <w10:anchorlock/>
          </v:shape>
          <o:OLEObject Type="Embed" ProgID="Equation.3" ShapeID="_x0000_i1030" DrawAspect="Content" ObjectID="_1468075730" r:id="rId25">
            <o:LockedField>false</o:LockedField>
          </o:OLEObject>
        </w:object>
      </w:r>
      <w:r>
        <w:rPr>
          <w:rFonts w:hint="eastAsia" w:ascii="Times New Roman"/>
          <w:color w:val="0F1115"/>
          <w:szCs w:val="28"/>
          <w:shd w:val="clear" w:color="auto" w:fill="FFFFFF"/>
        </w:rPr>
        <w:t>，我们采用如下经</w:t>
      </w:r>
      <w:r>
        <w:rPr>
          <w:rFonts w:ascii="Times New Roman"/>
          <w:color w:val="0F1115"/>
          <w:szCs w:val="28"/>
          <w:shd w:val="clear" w:color="auto" w:fill="FFFFFF"/>
        </w:rPr>
        <w:t>Fokker-Planck模拟修正的、包含Langdon效应的表达式</w:t>
      </w:r>
    </w:p>
    <w:p w14:paraId="59FC03C5">
      <w:pPr>
        <w:jc w:val="center"/>
        <w:rPr>
          <w:rFonts w:hint="eastAsia"/>
        </w:rPr>
      </w:pPr>
      <w:r>
        <w:drawing>
          <wp:inline distT="0" distB="0" distL="0" distR="0">
            <wp:extent cx="4499610" cy="67627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4500000" cy="676800"/>
                    </a:xfrm>
                    <a:prstGeom prst="rect">
                      <a:avLst/>
                    </a:prstGeom>
                    <a:noFill/>
                    <a:ln>
                      <a:noFill/>
                    </a:ln>
                  </pic:spPr>
                </pic:pic>
              </a:graphicData>
            </a:graphic>
          </wp:inline>
        </w:drawing>
      </w:r>
    </w:p>
    <w:p w14:paraId="59FC03C6">
      <w:pPr>
        <w:pStyle w:val="44"/>
        <w:spacing w:line="520" w:lineRule="exact"/>
        <w:ind w:firstLine="0" w:firstLineChars="0"/>
        <w:rPr>
          <w:rFonts w:ascii="Times New Roman"/>
          <w:color w:val="0F1115"/>
          <w:szCs w:val="28"/>
          <w:shd w:val="clear" w:color="auto" w:fill="FFFFFF"/>
        </w:rPr>
      </w:pPr>
      <w:r>
        <w:rPr>
          <w:rFonts w:hint="eastAsia"/>
          <w:szCs w:val="28"/>
        </w:rPr>
        <w:t>此修正后的</w:t>
      </w:r>
      <w:r>
        <w:rPr>
          <w:rFonts w:hint="eastAsia"/>
          <w:position w:val="-12"/>
          <w:szCs w:val="28"/>
        </w:rPr>
        <w:object>
          <v:shape id="_x0000_i1031" o:spt="75" type="#_x0000_t75" style="height:21.4pt;width:14.65pt;" o:ole="t" filled="f" o:preferrelative="t" stroked="f" coordsize="21600,21600">
            <v:path/>
            <v:fill on="f" focussize="0,0"/>
            <v:stroke on="f" joinstyle="miter"/>
            <v:imagedata r:id="rId24" o:title=""/>
            <o:lock v:ext="edit" aspectratio="t"/>
            <w10:wrap type="none"/>
            <w10:anchorlock/>
          </v:shape>
          <o:OLEObject Type="Embed" ProgID="Equation.3" ShapeID="_x0000_i1031" DrawAspect="Content" ObjectID="_1468075731" r:id="rId27">
            <o:LockedField>false</o:LockedField>
          </o:OLEObject>
        </w:object>
      </w:r>
      <w:r>
        <w:rPr>
          <w:rFonts w:hint="eastAsia" w:ascii="Times New Roman"/>
          <w:color w:val="0F1115"/>
          <w:szCs w:val="28"/>
          <w:shd w:val="clear" w:color="auto" w:fill="FFFFFF"/>
        </w:rPr>
        <w:t>在激光强度</w:t>
      </w:r>
      <w:r>
        <w:rPr>
          <w:rFonts w:ascii="Times New Roman"/>
          <w:color w:val="0F1115"/>
          <w:szCs w:val="28"/>
          <w:shd w:val="clear" w:color="auto" w:fill="FFFFFF"/>
        </w:rPr>
        <w:t>10</w:t>
      </w:r>
      <w:r>
        <w:rPr>
          <w:rFonts w:ascii="Times New Roman"/>
          <w:color w:val="0F1115"/>
          <w:szCs w:val="28"/>
          <w:shd w:val="clear" w:color="auto" w:fill="FFFFFF"/>
          <w:vertAlign w:val="superscript"/>
        </w:rPr>
        <w:t>12</w:t>
      </w:r>
      <w:r>
        <w:rPr>
          <w:rFonts w:ascii="Cambria Math" w:hAnsi="Cambria Math" w:cs="Cambria Math"/>
          <w:color w:val="0F1115"/>
          <w:szCs w:val="28"/>
          <w:shd w:val="clear" w:color="auto" w:fill="FFFFFF"/>
        </w:rPr>
        <w:t>∼</w:t>
      </w:r>
      <w:r>
        <w:rPr>
          <w:rFonts w:ascii="Times New Roman"/>
          <w:color w:val="0F1115"/>
          <w:szCs w:val="28"/>
          <w:shd w:val="clear" w:color="auto" w:fill="FFFFFF"/>
        </w:rPr>
        <w:t>10</w:t>
      </w:r>
      <w:r>
        <w:rPr>
          <w:rFonts w:ascii="Times New Roman"/>
          <w:color w:val="0F1115"/>
          <w:szCs w:val="28"/>
          <w:shd w:val="clear" w:color="auto" w:fill="FFFFFF"/>
          <w:vertAlign w:val="superscript"/>
        </w:rPr>
        <w:t>17</w:t>
      </w:r>
      <w:r>
        <w:rPr>
          <w:rFonts w:ascii="Times New Roman"/>
          <w:color w:val="0F1115"/>
          <w:szCs w:val="28"/>
          <w:shd w:val="clear" w:color="auto" w:fill="FFFFFF"/>
        </w:rPr>
        <w:t xml:space="preserve"> W/cm</w:t>
      </w:r>
      <w:r>
        <w:rPr>
          <w:rFonts w:ascii="Times New Roman"/>
          <w:color w:val="0F1115"/>
          <w:szCs w:val="28"/>
          <w:shd w:val="clear" w:color="auto" w:fill="FFFFFF"/>
          <w:vertAlign w:val="superscript"/>
        </w:rPr>
        <w:t>2</w:t>
      </w:r>
      <w:r>
        <w:rPr>
          <w:rFonts w:hint="eastAsia" w:ascii="Times New Roman"/>
          <w:color w:val="0F1115"/>
          <w:szCs w:val="28"/>
          <w:shd w:val="clear" w:color="auto" w:fill="FFFFFF"/>
        </w:rPr>
        <w:t>范围内</w:t>
      </w:r>
      <w:r>
        <w:rPr>
          <w:rFonts w:ascii="Times New Roman"/>
          <w:color w:val="0F1115"/>
          <w:szCs w:val="28"/>
          <w:shd w:val="clear" w:color="auto" w:fill="FFFFFF"/>
        </w:rPr>
        <w:t>均有效</w:t>
      </w:r>
      <w:r>
        <w:rPr>
          <w:rFonts w:hint="eastAsia" w:ascii="Times New Roman"/>
          <w:color w:val="0F1115"/>
          <w:szCs w:val="28"/>
          <w:shd w:val="clear" w:color="auto" w:fill="FFFFFF"/>
        </w:rPr>
        <w:t>。</w:t>
      </w:r>
    </w:p>
    <w:p w14:paraId="59FC03C7">
      <w:pPr>
        <w:pStyle w:val="44"/>
        <w:spacing w:line="520" w:lineRule="exact"/>
        <w:ind w:firstLine="420" w:firstLineChars="0"/>
        <w:rPr>
          <w:rFonts w:ascii="Times New Roman"/>
          <w:color w:val="0F1115"/>
          <w:szCs w:val="28"/>
          <w:shd w:val="clear" w:color="auto" w:fill="FFFFFF"/>
        </w:rPr>
      </w:pPr>
      <w:r>
        <w:rPr>
          <w:rFonts w:hint="eastAsia" w:ascii="Times New Roman"/>
          <w:color w:val="0F1115"/>
          <w:szCs w:val="28"/>
          <w:shd w:val="clear" w:color="auto" w:fill="FFFFFF"/>
        </w:rPr>
        <w:t>联立式子（1）和（2），可得到包含碰撞吸收的广义波动方程，由于</w:t>
      </w:r>
      <w:r>
        <w:rPr>
          <w:rFonts w:ascii="Segoe UI" w:hAnsi="Segoe UI" w:cs="Segoe UI"/>
          <w:color w:val="0F1115"/>
          <w:shd w:val="clear" w:color="auto" w:fill="FFFFFF"/>
        </w:rPr>
        <w:t> </w:t>
      </w:r>
      <w:r>
        <w:rPr>
          <w:rStyle w:val="51"/>
          <w:rFonts w:ascii="KaTeX_Main" w:hAnsi="KaTeX_Main"/>
          <w:b/>
          <w:bCs/>
          <w:color w:val="0F1115"/>
          <w:sz w:val="29"/>
          <w:szCs w:val="29"/>
          <w:shd w:val="clear" w:color="auto" w:fill="FFFFFF"/>
        </w:rPr>
        <w:t>a</w:t>
      </w:r>
      <w:r>
        <w:rPr>
          <w:rFonts w:ascii="Segoe UI" w:hAnsi="Segoe UI" w:cs="Segoe UI"/>
          <w:color w:val="0F1115"/>
          <w:shd w:val="clear" w:color="auto" w:fill="FFFFFF"/>
        </w:rPr>
        <w:t> </w:t>
      </w:r>
      <w:r>
        <w:rPr>
          <w:rFonts w:hint="eastAsia" w:ascii="Times New Roman"/>
          <w:color w:val="0F1115"/>
          <w:szCs w:val="28"/>
          <w:shd w:val="clear" w:color="auto" w:fill="FFFFFF"/>
        </w:rPr>
        <w:t>是入射光与散射光两者叠加的矢势，碰撞吸收也会同时作用在入射光成份和散射光成份上。对其色散关系分析，可推导出激光振幅随传播距离的衰减公式，对其进一步进行积分即可得到等离子体对激光的碰撞吸收率为：</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8"/>
        <w:gridCol w:w="5633"/>
        <w:gridCol w:w="1425"/>
      </w:tblGrid>
      <w:tr w14:paraId="59FC0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5" w:type="dxa"/>
            <w:tcBorders>
              <w:top w:val="nil"/>
              <w:left w:val="nil"/>
              <w:bottom w:val="nil"/>
              <w:right w:val="nil"/>
            </w:tcBorders>
            <w:vAlign w:val="center"/>
          </w:tcPr>
          <w:p w14:paraId="59FC03C8">
            <w:pPr>
              <w:pStyle w:val="49"/>
              <w:adjustRightInd w:val="0"/>
              <w:spacing w:line="288" w:lineRule="auto"/>
              <w:jc w:val="left"/>
            </w:pPr>
          </w:p>
        </w:tc>
        <w:tc>
          <w:tcPr>
            <w:tcW w:w="5788" w:type="dxa"/>
            <w:tcBorders>
              <w:top w:val="nil"/>
              <w:left w:val="nil"/>
              <w:bottom w:val="nil"/>
              <w:right w:val="nil"/>
            </w:tcBorders>
            <w:vAlign w:val="center"/>
          </w:tcPr>
          <w:p w14:paraId="59FC03C9">
            <w:pPr>
              <w:pStyle w:val="49"/>
              <w:adjustRightInd w:val="0"/>
              <w:spacing w:line="288" w:lineRule="auto"/>
              <w:jc w:val="center"/>
              <w:rPr>
                <w:position w:val="-12"/>
              </w:rPr>
            </w:pPr>
            <w:r>
              <w:rPr>
                <w:position w:val="-38"/>
              </w:rPr>
              <w:object>
                <v:shape id="_x0000_i1032" o:spt="75" type="#_x0000_t75" style="height:43.5pt;width:180pt;" o:ole="t" filled="f" o:preferrelative="t" stroked="f" coordsize="21600,21600">
                  <v:path/>
                  <v:fill on="f" focussize="0,0"/>
                  <v:stroke on="f" joinstyle="miter"/>
                  <v:imagedata r:id="rId29" o:title=""/>
                  <o:lock v:ext="edit" aspectratio="t"/>
                  <w10:wrap type="none"/>
                  <w10:anchorlock/>
                </v:shape>
                <o:OLEObject Type="Embed" ProgID="Equation.3" ShapeID="_x0000_i1032" DrawAspect="Content" ObjectID="_1468075732" r:id="rId28">
                  <o:LockedField>false</o:LockedField>
                </o:OLEObject>
              </w:object>
            </w:r>
          </w:p>
        </w:tc>
        <w:tc>
          <w:tcPr>
            <w:tcW w:w="1465" w:type="dxa"/>
            <w:tcBorders>
              <w:top w:val="nil"/>
              <w:left w:val="nil"/>
              <w:bottom w:val="nil"/>
              <w:right w:val="nil"/>
            </w:tcBorders>
            <w:vAlign w:val="center"/>
          </w:tcPr>
          <w:p w14:paraId="59FC03CA">
            <w:pPr>
              <w:pStyle w:val="49"/>
              <w:adjustRightInd w:val="0"/>
              <w:spacing w:line="288" w:lineRule="auto"/>
              <w:jc w:val="right"/>
            </w:pPr>
            <w:r>
              <w:rPr>
                <w:rFonts w:hint="eastAsia"/>
              </w:rPr>
              <w:t>(</w:t>
            </w:r>
            <w:r>
              <w:t>3</w:t>
            </w:r>
            <w:r>
              <w:rPr>
                <w:rFonts w:hint="eastAsia"/>
              </w:rPr>
              <w:t>)</w:t>
            </w:r>
          </w:p>
        </w:tc>
      </w:tr>
    </w:tbl>
    <w:p w14:paraId="59FC03CC">
      <w:pPr>
        <w:pStyle w:val="44"/>
        <w:spacing w:line="520" w:lineRule="exact"/>
        <w:ind w:firstLine="420" w:firstLineChars="0"/>
        <w:rPr>
          <w:rFonts w:ascii="Times New Roman"/>
          <w:color w:val="0F1115"/>
          <w:szCs w:val="28"/>
          <w:shd w:val="clear" w:color="auto" w:fill="FFFFFF"/>
        </w:rPr>
      </w:pPr>
      <w:r>
        <w:rPr>
          <w:rFonts w:hint="eastAsia" w:ascii="Times New Roman"/>
          <w:b/>
          <w:bCs/>
          <w:color w:val="0F1115"/>
          <w:szCs w:val="28"/>
          <w:shd w:val="clear" w:color="auto" w:fill="FFFFFF"/>
        </w:rPr>
        <w:t>等离子体静电波的碰撞阻尼模型</w:t>
      </w:r>
      <w:r>
        <w:rPr>
          <w:rFonts w:hint="eastAsia" w:ascii="Times New Roman"/>
          <w:color w:val="0F1115"/>
          <w:szCs w:val="28"/>
          <w:shd w:val="clear" w:color="auto" w:fill="FFFFFF"/>
        </w:rPr>
        <w:t>：</w:t>
      </w:r>
      <w:r>
        <w:rPr>
          <w:rFonts w:ascii="Times New Roman"/>
          <w:color w:val="0F1115"/>
          <w:szCs w:val="28"/>
          <w:shd w:val="clear" w:color="auto" w:fill="FFFFFF"/>
        </w:rPr>
        <w:t>LPIs中激发的电子等离子体波（EPW）和离子声波（IAW）同样受到碰撞阻尼。</w:t>
      </w:r>
      <w:r>
        <w:rPr>
          <w:rFonts w:hint="eastAsia" w:ascii="Times New Roman"/>
          <w:color w:val="0F1115"/>
          <w:szCs w:val="28"/>
          <w:shd w:val="clear" w:color="auto" w:fill="FFFFFF"/>
        </w:rPr>
        <w:t>因此，</w:t>
      </w:r>
      <w:r>
        <w:rPr>
          <w:rFonts w:ascii="Times New Roman"/>
          <w:color w:val="0F1115"/>
          <w:szCs w:val="28"/>
          <w:shd w:val="clear" w:color="auto" w:fill="FFFFFF"/>
        </w:rPr>
        <w:t>我们在电子和离子的动量方程中分别加入</w:t>
      </w:r>
      <w:r>
        <w:rPr>
          <w:rFonts w:hint="eastAsia" w:ascii="Times New Roman"/>
          <w:color w:val="0F1115"/>
          <w:szCs w:val="28"/>
          <w:shd w:val="clear" w:color="auto" w:fill="FFFFFF"/>
        </w:rPr>
        <w:t>碰撞效应对等离子体静电波</w:t>
      </w:r>
      <w:r>
        <w:rPr>
          <w:rFonts w:ascii="Times New Roman"/>
          <w:color w:val="0F1115"/>
          <w:szCs w:val="28"/>
          <w:shd w:val="clear" w:color="auto" w:fill="FFFFFF"/>
        </w:rPr>
        <w:t>阻尼</w:t>
      </w:r>
      <w:r>
        <w:rPr>
          <w:rFonts w:hint="eastAsia" w:ascii="Times New Roman"/>
          <w:color w:val="0F1115"/>
          <w:szCs w:val="28"/>
          <w:shd w:val="clear" w:color="auto" w:fill="FFFFFF"/>
        </w:rPr>
        <w:t>：</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7"/>
        <w:gridCol w:w="5867"/>
        <w:gridCol w:w="1352"/>
      </w:tblGrid>
      <w:tr w14:paraId="59FC0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5" w:type="dxa"/>
            <w:tcBorders>
              <w:top w:val="nil"/>
              <w:left w:val="nil"/>
              <w:bottom w:val="nil"/>
              <w:right w:val="nil"/>
            </w:tcBorders>
            <w:vAlign w:val="center"/>
          </w:tcPr>
          <w:p w14:paraId="59FC03CD">
            <w:pPr>
              <w:pStyle w:val="49"/>
              <w:adjustRightInd w:val="0"/>
              <w:spacing w:line="288" w:lineRule="auto"/>
              <w:jc w:val="left"/>
            </w:pPr>
          </w:p>
        </w:tc>
        <w:tc>
          <w:tcPr>
            <w:tcW w:w="5876" w:type="dxa"/>
            <w:tcBorders>
              <w:top w:val="nil"/>
              <w:left w:val="nil"/>
              <w:bottom w:val="nil"/>
              <w:right w:val="nil"/>
            </w:tcBorders>
            <w:vAlign w:val="center"/>
          </w:tcPr>
          <w:p w14:paraId="59FC03CE">
            <w:pPr>
              <w:pStyle w:val="49"/>
              <w:adjustRightInd w:val="0"/>
              <w:spacing w:line="288" w:lineRule="auto"/>
              <w:jc w:val="center"/>
              <w:rPr>
                <w:position w:val="-12"/>
              </w:rPr>
            </w:pPr>
            <w:r>
              <w:rPr>
                <w:rFonts w:hint="eastAsia"/>
                <w:position w:val="-30"/>
                <w:sz w:val="24"/>
              </w:rPr>
              <w:object>
                <v:shape id="_x0000_i1033" o:spt="75" type="#_x0000_t75" style="height:36pt;width:244.5pt;" o:ole="t" filled="f" o:preferrelative="t" stroked="f" coordsize="21600,21600">
                  <v:path/>
                  <v:fill on="f" focussize="0,0"/>
                  <v:stroke on="f" joinstyle="miter"/>
                  <v:imagedata r:id="rId31" o:title=""/>
                  <o:lock v:ext="edit" aspectratio="f"/>
                  <w10:wrap type="none"/>
                  <w10:anchorlock/>
                </v:shape>
                <o:OLEObject Type="Embed" ProgID="Equation.DSMT4" ShapeID="_x0000_i1033" DrawAspect="Content" ObjectID="_1468075733" r:id="rId30">
                  <o:LockedField>false</o:LockedField>
                </o:OLEObject>
              </w:object>
            </w:r>
          </w:p>
        </w:tc>
        <w:tc>
          <w:tcPr>
            <w:tcW w:w="1465" w:type="dxa"/>
            <w:tcBorders>
              <w:top w:val="nil"/>
              <w:left w:val="nil"/>
              <w:bottom w:val="nil"/>
              <w:right w:val="nil"/>
            </w:tcBorders>
            <w:vAlign w:val="center"/>
          </w:tcPr>
          <w:p w14:paraId="59FC03CF">
            <w:pPr>
              <w:pStyle w:val="49"/>
              <w:adjustRightInd w:val="0"/>
              <w:spacing w:line="288" w:lineRule="auto"/>
              <w:jc w:val="right"/>
            </w:pPr>
            <w:r>
              <w:rPr>
                <w:rFonts w:hint="eastAsia"/>
              </w:rPr>
              <w:t>(</w:t>
            </w:r>
            <w:r>
              <w:t>4</w:t>
            </w:r>
            <w:r>
              <w:rPr>
                <w:rFonts w:hint="eastAsia"/>
              </w:rPr>
              <w:t>)</w:t>
            </w:r>
          </w:p>
        </w:tc>
      </w:tr>
      <w:tr w14:paraId="59FC0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5" w:type="dxa"/>
            <w:tcBorders>
              <w:top w:val="nil"/>
              <w:left w:val="nil"/>
              <w:bottom w:val="nil"/>
              <w:right w:val="nil"/>
            </w:tcBorders>
            <w:vAlign w:val="center"/>
          </w:tcPr>
          <w:p w14:paraId="59FC03D1">
            <w:pPr>
              <w:pStyle w:val="49"/>
              <w:adjustRightInd w:val="0"/>
              <w:spacing w:line="288" w:lineRule="auto"/>
              <w:jc w:val="left"/>
            </w:pPr>
          </w:p>
        </w:tc>
        <w:tc>
          <w:tcPr>
            <w:tcW w:w="5876" w:type="dxa"/>
            <w:tcBorders>
              <w:top w:val="nil"/>
              <w:left w:val="nil"/>
              <w:bottom w:val="nil"/>
              <w:right w:val="nil"/>
            </w:tcBorders>
            <w:vAlign w:val="center"/>
          </w:tcPr>
          <w:p w14:paraId="59FC03D2">
            <w:pPr>
              <w:pStyle w:val="49"/>
              <w:adjustRightInd w:val="0"/>
              <w:spacing w:line="288" w:lineRule="auto"/>
              <w:jc w:val="center"/>
              <w:rPr>
                <w:position w:val="-12"/>
              </w:rPr>
            </w:pPr>
            <w:r>
              <w:rPr>
                <w:position w:val="-30"/>
                <w:sz w:val="24"/>
              </w:rPr>
              <w:object>
                <v:shape id="_x0000_i1034" o:spt="75" type="#_x0000_t75" style="height:36pt;width:280.9pt;" o:ole="t" filled="f" o:preferrelative="t" stroked="f" coordsize="21600,21600">
                  <v:path/>
                  <v:fill on="f" focussize="0,0"/>
                  <v:stroke on="f" joinstyle="miter"/>
                  <v:imagedata r:id="rId33" o:title=""/>
                  <o:lock v:ext="edit" aspectratio="t"/>
                  <w10:wrap type="none"/>
                  <w10:anchorlock/>
                </v:shape>
                <o:OLEObject Type="Embed" ProgID="Equation.3" ShapeID="_x0000_i1034" DrawAspect="Content" ObjectID="_1468075734" r:id="rId32">
                  <o:LockedField>false</o:LockedField>
                </o:OLEObject>
              </w:object>
            </w:r>
          </w:p>
        </w:tc>
        <w:tc>
          <w:tcPr>
            <w:tcW w:w="1465" w:type="dxa"/>
            <w:tcBorders>
              <w:top w:val="nil"/>
              <w:left w:val="nil"/>
              <w:bottom w:val="nil"/>
              <w:right w:val="nil"/>
            </w:tcBorders>
            <w:vAlign w:val="center"/>
          </w:tcPr>
          <w:p w14:paraId="59FC03D3">
            <w:pPr>
              <w:pStyle w:val="49"/>
              <w:adjustRightInd w:val="0"/>
              <w:spacing w:line="288" w:lineRule="auto"/>
              <w:jc w:val="right"/>
            </w:pPr>
            <w:r>
              <w:rPr>
                <w:rFonts w:hint="eastAsia"/>
              </w:rPr>
              <w:t>(</w:t>
            </w:r>
            <w:r>
              <w:t>5</w:t>
            </w:r>
            <w:r>
              <w:rPr>
                <w:rFonts w:hint="eastAsia"/>
              </w:rPr>
              <w:t>)</w:t>
            </w:r>
          </w:p>
        </w:tc>
      </w:tr>
    </w:tbl>
    <w:p w14:paraId="59FC03D5">
      <w:pPr>
        <w:pStyle w:val="44"/>
        <w:spacing w:line="520" w:lineRule="exact"/>
        <w:ind w:firstLine="0" w:firstLineChars="0"/>
        <w:rPr>
          <w:rFonts w:ascii="Times New Roman"/>
          <w:color w:val="0F1115"/>
          <w:szCs w:val="28"/>
          <w:shd w:val="clear" w:color="auto" w:fill="FFFFFF"/>
        </w:rPr>
      </w:pPr>
      <w:r>
        <w:rPr>
          <w:rFonts w:hint="eastAsia" w:ascii="Times New Roman"/>
          <w:color w:val="0F1115"/>
          <w:szCs w:val="28"/>
          <w:shd w:val="clear" w:color="auto" w:fill="FFFFFF"/>
        </w:rPr>
        <w:t>其中</w:t>
      </w:r>
      <w:r>
        <w:rPr>
          <w:rFonts w:hint="eastAsia"/>
          <w:position w:val="-14"/>
          <w:szCs w:val="28"/>
        </w:rPr>
        <w:object>
          <v:shape id="_x0000_i1035" o:spt="75" type="#_x0000_t75" style="height:21.4pt;width:21.4pt;" o:ole="t" filled="f" o:preferrelative="t" stroked="f" coordsize="21600,21600">
            <v:path/>
            <v:fill on="f" focussize="0,0"/>
            <v:stroke on="f" joinstyle="miter"/>
            <v:imagedata r:id="rId35" o:title=""/>
            <o:lock v:ext="edit" aspectratio="f"/>
            <w10:wrap type="none"/>
            <w10:anchorlock/>
          </v:shape>
          <o:OLEObject Type="Embed" ProgID="Equation.DSMT4" ShapeID="_x0000_i1035" DrawAspect="Content" ObjectID="_1468075735" r:id="rId34">
            <o:LockedField>false</o:LockedField>
          </o:OLEObject>
        </w:object>
      </w:r>
      <w:r>
        <w:rPr>
          <w:rFonts w:hint="eastAsia" w:ascii="Times New Roman"/>
          <w:color w:val="0F1115"/>
          <w:szCs w:val="28"/>
          <w:shd w:val="clear" w:color="auto" w:fill="FFFFFF"/>
        </w:rPr>
        <w:t>代表网格上粒子流速的统计平均，</w:t>
      </w:r>
      <w:r>
        <w:rPr>
          <w:position w:val="-12"/>
        </w:rPr>
        <w:object>
          <v:shape id="_x0000_i1036" o:spt="75" type="#_x0000_t75" style="height:21.4pt;width:14.65pt;" o:ole="t" filled="f" o:preferrelative="t" stroked="f" coordsize="21600,21600">
            <v:path/>
            <v:fill on="f" focussize="0,0"/>
            <v:stroke on="f" joinstyle="miter"/>
            <v:imagedata r:id="rId37" o:title=""/>
            <o:lock v:ext="edit" aspectratio="t"/>
            <w10:wrap type="none"/>
            <w10:anchorlock/>
          </v:shape>
          <o:OLEObject Type="Embed" ProgID="Equation.DSMT4" ShapeID="_x0000_i1036" DrawAspect="Content" ObjectID="_1468075736" r:id="rId36">
            <o:LockedField>false</o:LockedField>
          </o:OLEObject>
        </w:object>
      </w:r>
      <w:r>
        <w:rPr>
          <w:rFonts w:hint="eastAsia"/>
        </w:rPr>
        <w:t>和</w:t>
      </w:r>
      <w:r>
        <w:rPr>
          <w:position w:val="-12"/>
        </w:rPr>
        <w:object>
          <v:shape id="_x0000_i1037" o:spt="75" type="#_x0000_t75" style="height:21.4pt;width:14.65pt;" o:ole="t" filled="f" o:preferrelative="t" stroked="f" coordsize="21600,21600">
            <v:path/>
            <v:fill on="f" focussize="0,0"/>
            <v:stroke on="f" joinstyle="miter"/>
            <v:imagedata r:id="rId39" o:title=""/>
            <o:lock v:ext="edit" aspectratio="t"/>
            <w10:wrap type="none"/>
            <w10:anchorlock/>
          </v:shape>
          <o:OLEObject Type="Embed" ProgID="Equation.DSMT4" ShapeID="_x0000_i1037" DrawAspect="Content" ObjectID="_1468075737" r:id="rId38">
            <o:LockedField>false</o:LockedField>
          </o:OLEObject>
        </w:object>
      </w:r>
      <w:r>
        <w:rPr>
          <w:rFonts w:hint="eastAsia"/>
        </w:rPr>
        <w:t>分别</w:t>
      </w:r>
      <w:r>
        <w:rPr>
          <w:rFonts w:hint="eastAsia" w:ascii="Times New Roman"/>
          <w:color w:val="0F1115"/>
          <w:szCs w:val="28"/>
          <w:shd w:val="clear" w:color="auto" w:fill="FFFFFF"/>
        </w:rPr>
        <w:t>为离子-电子碰撞频率和离子-离子碰撞频率。对电子和离子定向运动的碰撞阻尼项会抑制LPI过程中电子静电波和离子声波的激发，从而降低LPIs的增长率和饱和水平。当等离子体中具有多种离子组分时，需要在运动方程中补充电子与每种离子组分，以及不同离子-离子种类间的摩擦项。</w:t>
      </w:r>
    </w:p>
    <w:p w14:paraId="59FC03D6">
      <w:pPr>
        <w:pStyle w:val="44"/>
        <w:spacing w:line="520" w:lineRule="exact"/>
        <w:ind w:firstLine="420" w:firstLineChars="0"/>
        <w:rPr>
          <w:rFonts w:ascii="Times New Roman"/>
          <w:color w:val="0F1115"/>
          <w:szCs w:val="28"/>
          <w:shd w:val="clear" w:color="auto" w:fill="FFFFFF"/>
        </w:rPr>
      </w:pPr>
      <w:r>
        <w:rPr>
          <w:rFonts w:hint="eastAsia" w:ascii="Times New Roman"/>
          <w:b/>
          <w:bCs/>
          <w:color w:val="0F1115"/>
          <w:szCs w:val="28"/>
          <w:shd w:val="clear" w:color="auto" w:fill="FFFFFF"/>
        </w:rPr>
        <w:t>能量沉积与温度演化模型：</w:t>
      </w:r>
      <w:r>
        <w:rPr>
          <w:rFonts w:ascii="Segoe UI" w:hAnsi="Segoe UI" w:cs="Segoe UI"/>
          <w:color w:val="0F1115"/>
          <w:shd w:val="clear" w:color="auto" w:fill="FFFFFF"/>
        </w:rPr>
        <w:t>碰撞吸收和碰撞阻尼</w:t>
      </w:r>
      <w:r>
        <w:rPr>
          <w:rFonts w:hint="eastAsia" w:ascii="Segoe UI" w:hAnsi="Segoe UI" w:cs="Segoe UI"/>
          <w:color w:val="0F1115"/>
          <w:shd w:val="clear" w:color="auto" w:fill="FFFFFF"/>
        </w:rPr>
        <w:t>分别可</w:t>
      </w:r>
      <w:r>
        <w:rPr>
          <w:rFonts w:hint="eastAsia" w:ascii="Times New Roman"/>
          <w:color w:val="0F1115"/>
          <w:szCs w:val="28"/>
          <w:shd w:val="clear" w:color="auto" w:fill="FFFFFF"/>
        </w:rPr>
        <w:t>使激光场和等离子体静电波能量转化为等离子体热能，导致电子和离子温度升高。为描述这部分能量沉积，</w:t>
      </w:r>
      <w:r>
        <w:rPr>
          <w:rFonts w:ascii="Segoe UI" w:hAnsi="Segoe UI" w:cs="Segoe UI"/>
          <w:color w:val="0F1115"/>
          <w:shd w:val="clear" w:color="auto" w:fill="FFFFFF"/>
        </w:rPr>
        <w:t>我们在程序中</w:t>
      </w:r>
      <w:r>
        <w:rPr>
          <w:rFonts w:hint="eastAsia" w:ascii="Times New Roman"/>
          <w:color w:val="0F1115"/>
          <w:szCs w:val="28"/>
          <w:shd w:val="clear" w:color="auto" w:fill="FFFFFF"/>
        </w:rPr>
        <w:t>引入电子和离子的能量方程：</w:t>
      </w:r>
    </w:p>
    <w:p w14:paraId="59FC03D7">
      <w:pPr>
        <w:jc w:val="center"/>
        <w:rPr>
          <w:rFonts w:hint="eastAsia"/>
        </w:rPr>
      </w:pPr>
      <w:r>
        <w:rPr>
          <w:position w:val="-12"/>
        </w:rPr>
        <w:drawing>
          <wp:inline distT="0" distB="0" distL="0" distR="0">
            <wp:extent cx="4985385" cy="1002665"/>
            <wp:effectExtent l="0" t="0" r="5715" b="69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4985414" cy="1003110"/>
                    </a:xfrm>
                    <a:prstGeom prst="rect">
                      <a:avLst/>
                    </a:prstGeom>
                    <a:noFill/>
                    <a:ln>
                      <a:noFill/>
                    </a:ln>
                  </pic:spPr>
                </pic:pic>
              </a:graphicData>
            </a:graphic>
          </wp:inline>
        </w:drawing>
      </w:r>
    </w:p>
    <w:p w14:paraId="59FC03D8">
      <w:pPr>
        <w:pStyle w:val="44"/>
        <w:spacing w:line="520" w:lineRule="exact"/>
        <w:ind w:firstLine="0" w:firstLineChars="0"/>
      </w:pPr>
      <w:r>
        <w:rPr>
          <w:rFonts w:hint="eastAsia"/>
        </w:rPr>
        <w:t>能量方程中等号左侧为随体导数，表示流体运动引起的等离子体温度变化；右侧四项分别代表温度空间不均匀引起的热流项、激光能量的碰撞吸收、等离子体定向流速的碰撞吸收以及与电子-离子温度的能量交换项。这些方程与动量方程、波动方程以及粒子运动耦合，自洽地描述了能量从激光场→等离子体波→热能的完整转移路径。</w:t>
      </w:r>
    </w:p>
    <w:p w14:paraId="59FC03D9">
      <w:pPr>
        <w:pStyle w:val="49"/>
      </w:pPr>
      <w:r>
        <w:rPr>
          <w:rFonts w:hint="eastAsia"/>
        </w:rPr>
        <w:t>我们利用升级后包含碰撞效应模块的</w:t>
      </w:r>
      <w:r>
        <w:t>PM2D程序进行了一系列基准测试，以验证</w:t>
      </w:r>
      <w:r>
        <w:rPr>
          <w:rFonts w:hint="eastAsia"/>
        </w:rPr>
        <w:t>各碰撞</w:t>
      </w:r>
      <w:r>
        <w:t>模块的准确性。</w:t>
      </w:r>
    </w:p>
    <w:p w14:paraId="59FC03DA">
      <w:pPr>
        <w:pStyle w:val="49"/>
      </w:pPr>
      <w:r>
        <w:t>首先测试等离子体对电磁波的碰撞吸收是否符合理论预期。</w:t>
      </w:r>
      <w:r>
        <w:rPr>
          <w:rFonts w:hint="eastAsia"/>
        </w:rPr>
        <w:t>模拟设置等离子体电离度</w:t>
      </w:r>
      <w:r>
        <w:rPr>
          <w:rFonts w:hint="eastAsia" w:ascii="Cambria Math" w:hAnsi="Cambria Math" w:cs="Cambria Math"/>
        </w:rPr>
        <w:t>Z</w:t>
      </w:r>
      <w:r>
        <w:rPr>
          <w:rFonts w:hint="eastAsia" w:ascii="Cambria Math" w:hAnsi="Cambria Math" w:cs="Cambria Math"/>
          <w:vertAlign w:val="subscript"/>
        </w:rPr>
        <w:t>i</w:t>
      </w:r>
      <w:r>
        <w:rPr>
          <w:rFonts w:hint="eastAsia"/>
        </w:rPr>
        <w:t>=3.5，电子温度</w:t>
      </w:r>
      <w:r>
        <w:rPr>
          <w:rFonts w:ascii="Cambria Math" w:hAnsi="Cambria Math" w:cs="Cambria Math"/>
        </w:rPr>
        <w:t>𝑇</w:t>
      </w:r>
      <w:r>
        <w:rPr>
          <w:rFonts w:ascii="Cambria Math" w:hAnsi="Cambria Math" w:cs="Cambria Math"/>
          <w:vertAlign w:val="subscript"/>
        </w:rPr>
        <w:t>𝑒</w:t>
      </w:r>
      <w:r>
        <w:rPr>
          <w:rFonts w:hint="eastAsia"/>
        </w:rPr>
        <w:t>=1.5keV，离子固定，等离子体长度240</w:t>
      </w:r>
      <w:r>
        <w:rPr>
          <w:rFonts w:ascii="Cambria Math" w:hAnsi="Cambria Math" w:cs="Cambria Math"/>
        </w:rPr>
        <w:t>λ</w:t>
      </w:r>
      <w:r>
        <w:rPr>
          <w:rFonts w:hint="eastAsia"/>
        </w:rPr>
        <w:t>，归一化到</w:t>
      </w:r>
      <w:r>
        <w:rPr>
          <w:rFonts w:ascii="Cambria Math" w:hAnsi="Cambria Math" w:cs="Cambria Math"/>
        </w:rPr>
        <w:t>λ</w:t>
      </w:r>
      <w:r>
        <w:rPr>
          <w:rFonts w:hint="eastAsia" w:ascii="宋体" w:hAnsi="宋体" w:cs="宋体"/>
        </w:rPr>
        <w:t>=</w:t>
      </w:r>
      <w:r>
        <w:rPr>
          <w:rFonts w:hint="eastAsia"/>
        </w:rPr>
        <w:t>351nm；模拟结果如图</w:t>
      </w:r>
      <w:r>
        <w:t>5</w:t>
      </w:r>
      <w:r>
        <w:rPr>
          <w:rFonts w:hint="eastAsia"/>
        </w:rPr>
        <w:t>。</w:t>
      </w:r>
    </w:p>
    <w:p w14:paraId="59FC03DB">
      <w:pPr>
        <w:pStyle w:val="49"/>
      </w:pPr>
      <w:r>
        <w:rPr>
          <w:rFonts w:hint="eastAsia"/>
        </w:rPr>
        <w:t>图</w:t>
      </w:r>
      <w:r>
        <w:t>5</w:t>
      </w:r>
      <w:r>
        <w:rPr>
          <w:rFonts w:hint="eastAsia"/>
        </w:rPr>
        <w:t>(a)为固定激光振幅为</w:t>
      </w:r>
      <w:r>
        <w:rPr>
          <w:rFonts w:hint="eastAsia" w:ascii="Cambria Math" w:hAnsi="Cambria Math" w:cs="Cambria Math"/>
        </w:rPr>
        <w:t>a</w:t>
      </w:r>
      <w:r>
        <w:rPr>
          <w:rFonts w:hint="eastAsia"/>
        </w:rPr>
        <w:t>=0.003，PM2D模拟激光碰撞吸收率与理论计算随等离子体密度的变化。</w:t>
      </w:r>
      <w:r>
        <w:t>当电子密度 n</w:t>
      </w:r>
      <w:r>
        <w:rPr>
          <w:vertAlign w:val="subscript"/>
        </w:rPr>
        <w:t>e</w:t>
      </w:r>
      <w:r>
        <w:t>/n</w:t>
      </w:r>
      <w:r>
        <w:rPr>
          <w:vertAlign w:val="subscript"/>
        </w:rPr>
        <w:t>c</w:t>
      </w:r>
      <w:r>
        <w:t xml:space="preserve"> 从0.1增加到0.8时，碰撞吸收率从2.2%单调上升至88.2%，与理论曲线高度吻合。这是因为电子-离子碰撞频率随密度升高而增大。</w:t>
      </w:r>
    </w:p>
    <w:p w14:paraId="59FC03DC">
      <w:pPr>
        <w:pStyle w:val="49"/>
      </w:pPr>
      <w:r>
        <w:t>图5(b) 为固定密度 n</w:t>
      </w:r>
      <w:r>
        <w:rPr>
          <w:vertAlign w:val="subscript"/>
        </w:rPr>
        <w:t>e</w:t>
      </w:r>
      <w:r>
        <w:t>​=0.6n</w:t>
      </w:r>
      <w:r>
        <w:rPr>
          <w:vertAlign w:val="subscript"/>
        </w:rPr>
        <w:t>c</w:t>
      </w:r>
      <w:r>
        <w:t>​，碰撞吸收率随入射</w:t>
      </w:r>
      <w:r>
        <w:rPr>
          <w:rFonts w:hint="eastAsia"/>
        </w:rPr>
        <w:t>激光</w:t>
      </w:r>
      <w:r>
        <w:t>振幅 a</w:t>
      </w:r>
      <w:r>
        <w:rPr>
          <w:vertAlign w:val="subscript"/>
        </w:rPr>
        <w:t>0</w:t>
      </w:r>
      <w:r>
        <w:t>​ 的变化。当 a</w:t>
      </w:r>
      <w:r>
        <w:rPr>
          <w:vertAlign w:val="subscript"/>
        </w:rPr>
        <w:t>0</w:t>
      </w:r>
      <w:r>
        <w:t>​ 从0.003增大到0.07（对应强度 10</w:t>
      </w:r>
      <w:r>
        <w:rPr>
          <w:vertAlign w:val="superscript"/>
        </w:rPr>
        <w:t>14</w:t>
      </w:r>
      <w:r>
        <w:rPr>
          <w:rFonts w:ascii="Cambria Math" w:hAnsi="Cambria Math" w:cs="Cambria Math"/>
        </w:rPr>
        <w:t>∼</w:t>
      </w:r>
      <w:r>
        <w:t>5.5×10</w:t>
      </w:r>
      <w:r>
        <w:rPr>
          <w:vertAlign w:val="superscript"/>
        </w:rPr>
        <w:t>16</w:t>
      </w:r>
      <w:r>
        <w:t> W/cm</w:t>
      </w:r>
      <w:r>
        <w:rPr>
          <w:vertAlign w:val="superscript"/>
        </w:rPr>
        <w:t>2</w:t>
      </w:r>
      <w:r>
        <w:t>）时，吸收率从57.2%降至30.3%，准确再现了Langdon效应——高光强下电子分布函数偏离麦克斯韦分布，有效碰撞频率降低，从而导致吸收率下降。模拟结果表明，在较大激光等离子体参数范围内，PM2D程序对激光的碰撞吸收均与理论计算高度相符</w:t>
      </w:r>
      <w:r>
        <w:rPr>
          <w:rFonts w:hint="eastAsia"/>
        </w:rPr>
        <w:t>。</w:t>
      </w:r>
    </w:p>
    <w:p w14:paraId="59FC03DD">
      <w:pPr>
        <w:jc w:val="center"/>
        <w:rPr>
          <w:rFonts w:hint="eastAsia"/>
        </w:rPr>
      </w:pPr>
      <w:r>
        <w:drawing>
          <wp:inline distT="0" distB="0" distL="0" distR="0">
            <wp:extent cx="2400300" cy="18002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2400300" cy="1800225"/>
                    </a:xfrm>
                    <a:prstGeom prst="rect">
                      <a:avLst/>
                    </a:prstGeom>
                    <a:noFill/>
                    <a:ln>
                      <a:noFill/>
                    </a:ln>
                  </pic:spPr>
                </pic:pic>
              </a:graphicData>
            </a:graphic>
          </wp:inline>
        </w:drawing>
      </w:r>
      <w:r>
        <w:drawing>
          <wp:inline distT="0" distB="0" distL="0" distR="0">
            <wp:extent cx="2390775" cy="18002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2390775" cy="1800225"/>
                    </a:xfrm>
                    <a:prstGeom prst="rect">
                      <a:avLst/>
                    </a:prstGeom>
                    <a:noFill/>
                    <a:ln>
                      <a:noFill/>
                    </a:ln>
                  </pic:spPr>
                </pic:pic>
              </a:graphicData>
            </a:graphic>
          </wp:inline>
        </w:drawing>
      </w:r>
    </w:p>
    <w:p w14:paraId="59FC03DE">
      <w:pPr>
        <w:pStyle w:val="45"/>
        <w:jc w:val="both"/>
        <w:rPr>
          <w:rFonts w:ascii="Times New Roman" w:eastAsia="宋体"/>
          <w:sz w:val="24"/>
          <w:szCs w:val="24"/>
        </w:rPr>
      </w:pPr>
      <w:r>
        <w:rPr>
          <w:rFonts w:hint="eastAsia" w:ascii="Times New Roman" w:eastAsia="宋体"/>
          <w:sz w:val="24"/>
          <w:szCs w:val="24"/>
        </w:rPr>
        <w:t>激光碰撞吸收率随（a）等离子体电子密度与（b）入射光振幅的变化；实线为理论预测值，星号为PM2D模拟结果。</w:t>
      </w:r>
    </w:p>
    <w:p w14:paraId="59FC03DF">
      <w:pPr>
        <w:pStyle w:val="49"/>
      </w:pPr>
    </w:p>
    <w:p w14:paraId="59FC03E0">
      <w:pPr>
        <w:pStyle w:val="49"/>
      </w:pPr>
    </w:p>
    <w:p w14:paraId="59FC03E1">
      <w:pPr>
        <w:pStyle w:val="49"/>
      </w:pPr>
      <w:r>
        <w:rPr>
          <w:rFonts w:hint="eastAsia"/>
        </w:rPr>
        <w:t>为测试电子等离子体波（EPW）的碰撞阻尼模块，我们采用低密度等离子体</w:t>
      </w:r>
      <w:r>
        <w:t> n</w:t>
      </w:r>
      <w:r>
        <w:rPr>
          <w:vertAlign w:val="subscript"/>
        </w:rPr>
        <w:t>e</w:t>
      </w:r>
      <w:r>
        <w:t>​=0.05n</w:t>
      </w:r>
      <w:r>
        <w:rPr>
          <w:vertAlign w:val="subscript"/>
        </w:rPr>
        <w:t>c</w:t>
      </w:r>
      <w:r>
        <w:t>​</w:t>
      </w:r>
      <w:r>
        <w:rPr>
          <w:rFonts w:hint="eastAsia"/>
        </w:rPr>
        <w:t>，激光振幅</w:t>
      </w:r>
      <w:r>
        <w:t> a</w:t>
      </w:r>
      <w:r>
        <w:rPr>
          <w:vertAlign w:val="subscript"/>
        </w:rPr>
        <w:t>0</w:t>
      </w:r>
      <w:r>
        <w:t>​=0.04</w:t>
      </w:r>
      <w:r>
        <w:rPr>
          <w:rFonts w:hint="eastAsia"/>
        </w:rPr>
        <w:t>，电子温度</w:t>
      </w:r>
      <w:r>
        <w:t>T</w:t>
      </w:r>
      <w:r>
        <w:rPr>
          <w:vertAlign w:val="subscript"/>
        </w:rPr>
        <w:t>e</w:t>
      </w:r>
      <w:r>
        <w:t>​=1 keV</w:t>
      </w:r>
      <w:r>
        <w:rPr>
          <w:rFonts w:hint="eastAsia"/>
        </w:rPr>
        <w:t>，离子固定，并通过改变电离态</w:t>
      </w:r>
      <w:r>
        <w:t> Z</w:t>
      </w:r>
      <w:r>
        <w:rPr>
          <w:vertAlign w:val="subscript"/>
        </w:rPr>
        <w:t>i</w:t>
      </w:r>
      <w:r>
        <w:t>​ </w:t>
      </w:r>
      <w:r>
        <w:rPr>
          <w:rFonts w:hint="eastAsia"/>
        </w:rPr>
        <w:t>来调节碰撞频率。</w:t>
      </w:r>
      <w:r>
        <w:t>图6(a) </w:t>
      </w:r>
      <w:r>
        <w:rPr>
          <w:rFonts w:hint="eastAsia"/>
        </w:rPr>
        <w:t>显示了有无碰撞阻尼时</w:t>
      </w:r>
      <w:r>
        <w:t>SRS</w:t>
      </w:r>
      <w:r>
        <w:rPr>
          <w:rFonts w:hint="eastAsia"/>
        </w:rPr>
        <w:t>激发的</w:t>
      </w:r>
      <w:r>
        <w:t>EPW</w:t>
      </w:r>
      <w:r>
        <w:rPr>
          <w:rFonts w:hint="eastAsia"/>
        </w:rPr>
        <w:t>振幅随时间的演化。在无碰撞情况下，</w:t>
      </w:r>
      <w:r>
        <w:t>EPW</w:t>
      </w:r>
      <w:r>
        <w:rPr>
          <w:rFonts w:hint="eastAsia"/>
        </w:rPr>
        <w:t>在约</w:t>
      </w:r>
      <w:r>
        <w:t> t=2000T</w:t>
      </w:r>
      <w:r>
        <w:rPr>
          <w:vertAlign w:val="subscript"/>
        </w:rPr>
        <w:t>0</w:t>
      </w:r>
      <w:r>
        <w:t> </w:t>
      </w:r>
      <w:r>
        <w:rPr>
          <w:rFonts w:hint="eastAsia"/>
        </w:rPr>
        <w:t>后进入指数增长阶段，随后因波破等非线性效应达到饱和并衰减；当加入碰撞阻尼后，</w:t>
      </w:r>
      <w:r>
        <w:t>EPW</w:t>
      </w:r>
      <w:r>
        <w:rPr>
          <w:rFonts w:hint="eastAsia"/>
        </w:rPr>
        <w:t>的增长略有延迟，饱和水平也略有降低。</w:t>
      </w:r>
    </w:p>
    <w:p w14:paraId="59FC03E2">
      <w:pPr>
        <w:jc w:val="center"/>
        <w:rPr>
          <w:rFonts w:hint="eastAsia"/>
        </w:rPr>
      </w:pPr>
      <w:r>
        <w:drawing>
          <wp:inline distT="0" distB="0" distL="0" distR="0">
            <wp:extent cx="2325370" cy="16662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43">
                      <a:extLst>
                        <a:ext uri="{28A0092B-C50C-407E-A947-70E740481C1C}">
                          <a14:useLocalDpi xmlns:a14="http://schemas.microsoft.com/office/drawing/2010/main" val="0"/>
                        </a:ext>
                      </a:extLst>
                    </a:blip>
                    <a:srcRect l="2801" r="2574"/>
                    <a:stretch>
                      <a:fillRect/>
                    </a:stretch>
                  </pic:blipFill>
                  <pic:spPr>
                    <a:xfrm>
                      <a:off x="0" y="0"/>
                      <a:ext cx="2325600" cy="1666800"/>
                    </a:xfrm>
                    <a:prstGeom prst="rect">
                      <a:avLst/>
                    </a:prstGeom>
                    <a:noFill/>
                    <a:ln>
                      <a:noFill/>
                    </a:ln>
                  </pic:spPr>
                </pic:pic>
              </a:graphicData>
            </a:graphic>
          </wp:inline>
        </w:drawing>
      </w:r>
      <w:r>
        <w:drawing>
          <wp:inline distT="0" distB="0" distL="0" distR="0">
            <wp:extent cx="2404110" cy="17621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44">
                      <a:extLst>
                        <a:ext uri="{28A0092B-C50C-407E-A947-70E740481C1C}">
                          <a14:useLocalDpi xmlns:a14="http://schemas.microsoft.com/office/drawing/2010/main" val="0"/>
                        </a:ext>
                      </a:extLst>
                    </a:blip>
                    <a:srcRect l="5435" t="-1997" r="4296"/>
                    <a:stretch>
                      <a:fillRect/>
                    </a:stretch>
                  </pic:blipFill>
                  <pic:spPr>
                    <a:xfrm>
                      <a:off x="0" y="0"/>
                      <a:ext cx="2404800" cy="1762508"/>
                    </a:xfrm>
                    <a:prstGeom prst="rect">
                      <a:avLst/>
                    </a:prstGeom>
                    <a:noFill/>
                    <a:ln>
                      <a:noFill/>
                    </a:ln>
                  </pic:spPr>
                </pic:pic>
              </a:graphicData>
            </a:graphic>
          </wp:inline>
        </w:drawing>
      </w:r>
    </w:p>
    <w:p w14:paraId="59FC03E3">
      <w:pPr>
        <w:pStyle w:val="45"/>
        <w:jc w:val="both"/>
        <w:rPr>
          <w:rFonts w:ascii="Times New Roman" w:eastAsia="宋体"/>
          <w:sz w:val="24"/>
          <w:szCs w:val="24"/>
        </w:rPr>
      </w:pPr>
      <w:r>
        <w:rPr>
          <w:rFonts w:hint="eastAsia" w:ascii="Times New Roman" w:eastAsia="宋体"/>
          <w:b/>
          <w:bCs/>
          <w:sz w:val="24"/>
          <w:szCs w:val="24"/>
        </w:rPr>
        <w:t>PM2D模拟碰撞阻尼对SRS的影响：</w:t>
      </w:r>
      <w:r>
        <w:rPr>
          <w:rFonts w:hint="eastAsia" w:ascii="Times New Roman" w:eastAsia="宋体"/>
          <w:sz w:val="24"/>
          <w:szCs w:val="24"/>
        </w:rPr>
        <w:t>（a）无碰撞与包含碰撞时</w:t>
      </w:r>
      <w:r>
        <w:rPr>
          <w:rFonts w:ascii="Times New Roman" w:eastAsia="宋体"/>
          <w:sz w:val="24"/>
          <w:szCs w:val="24"/>
        </w:rPr>
        <w:t>EPW</w:t>
      </w:r>
      <w:r>
        <w:rPr>
          <w:rFonts w:hint="eastAsia" w:ascii="Times New Roman" w:eastAsia="宋体"/>
          <w:sz w:val="24"/>
          <w:szCs w:val="24"/>
        </w:rPr>
        <w:t>振幅随时间的演化对比；（b）S</w:t>
      </w:r>
      <w:r>
        <w:rPr>
          <w:rFonts w:ascii="Times New Roman" w:eastAsia="宋体"/>
          <w:sz w:val="24"/>
          <w:szCs w:val="24"/>
        </w:rPr>
        <w:t>R</w:t>
      </w:r>
      <w:r>
        <w:rPr>
          <w:rFonts w:hint="eastAsia" w:ascii="Times New Roman" w:eastAsia="宋体"/>
          <w:sz w:val="24"/>
          <w:szCs w:val="24"/>
        </w:rPr>
        <w:t>S增长率随碰撞频率的变化（红色倒三角为模拟值，黑色实线为理论预测值）。</w:t>
      </w:r>
    </w:p>
    <w:p w14:paraId="59FC03E4">
      <w:pPr>
        <w:pStyle w:val="44"/>
        <w:ind w:firstLine="560"/>
      </w:pPr>
    </w:p>
    <w:p w14:paraId="59FC03E5">
      <w:pPr>
        <w:pStyle w:val="49"/>
      </w:pPr>
      <w:r>
        <w:rPr>
          <w:rFonts w:hint="eastAsia"/>
        </w:rPr>
        <w:t>通过在对数坐标下对</w:t>
      </w:r>
      <w:r>
        <w:t>EPW</w:t>
      </w:r>
      <w:r>
        <w:rPr>
          <w:rFonts w:hint="eastAsia"/>
        </w:rPr>
        <w:t>线性增长段进行线性拟合，可提取</w:t>
      </w:r>
      <w:r>
        <w:t>SRS</w:t>
      </w:r>
      <w:r>
        <w:rPr>
          <w:rFonts w:hint="eastAsia"/>
        </w:rPr>
        <w:t>增长率。</w:t>
      </w:r>
      <w:r>
        <w:t>图6(b) </w:t>
      </w:r>
      <w:r>
        <w:rPr>
          <w:rFonts w:hint="eastAsia"/>
        </w:rPr>
        <w:t>给出了</w:t>
      </w:r>
      <w:r>
        <w:t>SRS</w:t>
      </w:r>
      <w:r>
        <w:rPr>
          <w:rFonts w:hint="eastAsia"/>
        </w:rPr>
        <w:t>增长率</w:t>
      </w:r>
      <w:r>
        <w:t> 2πγ</w:t>
      </w:r>
      <w:r>
        <w:rPr>
          <w:vertAlign w:val="subscript"/>
        </w:rPr>
        <w:t>R</w:t>
      </w:r>
      <w:r>
        <w:t>​ </w:t>
      </w:r>
      <w:r>
        <w:rPr>
          <w:rFonts w:hint="eastAsia"/>
        </w:rPr>
        <w:t>随碰撞频率的变化。在无碰撞时，</w:t>
      </w:r>
      <w:r>
        <w:t>2πγ</w:t>
      </w:r>
      <w:r>
        <w:rPr>
          <w:vertAlign w:val="subscript"/>
        </w:rPr>
        <w:t>R</w:t>
      </w:r>
      <w:r>
        <w:t>​≈0.055</w:t>
      </w:r>
      <w:r>
        <w:rPr>
          <w:rFonts w:hint="eastAsia"/>
        </w:rPr>
        <w:t>；随着碰撞频率增大（通过提高</w:t>
      </w:r>
      <w:r>
        <w:t> Z</w:t>
      </w:r>
      <w:r>
        <w:rPr>
          <w:vertAlign w:val="subscript"/>
        </w:rPr>
        <w:t>i</w:t>
      </w:r>
      <w:r>
        <w:t>​ </w:t>
      </w:r>
      <w:r>
        <w:rPr>
          <w:rFonts w:hint="eastAsia"/>
        </w:rPr>
        <w:t>实现），</w:t>
      </w:r>
      <w:r>
        <w:t>2πγ</w:t>
      </w:r>
      <w:r>
        <w:rPr>
          <w:vertAlign w:val="subscript"/>
        </w:rPr>
        <w:t>R</w:t>
      </w:r>
      <w:r>
        <w:t>​ </w:t>
      </w:r>
      <w:r>
        <w:rPr>
          <w:rFonts w:hint="eastAsia"/>
        </w:rPr>
        <w:t>逐渐减小。</w:t>
      </w:r>
      <w:r>
        <w:t>PM2D</w:t>
      </w:r>
      <w:r>
        <w:rPr>
          <w:rFonts w:hint="eastAsia"/>
        </w:rPr>
        <w:t>模拟结果与含阻尼的三波耦合理论预测值吻合良好。值得注意的是，由于</w:t>
      </w:r>
      <w:r>
        <w:t>SRS</w:t>
      </w:r>
      <w:r>
        <w:rPr>
          <w:rFonts w:hint="eastAsia"/>
        </w:rPr>
        <w:t>仅在低密度区（</w:t>
      </w:r>
      <w:r>
        <w:t>n</w:t>
      </w:r>
      <w:r>
        <w:rPr>
          <w:vertAlign w:val="subscript"/>
        </w:rPr>
        <w:t>e</w:t>
      </w:r>
      <w:r>
        <w:t>&lt;0.25n</w:t>
      </w:r>
      <w:r>
        <w:rPr>
          <w:vertAlign w:val="subscript"/>
        </w:rPr>
        <w:t>c</w:t>
      </w:r>
      <w:r>
        <w:rPr>
          <w:rFonts w:hint="eastAsia"/>
        </w:rPr>
        <w:t>）激发，碰撞阻尼率通常远低于</w:t>
      </w:r>
      <w:r>
        <w:t>Landau</w:t>
      </w:r>
      <w:r>
        <w:rPr>
          <w:rFonts w:hint="eastAsia"/>
        </w:rPr>
        <w:t>阻尼率。这表明在实际</w:t>
      </w:r>
      <w:r>
        <w:t>ICF</w:t>
      </w:r>
      <w:r>
        <w:rPr>
          <w:rFonts w:hint="eastAsia"/>
        </w:rPr>
        <w:t>条件下，</w:t>
      </w:r>
      <w:r>
        <w:t>SRS</w:t>
      </w:r>
      <w:r>
        <w:rPr>
          <w:rFonts w:hint="eastAsia"/>
        </w:rPr>
        <w:t>的增长主要受</w:t>
      </w:r>
      <w:r>
        <w:t>Landau</w:t>
      </w:r>
      <w:r>
        <w:rPr>
          <w:rFonts w:hint="eastAsia"/>
        </w:rPr>
        <w:t>阻尼和波破等非线性效应控制，碰撞阻尼仅起次要的修正作用。</w:t>
      </w:r>
    </w:p>
    <w:p w14:paraId="59FC03E6">
      <w:pPr>
        <w:pStyle w:val="49"/>
      </w:pPr>
      <w:r>
        <w:t>与SRS不同，SBS可在高密度区（n</w:t>
      </w:r>
      <w:r>
        <w:rPr>
          <w:vertAlign w:val="subscript"/>
        </w:rPr>
        <w:t>e</w:t>
      </w:r>
      <w:r>
        <w:t>​&gt;0.25n</w:t>
      </w:r>
      <w:r>
        <w:rPr>
          <w:vertAlign w:val="subscript"/>
        </w:rPr>
        <w:t>c</w:t>
      </w:r>
      <w:r>
        <w:t>​）激发，因此碰撞阻尼的影响更为显著。我们采用较高密度 n</w:t>
      </w:r>
      <w:r>
        <w:rPr>
          <w:vertAlign w:val="subscript"/>
        </w:rPr>
        <w:t>e</w:t>
      </w:r>
      <w:r>
        <w:t>​=0.6n</w:t>
      </w:r>
      <w:r>
        <w:rPr>
          <w:vertAlign w:val="subscript"/>
        </w:rPr>
        <w:t>c</w:t>
      </w:r>
      <w:r>
        <w:t>​，</w:t>
      </w:r>
      <w:r>
        <w:rPr>
          <w:rFonts w:hint="eastAsia"/>
        </w:rPr>
        <w:t>激光</w:t>
      </w:r>
      <w:r>
        <w:rPr>
          <w:rFonts w:hint="eastAsia" w:ascii="Cambria Math" w:hAnsi="Cambria Math" w:cs="Cambria Math"/>
        </w:rPr>
        <w:t>a</w:t>
      </w:r>
      <w:r>
        <w:rPr>
          <w:rFonts w:hint="eastAsia"/>
        </w:rPr>
        <w:t>=0.04，电子温度</w:t>
      </w:r>
      <w:r>
        <w:rPr>
          <w:rFonts w:ascii="Cambria Math" w:hAnsi="Cambria Math" w:cs="Cambria Math"/>
        </w:rPr>
        <w:t>𝑇</w:t>
      </w:r>
      <w:r>
        <w:rPr>
          <w:rFonts w:ascii="Cambria Math" w:hAnsi="Cambria Math" w:cs="Cambria Math"/>
          <w:vertAlign w:val="subscript"/>
        </w:rPr>
        <w:t>𝑒</w:t>
      </w:r>
      <w:r>
        <w:rPr>
          <w:rFonts w:hint="eastAsia"/>
        </w:rPr>
        <w:t>=1</w:t>
      </w:r>
      <w:r>
        <w:t xml:space="preserve"> </w:t>
      </w:r>
      <w:r>
        <w:rPr>
          <w:rFonts w:hint="eastAsia"/>
        </w:rPr>
        <w:t>keV，离子温度</w:t>
      </w:r>
      <w:r>
        <w:rPr>
          <w:rFonts w:ascii="Cambria Math" w:hAnsi="Cambria Math" w:cs="Cambria Math"/>
        </w:rPr>
        <w:t>𝑇</w:t>
      </w:r>
      <w:r>
        <w:rPr>
          <w:rFonts w:hint="eastAsia" w:ascii="Cambria Math" w:hAnsi="Cambria Math" w:cs="Cambria Math"/>
          <w:vertAlign w:val="subscript"/>
        </w:rPr>
        <w:t>i</w:t>
      </w:r>
      <w:r>
        <w:rPr>
          <w:rFonts w:hint="eastAsia"/>
        </w:rPr>
        <w:t>=0.1</w:t>
      </w:r>
      <w:r>
        <w:t xml:space="preserve"> </w:t>
      </w:r>
      <w:r>
        <w:rPr>
          <w:rFonts w:hint="eastAsia"/>
        </w:rPr>
        <w:t>keV，改变电离度</w:t>
      </w:r>
      <w:r>
        <w:rPr>
          <w:rFonts w:hint="eastAsia" w:ascii="Cambria Math" w:hAnsi="Cambria Math" w:cs="Cambria Math"/>
        </w:rPr>
        <w:t>Z</w:t>
      </w:r>
      <w:r>
        <w:rPr>
          <w:rFonts w:hint="eastAsia" w:ascii="Cambria Math" w:hAnsi="Cambria Math" w:cs="Cambria Math"/>
          <w:vertAlign w:val="subscript"/>
        </w:rPr>
        <w:t>i</w:t>
      </w:r>
      <w:r>
        <w:rPr>
          <w:rFonts w:hint="eastAsia"/>
        </w:rPr>
        <w:t>的同时保持</w:t>
      </w:r>
      <w:r>
        <w:rPr>
          <w:rFonts w:hint="eastAsia" w:ascii="Cambria Math" w:hAnsi="Cambria Math" w:cs="Cambria Math"/>
        </w:rPr>
        <w:t>Z</w:t>
      </w:r>
      <w:r>
        <w:rPr>
          <w:rFonts w:hint="eastAsia" w:ascii="Cambria Math" w:hAnsi="Cambria Math" w:cs="Cambria Math"/>
          <w:vertAlign w:val="subscript"/>
        </w:rPr>
        <w:t>i</w:t>
      </w:r>
      <w:r>
        <w:rPr>
          <w:rFonts w:hint="eastAsia" w:ascii="Cambria Math" w:hAnsi="Cambria Math" w:cs="Cambria Math"/>
        </w:rPr>
        <w:t>/m</w:t>
      </w:r>
      <w:r>
        <w:rPr>
          <w:rFonts w:hint="eastAsia" w:ascii="Cambria Math" w:hAnsi="Cambria Math" w:cs="Cambria Math"/>
          <w:vertAlign w:val="subscript"/>
        </w:rPr>
        <w:t>i</w:t>
      </w:r>
      <w:r>
        <w:rPr>
          <w:rFonts w:hint="eastAsia"/>
        </w:rPr>
        <w:t>不变以施加不同大小的碰撞阻尼。</w:t>
      </w:r>
      <w:r>
        <w:t>图7(a) 显示了SBS激发的IAW振幅随时间的演化。与无碰撞情况相比，包含碰撞阻尼后，IAW的增长被显著延迟，且饱和水平大幅降低。碰撞频率越高，抑制效果越明显。图7(b) 给出了SBS增长率 2πγ</w:t>
      </w:r>
      <w:r>
        <w:rPr>
          <w:vertAlign w:val="subscript"/>
        </w:rPr>
        <w:t>B</w:t>
      </w:r>
      <w:r>
        <w:t>​ 随碰撞频率的变化，模拟结果与理论预测</w:t>
      </w:r>
      <w:r>
        <w:rPr>
          <w:rFonts w:hint="eastAsia"/>
        </w:rPr>
        <w:t>值符合良好；</w:t>
      </w:r>
      <w:r>
        <w:t>无碰撞时 2πγ</w:t>
      </w:r>
      <w:r>
        <w:rPr>
          <w:vertAlign w:val="subscript"/>
        </w:rPr>
        <w:t>B</w:t>
      </w:r>
      <w:r>
        <w:t>=0.0234，随着碰撞频率增大，其值逐渐降至约0.020，下降幅度约10%。</w:t>
      </w:r>
    </w:p>
    <w:p w14:paraId="59FC03E7">
      <w:pPr>
        <w:jc w:val="center"/>
        <w:rPr>
          <w:rFonts w:hint="eastAsia"/>
        </w:rPr>
      </w:pPr>
      <w:r>
        <w:drawing>
          <wp:inline distT="0" distB="0" distL="0" distR="0">
            <wp:extent cx="2552700" cy="1800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2552700" cy="1800225"/>
                    </a:xfrm>
                    <a:prstGeom prst="rect">
                      <a:avLst/>
                    </a:prstGeom>
                    <a:noFill/>
                    <a:ln>
                      <a:noFill/>
                    </a:ln>
                  </pic:spPr>
                </pic:pic>
              </a:graphicData>
            </a:graphic>
          </wp:inline>
        </w:drawing>
      </w:r>
      <w:r>
        <w:drawing>
          <wp:inline distT="0" distB="0" distL="0" distR="0">
            <wp:extent cx="2599690" cy="18688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46" cstate="print">
                      <a:extLst>
                        <a:ext uri="{28A0092B-C50C-407E-A947-70E740481C1C}">
                          <a14:useLocalDpi xmlns:a14="http://schemas.microsoft.com/office/drawing/2010/main" val="0"/>
                        </a:ext>
                      </a:extLst>
                    </a:blip>
                    <a:srcRect t="-3834" b="-1"/>
                    <a:stretch>
                      <a:fillRect/>
                    </a:stretch>
                  </pic:blipFill>
                  <pic:spPr>
                    <a:xfrm>
                      <a:off x="0" y="0"/>
                      <a:ext cx="2600325" cy="1869240"/>
                    </a:xfrm>
                    <a:prstGeom prst="rect">
                      <a:avLst/>
                    </a:prstGeom>
                    <a:noFill/>
                    <a:ln>
                      <a:noFill/>
                    </a:ln>
                  </pic:spPr>
                </pic:pic>
              </a:graphicData>
            </a:graphic>
          </wp:inline>
        </w:drawing>
      </w:r>
    </w:p>
    <w:p w14:paraId="59FC03E8">
      <w:pPr>
        <w:pStyle w:val="45"/>
        <w:jc w:val="both"/>
        <w:rPr>
          <w:rFonts w:ascii="Times New Roman" w:eastAsia="宋体"/>
          <w:sz w:val="24"/>
          <w:szCs w:val="24"/>
        </w:rPr>
      </w:pPr>
      <w:r>
        <w:rPr>
          <w:rFonts w:hint="eastAsia" w:ascii="Times New Roman" w:eastAsia="宋体"/>
          <w:b/>
          <w:bCs/>
          <w:sz w:val="24"/>
          <w:szCs w:val="24"/>
        </w:rPr>
        <w:t>PM2D模拟碰撞阻尼对SBS的影响</w:t>
      </w:r>
      <w:r>
        <w:rPr>
          <w:rFonts w:hint="eastAsia" w:ascii="Times New Roman" w:eastAsia="宋体"/>
          <w:sz w:val="24"/>
          <w:szCs w:val="24"/>
        </w:rPr>
        <w:t>：（a）无碰撞与包含碰撞时模拟得到的IAW振幅随时间的演化对比；（b）SBS增长率随碰撞频率的变化（红色倒三角为模拟值，黑色实线为理论预测值）。</w:t>
      </w:r>
    </w:p>
    <w:p w14:paraId="59FC03E9">
      <w:pPr>
        <w:pStyle w:val="49"/>
      </w:pPr>
    </w:p>
    <w:p w14:paraId="59FC03EA">
      <w:pPr>
        <w:pStyle w:val="49"/>
      </w:pPr>
      <w:r>
        <w:t>在验证了各碰撞子模块的准确性后，我们同时开启碰撞吸收、碰撞阻尼和热平衡模块，进行长时间（270 ps）亚纳秒尺度模拟，以研究碰撞效应对LPIs散射光份额和频谱的综合影响。模拟参数为：激光波长351 nm，强度 2×10</w:t>
      </w:r>
      <w:r>
        <w:rPr>
          <w:vertAlign w:val="superscript"/>
        </w:rPr>
        <w:t xml:space="preserve">15 </w:t>
      </w:r>
      <w:r>
        <w:t>W/cm</w:t>
      </w:r>
      <w:r>
        <w:rPr>
          <w:vertAlign w:val="superscript"/>
        </w:rPr>
        <w:t>2</w:t>
      </w:r>
      <w:r>
        <w:t>（a</w:t>
      </w:r>
      <w:r>
        <w:rPr>
          <w:vertAlign w:val="subscript"/>
        </w:rPr>
        <w:t>0</w:t>
      </w:r>
      <w:r>
        <w:t>​=0.0134），等离子体长度300λ，均匀区 25λ&lt;x&lt;275λ，CH等离子体，Z</w:t>
      </w:r>
      <w:r>
        <w:rPr>
          <w:vertAlign w:val="subscript"/>
        </w:rPr>
        <w:t>i</w:t>
      </w:r>
      <w:r>
        <w:t>​=5.3，m</w:t>
      </w:r>
      <w:r>
        <w:rPr>
          <w:vertAlign w:val="subscript"/>
        </w:rPr>
        <w:t>i</w:t>
      </w:r>
      <w:r>
        <w:t>=6.5m</w:t>
      </w:r>
      <w:r>
        <w:rPr>
          <w:vertAlign w:val="subscript"/>
        </w:rPr>
        <w:t>p</w:t>
      </w:r>
      <w:r>
        <w:t>​，密度 n</w:t>
      </w:r>
      <w:r>
        <w:rPr>
          <w:vertAlign w:val="subscript"/>
        </w:rPr>
        <w:t>e</w:t>
      </w:r>
      <w:r>
        <w:t>=0.1n</w:t>
      </w:r>
      <w:r>
        <w:rPr>
          <w:vertAlign w:val="subscript"/>
        </w:rPr>
        <w:t>c</w:t>
      </w:r>
      <w:r>
        <w:t>，初始 T</w:t>
      </w:r>
      <w:r>
        <w:rPr>
          <w:vertAlign w:val="subscript"/>
        </w:rPr>
        <w:t>e</w:t>
      </w:r>
      <w:r>
        <w:t>=2.2 keV，T</w:t>
      </w:r>
      <w:r>
        <w:rPr>
          <w:vertAlign w:val="subscript"/>
        </w:rPr>
        <w:t>i</w:t>
      </w:r>
      <w:r>
        <w:t>=1 keV</w:t>
      </w:r>
      <w:r>
        <w:rPr>
          <w:rFonts w:hint="eastAsia"/>
        </w:rPr>
        <w:t>。</w:t>
      </w:r>
    </w:p>
    <w:p w14:paraId="59FC03EB">
      <w:pPr>
        <w:pStyle w:val="49"/>
      </w:pPr>
      <w:r>
        <w:t>图8(a) </w:t>
      </w:r>
      <w:r>
        <w:rPr>
          <w:rFonts w:hint="eastAsia"/>
        </w:rPr>
        <w:t>为无碰撞情况下背向散射光频谱的时间演化。</w:t>
      </w:r>
      <w:r>
        <w:t>SRS</w:t>
      </w:r>
      <w:r>
        <w:rPr>
          <w:rFonts w:hint="eastAsia"/>
        </w:rPr>
        <w:t>信号主要集中在</w:t>
      </w:r>
      <w:r>
        <w:t> 0.64ω</w:t>
      </w:r>
      <w:r>
        <w:rPr>
          <w:vertAlign w:val="subscript"/>
        </w:rPr>
        <w:t>0</w:t>
      </w:r>
      <w:r>
        <w:t>​ </w:t>
      </w:r>
      <w:r>
        <w:rPr>
          <w:rFonts w:hint="eastAsia"/>
        </w:rPr>
        <w:t>附近，与初始温度（</w:t>
      </w:r>
      <w:r>
        <w:t>2.2 keV</w:t>
      </w:r>
      <w:r>
        <w:rPr>
          <w:rFonts w:hint="eastAsia"/>
        </w:rPr>
        <w:t>）下</w:t>
      </w:r>
      <w:r>
        <w:t>EPW</w:t>
      </w:r>
      <w:r>
        <w:rPr>
          <w:rFonts w:hint="eastAsia"/>
        </w:rPr>
        <w:t>频率</w:t>
      </w:r>
      <w:r>
        <w:t> ω</w:t>
      </w:r>
      <w:r>
        <w:rPr>
          <w:vertAlign w:val="subscript"/>
        </w:rPr>
        <w:t>epw</w:t>
      </w:r>
      <w:r>
        <w:t>=(ω</w:t>
      </w:r>
      <w:r>
        <w:rPr>
          <w:vertAlign w:val="subscript"/>
        </w:rPr>
        <w:t>pe</w:t>
      </w:r>
      <w:r>
        <w:rPr>
          <w:vertAlign w:val="superscript"/>
        </w:rPr>
        <w:t>2</w:t>
      </w:r>
      <w:r>
        <w:t>+3k</w:t>
      </w:r>
      <w:r>
        <w:rPr>
          <w:vertAlign w:val="subscript"/>
        </w:rPr>
        <w:t>2</w:t>
      </w:r>
      <w:r>
        <w:t>v</w:t>
      </w:r>
      <w:r>
        <w:rPr>
          <w:vertAlign w:val="subscript"/>
        </w:rPr>
        <w:t>eth</w:t>
      </w:r>
      <w:r>
        <w:rPr>
          <w:vertAlign w:val="superscript"/>
        </w:rPr>
        <w:t>2</w:t>
      </w:r>
      <w:r>
        <w:t>)</w:t>
      </w:r>
      <w:r>
        <w:rPr>
          <w:vertAlign w:val="superscript"/>
        </w:rPr>
        <w:t>1/2</w:t>
      </w:r>
      <w:r>
        <w:t>≈0.366ω</w:t>
      </w:r>
      <w:r>
        <w:rPr>
          <w:vertAlign w:val="subscript"/>
        </w:rPr>
        <w:t>0</w:t>
      </w:r>
      <w:r>
        <w:t>​ </w:t>
      </w:r>
      <w:r>
        <w:rPr>
          <w:rFonts w:hint="eastAsia"/>
        </w:rPr>
        <w:t>对应的</w:t>
      </w:r>
      <w:r>
        <w:t>SRS</w:t>
      </w:r>
      <w:r>
        <w:rPr>
          <w:rFonts w:hint="eastAsia"/>
        </w:rPr>
        <w:t>共振条件一致；频谱展宽主要来源于粒子捕获和</w:t>
      </w:r>
      <w:r>
        <w:t>Landau</w:t>
      </w:r>
      <w:r>
        <w:rPr>
          <w:rFonts w:hint="eastAsia"/>
        </w:rPr>
        <w:t>阻尼等非线性效应。</w:t>
      </w:r>
      <w:r>
        <w:t>SBS</w:t>
      </w:r>
      <w:r>
        <w:rPr>
          <w:rFonts w:hint="eastAsia"/>
        </w:rPr>
        <w:t>信号则稳定在</w:t>
      </w:r>
      <w:r>
        <w:t> ω</w:t>
      </w:r>
      <w:r>
        <w:rPr>
          <w:vertAlign w:val="subscript"/>
        </w:rPr>
        <w:t>0</w:t>
      </w:r>
      <w:r>
        <w:t>​ </w:t>
      </w:r>
      <w:r>
        <w:rPr>
          <w:rFonts w:hint="eastAsia"/>
        </w:rPr>
        <w:t>附近，频谱较窄。</w:t>
      </w:r>
      <w:r>
        <w:t>图8(b) </w:t>
      </w:r>
      <w:r>
        <w:rPr>
          <w:rFonts w:hint="eastAsia"/>
        </w:rPr>
        <w:t>为包含碰撞效应后的结果，最显著的变化是</w:t>
      </w:r>
      <w:r>
        <w:t>SRS</w:t>
      </w:r>
      <w:r>
        <w:rPr>
          <w:rFonts w:hint="eastAsia"/>
        </w:rPr>
        <w:t>频谱随时间的持续红移</w:t>
      </w:r>
      <w:r>
        <w:t>——</w:t>
      </w:r>
      <w:r>
        <w:rPr>
          <w:rFonts w:hint="eastAsia"/>
        </w:rPr>
        <w:t>中心频率从初始的</w:t>
      </w:r>
      <w:r>
        <w:t>0.64ω</w:t>
      </w:r>
      <w:r>
        <w:rPr>
          <w:vertAlign w:val="subscript"/>
        </w:rPr>
        <w:t>0</w:t>
      </w:r>
      <w:r>
        <w:t>​ </w:t>
      </w:r>
      <w:r>
        <w:rPr>
          <w:rFonts w:hint="eastAsia"/>
        </w:rPr>
        <w:t>逐渐漂移至</w:t>
      </w:r>
      <w:r>
        <w:t> 0.53ω</w:t>
      </w:r>
      <w:r>
        <w:rPr>
          <w:vertAlign w:val="subscript"/>
        </w:rPr>
        <w:t>0</w:t>
      </w:r>
      <w:r>
        <w:t>​</w:t>
      </w:r>
      <w:r>
        <w:rPr>
          <w:rFonts w:hint="eastAsia"/>
        </w:rPr>
        <w:t>。这一红移的物理机制是：碰撞吸收加热等离子体，使电子温度升高，进而增大</w:t>
      </w:r>
      <w:r>
        <w:t>EPW</w:t>
      </w:r>
      <w:r>
        <w:rPr>
          <w:rFonts w:hint="eastAsia"/>
        </w:rPr>
        <w:t>频率</w:t>
      </w:r>
      <w:r>
        <w:t> ω</w:t>
      </w:r>
      <w:r>
        <w:rPr>
          <w:vertAlign w:val="subscript"/>
        </w:rPr>
        <w:t>epw</w:t>
      </w:r>
      <w:r>
        <w:t>​​=(ω</w:t>
      </w:r>
      <w:r>
        <w:rPr>
          <w:vertAlign w:val="subscript"/>
        </w:rPr>
        <w:t>pe</w:t>
      </w:r>
      <w:r>
        <w:rPr>
          <w:vertAlign w:val="superscript"/>
        </w:rPr>
        <w:t>2</w:t>
      </w:r>
      <w:r>
        <w:t>+3k</w:t>
      </w:r>
      <w:r>
        <w:rPr>
          <w:vertAlign w:val="subscript"/>
        </w:rPr>
        <w:t>2</w:t>
      </w:r>
      <w:r>
        <w:t>v</w:t>
      </w:r>
      <w:r>
        <w:rPr>
          <w:vertAlign w:val="subscript"/>
        </w:rPr>
        <w:t>eth</w:t>
      </w:r>
      <w:r>
        <w:rPr>
          <w:vertAlign w:val="superscript"/>
        </w:rPr>
        <w:t>2</w:t>
      </w:r>
      <w:r>
        <w:t>)</w:t>
      </w:r>
      <w:r>
        <w:rPr>
          <w:vertAlign w:val="superscript"/>
        </w:rPr>
        <w:t>1/2</w:t>
      </w:r>
      <w:r>
        <w:rPr>
          <w:rFonts w:hint="eastAsia"/>
        </w:rPr>
        <w:t>。为满足</w:t>
      </w:r>
      <w:r>
        <w:t>SRS</w:t>
      </w:r>
      <w:r>
        <w:rPr>
          <w:rFonts w:hint="eastAsia"/>
        </w:rPr>
        <w:t>频率匹配条件</w:t>
      </w:r>
      <w:r>
        <w:t> ω</w:t>
      </w:r>
      <w:r>
        <w:rPr>
          <w:vertAlign w:val="subscript"/>
        </w:rPr>
        <w:t>s</w:t>
      </w:r>
      <w:r>
        <w:t>=ω</w:t>
      </w:r>
      <w:r>
        <w:rPr>
          <w:vertAlign w:val="subscript"/>
        </w:rPr>
        <w:t>0</w:t>
      </w:r>
      <w:r>
        <w:t>−ω</w:t>
      </w:r>
      <w:r>
        <w:rPr>
          <w:vertAlign w:val="subscript"/>
        </w:rPr>
        <w:t>epw</w:t>
      </w:r>
      <w:r>
        <w:t>​</w:t>
      </w:r>
      <w:r>
        <w:rPr>
          <w:rFonts w:hint="eastAsia"/>
        </w:rPr>
        <w:t>，散射光频率</w:t>
      </w:r>
      <w:r>
        <w:t> ω</w:t>
      </w:r>
      <w:r>
        <w:rPr>
          <w:vertAlign w:val="subscript"/>
        </w:rPr>
        <w:t>s</w:t>
      </w:r>
      <w:r>
        <w:t>​ </w:t>
      </w:r>
      <w:r>
        <w:rPr>
          <w:rFonts w:hint="eastAsia"/>
        </w:rPr>
        <w:t>必须相应降低，从而产生红移。这一发现与</w:t>
      </w:r>
      <w:r>
        <w:t>NIF</w:t>
      </w:r>
      <w:r>
        <w:rPr>
          <w:rFonts w:hint="eastAsia"/>
        </w:rPr>
        <w:t>和</w:t>
      </w:r>
      <w:r>
        <w:t>SG-III</w:t>
      </w:r>
      <w:r>
        <w:rPr>
          <w:rFonts w:hint="eastAsia"/>
        </w:rPr>
        <w:t>实验中观测到的</w:t>
      </w:r>
      <w:r>
        <w:t>SRS</w:t>
      </w:r>
      <w:r>
        <w:rPr>
          <w:rFonts w:hint="eastAsia"/>
        </w:rPr>
        <w:t>红移现象定性一致，但以往实验多将其归因于密度剖面变化，而我们的模拟首次揭示了碰撞加热本身即可作为红移的主导驱动源。</w:t>
      </w:r>
    </w:p>
    <w:p w14:paraId="59FC03EC">
      <w:pPr>
        <w:jc w:val="center"/>
        <w:rPr>
          <w:rFonts w:hint="eastAsia"/>
        </w:rPr>
      </w:pPr>
      <w:r>
        <w:drawing>
          <wp:inline distT="0" distB="0" distL="0" distR="0">
            <wp:extent cx="4885055" cy="3538220"/>
            <wp:effectExtent l="0" t="0" r="0"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4885200" cy="3538800"/>
                    </a:xfrm>
                    <a:prstGeom prst="rect">
                      <a:avLst/>
                    </a:prstGeom>
                    <a:noFill/>
                    <a:ln>
                      <a:noFill/>
                    </a:ln>
                  </pic:spPr>
                </pic:pic>
              </a:graphicData>
            </a:graphic>
          </wp:inline>
        </w:drawing>
      </w:r>
    </w:p>
    <w:p w14:paraId="59FC03ED">
      <w:pPr>
        <w:pStyle w:val="45"/>
        <w:jc w:val="both"/>
        <w:rPr>
          <w:rFonts w:ascii="Times New Roman" w:eastAsia="宋体"/>
          <w:sz w:val="24"/>
          <w:szCs w:val="24"/>
        </w:rPr>
      </w:pPr>
      <w:r>
        <w:rPr>
          <w:rFonts w:hint="eastAsia" w:ascii="Times New Roman" w:eastAsia="宋体"/>
          <w:b/>
          <w:bCs/>
          <w:sz w:val="24"/>
          <w:szCs w:val="24"/>
        </w:rPr>
        <w:t>碰撞效应对散射光份额和频谱的影响：</w:t>
      </w:r>
      <w:r>
        <w:rPr>
          <w:rFonts w:hint="eastAsia" w:ascii="Times New Roman" w:eastAsia="宋体"/>
          <w:sz w:val="24"/>
          <w:szCs w:val="24"/>
        </w:rPr>
        <w:t>（</w:t>
      </w:r>
      <w:r>
        <w:rPr>
          <w:rFonts w:ascii="Times New Roman" w:eastAsia="宋体"/>
          <w:sz w:val="24"/>
          <w:szCs w:val="24"/>
        </w:rPr>
        <w:t>a）和（c）分别展示了无碰撞效应时背向散射光频谱与总反射率的时间演化，（b）和（d）则为包含碰撞效应时的对应结果。</w:t>
      </w:r>
    </w:p>
    <w:p w14:paraId="59FC03EE">
      <w:pPr>
        <w:pStyle w:val="49"/>
      </w:pPr>
    </w:p>
    <w:p w14:paraId="59FC03EF">
      <w:pPr>
        <w:pStyle w:val="49"/>
      </w:pPr>
      <w:r>
        <w:t>图8(c) </w:t>
      </w:r>
      <w:r>
        <w:rPr>
          <w:rFonts w:hint="eastAsia"/>
        </w:rPr>
        <w:t>和</w:t>
      </w:r>
      <w:r>
        <w:t> 6(d) </w:t>
      </w:r>
      <w:r>
        <w:rPr>
          <w:rFonts w:hint="eastAsia"/>
        </w:rPr>
        <w:t>分别给出了无碰撞和包含碰撞时背向散射光瞬时反射率随时间的演化。对整体模拟时段的统计平均分析表明，碰撞效应对各散射光份额产生了显著差异化的影响。在反射率方面，</w:t>
      </w:r>
      <w:r>
        <w:t>SRS</w:t>
      </w:r>
      <w:r>
        <w:rPr>
          <w:rFonts w:hint="eastAsia"/>
        </w:rPr>
        <w:t>反射率从无碰撞时的</w:t>
      </w:r>
      <w:r>
        <w:t>1.73%</w:t>
      </w:r>
      <w:r>
        <w:rPr>
          <w:rFonts w:hint="eastAsia"/>
        </w:rPr>
        <w:t>上升至</w:t>
      </w:r>
      <w:r>
        <w:t>2.80%</w:t>
      </w:r>
      <w:r>
        <w:rPr>
          <w:rFonts w:hint="eastAsia"/>
        </w:rPr>
        <w:t>，增幅达</w:t>
      </w:r>
      <w:r>
        <w:t>61.8%</w:t>
      </w:r>
      <w:r>
        <w:rPr>
          <w:rFonts w:hint="eastAsia"/>
        </w:rPr>
        <w:t>；而</w:t>
      </w:r>
      <w:r>
        <w:t>SBS</w:t>
      </w:r>
      <w:r>
        <w:rPr>
          <w:rFonts w:hint="eastAsia"/>
        </w:rPr>
        <w:t>反射率则因碰撞阻尼的强烈抑制，从</w:t>
      </w:r>
      <w:r>
        <w:t>2.44%</w:t>
      </w:r>
      <w:r>
        <w:rPr>
          <w:rFonts w:hint="eastAsia"/>
        </w:rPr>
        <w:t>大幅下降至</w:t>
      </w:r>
      <w:r>
        <w:t>0.51%</w:t>
      </w:r>
      <w:r>
        <w:rPr>
          <w:rFonts w:hint="eastAsia"/>
        </w:rPr>
        <w:t>，降幅达</w:t>
      </w:r>
      <w:r>
        <w:t>79.1%</w:t>
      </w:r>
      <w:r>
        <w:rPr>
          <w:rFonts w:hint="eastAsia"/>
        </w:rPr>
        <w:t>。两者共同作用使得总反射率由</w:t>
      </w:r>
      <w:r>
        <w:t>4.17%</w:t>
      </w:r>
      <w:r>
        <w:rPr>
          <w:rFonts w:hint="eastAsia"/>
        </w:rPr>
        <w:t>降至</w:t>
      </w:r>
      <w:r>
        <w:t>3.31%</w:t>
      </w:r>
      <w:r>
        <w:rPr>
          <w:rFonts w:hint="eastAsia"/>
        </w:rPr>
        <w:t>。与此同时，激光透射率略微下降</w:t>
      </w:r>
      <w:r>
        <w:t>0.85%</w:t>
      </w:r>
      <w:r>
        <w:rPr>
          <w:rFonts w:hint="eastAsia"/>
        </w:rPr>
        <w:t>，从</w:t>
      </w:r>
      <w:r>
        <w:t>95.00%</w:t>
      </w:r>
      <w:r>
        <w:rPr>
          <w:rFonts w:hint="eastAsia"/>
        </w:rPr>
        <w:t>变为</w:t>
      </w:r>
      <w:r>
        <w:t>94.15%</w:t>
      </w:r>
      <w:r>
        <w:rPr>
          <w:rFonts w:hint="eastAsia"/>
        </w:rPr>
        <w:t>。值得注意的是，尽管总反射率有所下降，但结合透射率的变化可以估算出，总激光吸收率反而从无碰撞时的</w:t>
      </w:r>
      <w:r>
        <w:t>0.84%</w:t>
      </w:r>
      <w:r>
        <w:rPr>
          <w:rFonts w:hint="eastAsia"/>
        </w:rPr>
        <w:t>显著提升至</w:t>
      </w:r>
      <w:r>
        <w:t>2.54%</w:t>
      </w:r>
      <w:r>
        <w:rPr>
          <w:rFonts w:hint="eastAsia"/>
        </w:rPr>
        <w:t>，升幅高达</w:t>
      </w:r>
      <w:r>
        <w:t>202%</w:t>
      </w:r>
      <w:r>
        <w:rPr>
          <w:rFonts w:hint="eastAsia"/>
        </w:rPr>
        <w:t>。这一吸收率的提升来源有两部分：一是直接碰撞吸收（约</w:t>
      </w:r>
      <w:r>
        <w:t>0.44%</w:t>
      </w:r>
      <w:r>
        <w:rPr>
          <w:rFonts w:hint="eastAsia"/>
        </w:rPr>
        <w:t>），二是因碰撞阻尼和温度升高增强</w:t>
      </w:r>
      <w:r>
        <w:t>Landau</w:t>
      </w:r>
      <w:r>
        <w:rPr>
          <w:rFonts w:hint="eastAsia"/>
        </w:rPr>
        <w:t>阻尼而带来的额外反常吸收（约</w:t>
      </w:r>
      <w:r>
        <w:t>1.26%</w:t>
      </w:r>
      <w:r>
        <w:rPr>
          <w:rFonts w:hint="eastAsia"/>
        </w:rPr>
        <w:t>）。这一结果表明，虽然碰撞阻尼抑制了</w:t>
      </w:r>
      <w:r>
        <w:t>SBS</w:t>
      </w:r>
      <w:r>
        <w:rPr>
          <w:rFonts w:hint="eastAsia"/>
        </w:rPr>
        <w:t>，但碰撞加热效应却通过延长</w:t>
      </w:r>
      <w:r>
        <w:t>SRS</w:t>
      </w:r>
      <w:r>
        <w:rPr>
          <w:rFonts w:hint="eastAsia"/>
        </w:rPr>
        <w:t>增长时间窗口和增强朗道阻尼等方式，显著提升了等离子体对激光能量的整体耦合效率。</w:t>
      </w:r>
    </w:p>
    <w:p w14:paraId="59FC03F0">
      <w:pPr>
        <w:pStyle w:val="49"/>
      </w:pPr>
      <w:r>
        <w:rPr>
          <w:rFonts w:hint="eastAsia"/>
        </w:rPr>
        <w:t>超热电子是</w:t>
      </w:r>
      <w:r>
        <w:t>ICF</w:t>
      </w:r>
      <w:r>
        <w:rPr>
          <w:rFonts w:hint="eastAsia"/>
        </w:rPr>
        <w:t>内爆中极具危害性的因素，它会穿透燃料层预热冷燃料，严重降低压缩效率。需要指出的是，对比</w:t>
      </w:r>
      <w:r>
        <w:t>图</w:t>
      </w:r>
      <w:r>
        <w:rPr>
          <w:rFonts w:hint="eastAsia"/>
        </w:rPr>
        <w:t>9</w:t>
      </w:r>
      <w:r>
        <w:t>(a)</w:t>
      </w:r>
      <w:r>
        <w:rPr>
          <w:rFonts w:hint="eastAsia"/>
        </w:rPr>
        <w:t>和</w:t>
      </w:r>
      <w:r>
        <w:t>图9(b)</w:t>
      </w:r>
      <w:r>
        <w:rPr>
          <w:rFonts w:hint="eastAsia"/>
        </w:rPr>
        <w:t>的电子能谱可以看出，</w:t>
      </w:r>
      <w:r>
        <w:t>PM2D</w:t>
      </w:r>
      <w:r>
        <w:rPr>
          <w:rFonts w:hint="eastAsia"/>
        </w:rPr>
        <w:t>的碰撞模型在长达</w:t>
      </w:r>
      <w:r>
        <w:t>270 ps</w:t>
      </w:r>
      <w:r>
        <w:rPr>
          <w:rFonts w:hint="eastAsia"/>
        </w:rPr>
        <w:t>的模拟中仍能保持物理稳定的电子能谱演化，而传统</w:t>
      </w:r>
      <w:r>
        <w:t>PIC</w:t>
      </w:r>
      <w:r>
        <w:rPr>
          <w:rFonts w:hint="eastAsia"/>
        </w:rPr>
        <w:t>模拟在约</w:t>
      </w:r>
      <w:r>
        <w:t>8 ps</w:t>
      </w:r>
      <w:r>
        <w:rPr>
          <w:rFonts w:hint="eastAsia"/>
        </w:rPr>
        <w:t>后因数值噪声导致大量电子被数值加热到极高温度（</w:t>
      </w:r>
      <w:r>
        <w:t>&gt; 100 keV</w:t>
      </w:r>
      <w:r>
        <w:rPr>
          <w:rFonts w:hint="eastAsia"/>
        </w:rPr>
        <w:t>），这属于非物理效应。</w:t>
      </w:r>
    </w:p>
    <w:p w14:paraId="59FC03F1">
      <w:pPr>
        <w:jc w:val="center"/>
        <w:rPr>
          <w:rFonts w:hint="eastAsia"/>
        </w:rPr>
      </w:pPr>
      <w:r>
        <w:drawing>
          <wp:inline distT="0" distB="0" distL="0" distR="0">
            <wp:extent cx="2426335" cy="173863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2426400" cy="1738800"/>
                    </a:xfrm>
                    <a:prstGeom prst="rect">
                      <a:avLst/>
                    </a:prstGeom>
                    <a:noFill/>
                    <a:ln>
                      <a:noFill/>
                    </a:ln>
                  </pic:spPr>
                </pic:pic>
              </a:graphicData>
            </a:graphic>
          </wp:inline>
        </w:drawing>
      </w:r>
      <w:r>
        <w:drawing>
          <wp:inline distT="0" distB="0" distL="0" distR="0">
            <wp:extent cx="2530475" cy="1734820"/>
            <wp:effectExtent l="0" t="0" r="317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2530800" cy="1735200"/>
                    </a:xfrm>
                    <a:prstGeom prst="rect">
                      <a:avLst/>
                    </a:prstGeom>
                    <a:noFill/>
                    <a:ln>
                      <a:noFill/>
                    </a:ln>
                  </pic:spPr>
                </pic:pic>
              </a:graphicData>
            </a:graphic>
          </wp:inline>
        </w:drawing>
      </w:r>
    </w:p>
    <w:p w14:paraId="59FC03F2">
      <w:pPr>
        <w:pStyle w:val="45"/>
        <w:jc w:val="both"/>
        <w:rPr>
          <w:rFonts w:ascii="Times New Roman" w:eastAsia="宋体"/>
          <w:sz w:val="24"/>
          <w:szCs w:val="24"/>
        </w:rPr>
      </w:pPr>
      <w:r>
        <w:rPr>
          <w:rFonts w:hint="eastAsia" w:ascii="Times New Roman" w:eastAsia="宋体"/>
          <w:sz w:val="24"/>
          <w:szCs w:val="24"/>
        </w:rPr>
        <w:t>在包含碰撞效应的条件下，由（</w:t>
      </w:r>
      <w:r>
        <w:rPr>
          <w:rFonts w:ascii="Times New Roman" w:eastAsia="宋体"/>
          <w:sz w:val="24"/>
          <w:szCs w:val="24"/>
        </w:rPr>
        <w:t>a）PM1D和（b）PIC模拟得到的若干代表性时刻的电子能谱。模拟参数与图8相同</w:t>
      </w:r>
      <w:r>
        <w:rPr>
          <w:rFonts w:hint="eastAsia" w:ascii="Times New Roman" w:eastAsia="宋体"/>
          <w:sz w:val="24"/>
          <w:szCs w:val="24"/>
        </w:rPr>
        <w:t>。</w:t>
      </w:r>
    </w:p>
    <w:p w14:paraId="59FC03F3">
      <w:pPr>
        <w:pStyle w:val="49"/>
      </w:pPr>
    </w:p>
    <w:p w14:paraId="59FC03F4">
      <w:pPr>
        <w:pStyle w:val="49"/>
      </w:pPr>
      <w:r>
        <w:rPr>
          <w:rFonts w:hint="eastAsia"/>
        </w:rPr>
        <w:t>值得指出的是，</w:t>
      </w:r>
      <w:r>
        <w:t>碰撞效应对超热电子产生有两方面相反的影响</w:t>
      </w:r>
      <w:r>
        <w:rPr>
          <w:rFonts w:hint="eastAsia"/>
        </w:rPr>
        <w:t>：一方面，碰撞阻尼会耗散</w:t>
      </w:r>
      <w:r>
        <w:t>EPW</w:t>
      </w:r>
      <w:r>
        <w:rPr>
          <w:rFonts w:hint="eastAsia"/>
        </w:rPr>
        <w:t>能量，降低</w:t>
      </w:r>
      <w:r>
        <w:t>EPW</w:t>
      </w:r>
      <w:r>
        <w:rPr>
          <w:rFonts w:hint="eastAsia"/>
        </w:rPr>
        <w:t>振幅，从而减少由</w:t>
      </w:r>
      <w:r>
        <w:t>EPW</w:t>
      </w:r>
      <w:r>
        <w:rPr>
          <w:rFonts w:hint="eastAsia"/>
        </w:rPr>
        <w:t>破裂和加速产生的超热电子数量。另一方面，碰撞加热使等离子体温度升高，增强了</w:t>
      </w:r>
      <w:r>
        <w:t>Landau</w:t>
      </w:r>
      <w:r>
        <w:rPr>
          <w:rFonts w:hint="eastAsia"/>
        </w:rPr>
        <w:t>阻尼，使</w:t>
      </w:r>
      <w:r>
        <w:t>EPW</w:t>
      </w:r>
      <w:r>
        <w:rPr>
          <w:rFonts w:hint="eastAsia"/>
        </w:rPr>
        <w:t>能量更高效地转化为电子动能，从而可能产生更多超热电子。此外，温度升高还使</w:t>
      </w:r>
      <w:r>
        <w:t>EPW</w:t>
      </w:r>
      <w:r>
        <w:rPr>
          <w:rFonts w:hint="eastAsia"/>
        </w:rPr>
        <w:t>频率发生变化，这为</w:t>
      </w:r>
      <w:r>
        <w:t>SRS</w:t>
      </w:r>
      <w:r>
        <w:rPr>
          <w:rFonts w:hint="eastAsia"/>
        </w:rPr>
        <w:t>持续增长提供了更长时间窗口，进而产生更多超热电子。</w:t>
      </w:r>
    </w:p>
    <w:p w14:paraId="59FC03F5">
      <w:pPr>
        <w:pStyle w:val="49"/>
      </w:pPr>
      <w:r>
        <w:rPr>
          <w:rFonts w:hint="eastAsia"/>
        </w:rPr>
        <w:t>综上，我们在</w:t>
      </w:r>
      <w:r>
        <w:t>PM1D/PM2D</w:t>
      </w:r>
      <w:r>
        <w:rPr>
          <w:rFonts w:hint="eastAsia"/>
        </w:rPr>
        <w:t>程序中成功构建了一套自洽处理碰撞效应的物理模块，涵盖了激光碰撞吸收、</w:t>
      </w:r>
      <w:r>
        <w:t>EPW</w:t>
      </w:r>
      <w:r>
        <w:rPr>
          <w:rFonts w:hint="eastAsia"/>
        </w:rPr>
        <w:t>和</w:t>
      </w:r>
      <w:r>
        <w:t>IAW</w:t>
      </w:r>
      <w:r>
        <w:rPr>
          <w:rFonts w:hint="eastAsia"/>
        </w:rPr>
        <w:t>碰撞阻尼、电子</w:t>
      </w:r>
      <w:r>
        <w:t>-</w:t>
      </w:r>
      <w:r>
        <w:rPr>
          <w:rFonts w:hint="eastAsia"/>
        </w:rPr>
        <w:t>离子热平衡及温度演化。大量基准测试验证了其在宽参数范围内的准确性；并且获得了以下新物理认知：1）</w:t>
      </w:r>
      <w:r>
        <w:t>碰撞阻尼对SRS影响较弱</w:t>
      </w:r>
      <w:r>
        <w:rPr>
          <w:rFonts w:hint="eastAsia"/>
        </w:rPr>
        <w:t>（增长率下降</w:t>
      </w:r>
      <w:r>
        <w:t xml:space="preserve"> &lt; 4%</w:t>
      </w:r>
      <w:r>
        <w:rPr>
          <w:rFonts w:hint="eastAsia"/>
        </w:rPr>
        <w:t>），而对</w:t>
      </w:r>
      <w:r>
        <w:t>SBS</w:t>
      </w:r>
      <w:r>
        <w:rPr>
          <w:rFonts w:hint="eastAsia"/>
        </w:rPr>
        <w:t>影响显著（增长率下降约</w:t>
      </w:r>
      <w:r>
        <w:t>10%</w:t>
      </w:r>
      <w:r>
        <w:rPr>
          <w:rFonts w:hint="eastAsia"/>
        </w:rPr>
        <w:t>，反射率下降</w:t>
      </w:r>
      <w:r>
        <w:t>79%</w:t>
      </w:r>
      <w:r>
        <w:rPr>
          <w:rFonts w:hint="eastAsia"/>
        </w:rPr>
        <w:t>）；2）</w:t>
      </w:r>
      <w:r>
        <w:t>碰撞加热驱动SRS频谱持续红移</w:t>
      </w:r>
      <w:r>
        <w:rPr>
          <w:rFonts w:hint="eastAsia"/>
        </w:rPr>
        <w:t>（从</w:t>
      </w:r>
      <w:r>
        <w:t>0.64ω₀</w:t>
      </w:r>
      <w:r>
        <w:rPr>
          <w:rFonts w:hint="eastAsia"/>
        </w:rPr>
        <w:t>降至</w:t>
      </w:r>
      <w:r>
        <w:t>0.53ω₀</w:t>
      </w:r>
      <w:r>
        <w:rPr>
          <w:rFonts w:hint="eastAsia"/>
        </w:rPr>
        <w:t>），为实验观测提供了新解释；3）</w:t>
      </w:r>
      <w:r>
        <w:t>碰撞效应使总吸收率提升202%</w:t>
      </w:r>
      <w:r>
        <w:rPr>
          <w:rFonts w:hint="eastAsia"/>
        </w:rPr>
        <w:t>（从</w:t>
      </w:r>
      <w:r>
        <w:t>0.84%</w:t>
      </w:r>
      <w:r>
        <w:rPr>
          <w:rFonts w:hint="eastAsia"/>
        </w:rPr>
        <w:t>升至</w:t>
      </w:r>
      <w:r>
        <w:t>2.54%</w:t>
      </w:r>
      <w:r>
        <w:rPr>
          <w:rFonts w:hint="eastAsia"/>
        </w:rPr>
        <w:t>），尽管</w:t>
      </w:r>
      <w:r>
        <w:t>SBS</w:t>
      </w:r>
      <w:r>
        <w:rPr>
          <w:rFonts w:hint="eastAsia"/>
        </w:rPr>
        <w:t>被抑制，但</w:t>
      </w:r>
      <w:r>
        <w:t>SRS</w:t>
      </w:r>
      <w:r>
        <w:rPr>
          <w:rFonts w:hint="eastAsia"/>
        </w:rPr>
        <w:t>反射率因温度升高反而增加（从</w:t>
      </w:r>
      <w:r>
        <w:t>1.73%</w:t>
      </w:r>
      <w:r>
        <w:rPr>
          <w:rFonts w:hint="eastAsia"/>
        </w:rPr>
        <w:t>升至</w:t>
      </w:r>
      <w:r>
        <w:t>2.80%</w:t>
      </w:r>
      <w:r>
        <w:rPr>
          <w:rFonts w:hint="eastAsia"/>
        </w:rPr>
        <w:t>）；4）</w:t>
      </w:r>
      <w:r>
        <w:t>碰撞效应</w:t>
      </w:r>
      <w:r>
        <w:rPr>
          <w:rFonts w:hint="eastAsia"/>
        </w:rPr>
        <w:t>可能</w:t>
      </w:r>
      <w:r>
        <w:t>增强超热电子产生</w:t>
      </w:r>
      <w:r>
        <w:rPr>
          <w:rFonts w:hint="eastAsia"/>
        </w:rPr>
        <w:t>，这对</w:t>
      </w:r>
      <w:r>
        <w:t>ICF</w:t>
      </w:r>
      <w:r>
        <w:rPr>
          <w:rFonts w:hint="eastAsia"/>
        </w:rPr>
        <w:t>内爆设计具有警示意义。本工作为研究碰撞与</w:t>
      </w:r>
      <w:r>
        <w:t>LPIs</w:t>
      </w:r>
      <w:r>
        <w:rPr>
          <w:rFonts w:hint="eastAsia"/>
        </w:rPr>
        <w:t>的复杂相互作用提供了高效、可靠的动理学模拟平台。</w:t>
      </w:r>
    </w:p>
    <w:p w14:paraId="59FC03F6">
      <w:pPr>
        <w:spacing w:line="520" w:lineRule="exact"/>
        <w:rPr>
          <w:rFonts w:hint="eastAsia" w:ascii="宋体" w:hAnsi="宋体" w:eastAsia="宋体"/>
          <w:i/>
          <w:iCs/>
          <w:sz w:val="28"/>
          <w:szCs w:val="28"/>
        </w:rPr>
      </w:pPr>
    </w:p>
    <w:p w14:paraId="59FC03F7">
      <w:pPr>
        <w:spacing w:line="520" w:lineRule="exact"/>
        <w:rPr>
          <w:rFonts w:hint="eastAsia" w:ascii="宋体" w:hAnsi="宋体" w:eastAsia="宋体"/>
          <w:b/>
          <w:bCs/>
          <w:sz w:val="28"/>
          <w:szCs w:val="28"/>
        </w:rPr>
      </w:pPr>
      <w:r>
        <w:rPr>
          <w:rFonts w:ascii="宋体" w:hAnsi="宋体" w:eastAsia="宋体"/>
          <w:b/>
          <w:bCs/>
          <w:sz w:val="28"/>
          <w:szCs w:val="28"/>
        </w:rPr>
        <w:t>（2）任务 2：</w:t>
      </w:r>
      <w:r>
        <w:rPr>
          <w:rFonts w:hint="eastAsia" w:ascii="宋体" w:hAnsi="宋体" w:eastAsia="宋体"/>
          <w:b/>
          <w:bCs/>
          <w:sz w:val="28"/>
          <w:szCs w:val="28"/>
        </w:rPr>
        <w:t>多组份等离子体中碰撞效应对LPI影响的研究</w:t>
      </w:r>
    </w:p>
    <w:p w14:paraId="59FC03F8">
      <w:pPr>
        <w:spacing w:line="520" w:lineRule="exact"/>
        <w:rPr>
          <w:rFonts w:hint="eastAsia" w:ascii="宋体" w:hAnsi="宋体" w:eastAsia="宋体"/>
          <w:i/>
          <w:iCs/>
          <w:sz w:val="28"/>
          <w:szCs w:val="28"/>
        </w:rPr>
      </w:pPr>
      <w:r>
        <w:rPr>
          <w:rFonts w:ascii="宋体" w:hAnsi="宋体" w:eastAsia="宋体"/>
          <w:i/>
          <w:iCs/>
          <w:sz w:val="28"/>
          <w:szCs w:val="28"/>
        </w:rPr>
        <w:t>（完成情况）</w:t>
      </w:r>
    </w:p>
    <w:p w14:paraId="59FC03F9">
      <w:pPr>
        <w:pStyle w:val="44"/>
        <w:spacing w:after="160" w:line="520" w:lineRule="exact"/>
        <w:ind w:firstLine="420" w:firstLineChars="0"/>
        <w:rPr>
          <w:rFonts w:ascii="Times New Roman"/>
          <w:szCs w:val="28"/>
        </w:rPr>
      </w:pPr>
      <w:r>
        <w:rPr>
          <w:rFonts w:hint="eastAsia" w:ascii="Times New Roman"/>
          <w:szCs w:val="28"/>
        </w:rPr>
        <w:t>在间接驱动或混合驱动点火方案中，黑腔内的等离子体组分来源复杂：可能包含腔内的低</w:t>
      </w:r>
      <w:r>
        <w:rPr>
          <w:rFonts w:ascii="Times New Roman"/>
          <w:szCs w:val="28"/>
        </w:rPr>
        <w:t>Z填充气体、腔壁烧蚀产生的高Z材料，以及靶丸向外飞散的中</w:t>
      </w:r>
      <w:r>
        <w:rPr>
          <w:rFonts w:hint="eastAsia" w:ascii="Times New Roman"/>
          <w:szCs w:val="28"/>
        </w:rPr>
        <w:t>低</w:t>
      </w:r>
      <w:r>
        <w:rPr>
          <w:rFonts w:ascii="Times New Roman"/>
          <w:szCs w:val="28"/>
        </w:rPr>
        <w:t>Z等离子体。因此，实际黑腔等离子体通常具有丰富的离子成分，不同离子组分的电离度、质量数和温度分布各异，将直接影响SBS所激发离子声波（IAW）的色散模式和阻尼特性。</w:t>
      </w:r>
    </w:p>
    <w:p w14:paraId="59FC03FA">
      <w:pPr>
        <w:pStyle w:val="44"/>
        <w:spacing w:after="160" w:line="520" w:lineRule="exact"/>
        <w:ind w:firstLine="420" w:firstLineChars="0"/>
        <w:rPr>
          <w:rFonts w:ascii="Times New Roman"/>
          <w:szCs w:val="28"/>
        </w:rPr>
      </w:pPr>
      <w:r>
        <w:rPr>
          <w:rFonts w:ascii="Times New Roman"/>
          <w:szCs w:val="28"/>
        </w:rPr>
        <w:t>依据</w:t>
      </w:r>
      <w:r>
        <w:rPr>
          <w:rFonts w:hint="eastAsia" w:ascii="Times New Roman"/>
          <w:szCs w:val="28"/>
        </w:rPr>
        <w:t>Vlaso</w:t>
      </w:r>
      <w:r>
        <w:rPr>
          <w:rFonts w:ascii="Times New Roman"/>
          <w:szCs w:val="28"/>
        </w:rPr>
        <w:t>v方程</w:t>
      </w:r>
      <w:r>
        <w:rPr>
          <w:rFonts w:hint="eastAsia" w:ascii="Times New Roman"/>
          <w:szCs w:val="28"/>
        </w:rPr>
        <w:t>，</w:t>
      </w:r>
      <w:r>
        <w:rPr>
          <w:rFonts w:ascii="Times New Roman"/>
          <w:szCs w:val="28"/>
        </w:rPr>
        <w:t>多</w:t>
      </w:r>
      <w:r>
        <w:rPr>
          <w:rFonts w:hint="eastAsia" w:ascii="Times New Roman"/>
          <w:szCs w:val="28"/>
        </w:rPr>
        <w:t>组份</w:t>
      </w:r>
      <w:r>
        <w:rPr>
          <w:rFonts w:ascii="Times New Roman"/>
          <w:szCs w:val="28"/>
        </w:rPr>
        <w:t>等离子体中IAW</w:t>
      </w:r>
      <w:r>
        <w:rPr>
          <w:rFonts w:hint="eastAsia" w:ascii="Times New Roman"/>
          <w:szCs w:val="28"/>
        </w:rPr>
        <w:t>的</w:t>
      </w:r>
      <w:r>
        <w:rPr>
          <w:rFonts w:ascii="Times New Roman"/>
          <w:szCs w:val="28"/>
        </w:rPr>
        <w:t>色散</w:t>
      </w:r>
      <w:r>
        <w:rPr>
          <w:rFonts w:hint="eastAsia" w:ascii="Times New Roman"/>
          <w:szCs w:val="28"/>
        </w:rPr>
        <w:t>关系可表示为</w:t>
      </w:r>
      <w:r>
        <w:rPr>
          <w:rFonts w:ascii="Times New Roman"/>
          <w:szCs w:val="28"/>
        </w:rPr>
        <w:t>：</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
        <w:gridCol w:w="5687"/>
        <w:gridCol w:w="1652"/>
      </w:tblGrid>
      <w:tr w14:paraId="59FC0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9" w:type="dxa"/>
            <w:tcBorders>
              <w:top w:val="nil"/>
              <w:left w:val="nil"/>
              <w:bottom w:val="nil"/>
              <w:right w:val="nil"/>
            </w:tcBorders>
            <w:vAlign w:val="center"/>
          </w:tcPr>
          <w:p w14:paraId="59FC03FB">
            <w:pPr>
              <w:pStyle w:val="44"/>
              <w:ind w:firstLine="560"/>
            </w:pPr>
          </w:p>
        </w:tc>
        <w:tc>
          <w:tcPr>
            <w:tcW w:w="6084" w:type="dxa"/>
            <w:tcBorders>
              <w:top w:val="nil"/>
              <w:left w:val="nil"/>
              <w:bottom w:val="nil"/>
              <w:right w:val="nil"/>
            </w:tcBorders>
            <w:vAlign w:val="center"/>
          </w:tcPr>
          <w:p w14:paraId="59FC03FC">
            <w:pPr>
              <w:pStyle w:val="44"/>
              <w:spacing w:line="276" w:lineRule="auto"/>
              <w:ind w:firstLine="480"/>
              <w:jc w:val="center"/>
            </w:pPr>
            <w:r>
              <w:rPr>
                <w:position w:val="-16"/>
                <w:sz w:val="24"/>
              </w:rPr>
              <w:object>
                <v:shape id="_x0000_i1038" o:spt="75" type="#_x0000_t75" style="height:21.4pt;width:72pt;" o:ole="t" filled="f" o:preferrelative="t" stroked="f" coordsize="21600,21600">
                  <v:path/>
                  <v:fill on="f" focussize="0,0"/>
                  <v:stroke on="f" joinstyle="miter"/>
                  <v:imagedata r:id="rId51" o:title=""/>
                  <o:lock v:ext="edit" aspectratio="t"/>
                  <w10:wrap type="none"/>
                  <w10:anchorlock/>
                </v:shape>
                <o:OLEObject Type="Embed" ProgID="Equation.3" ShapeID="_x0000_i1038" DrawAspect="Content" ObjectID="_1468075738" r:id="rId50">
                  <o:LockedField>false</o:LockedField>
                </o:OLEObject>
              </w:object>
            </w:r>
          </w:p>
        </w:tc>
        <w:tc>
          <w:tcPr>
            <w:tcW w:w="1793" w:type="dxa"/>
            <w:tcBorders>
              <w:top w:val="nil"/>
              <w:left w:val="nil"/>
              <w:bottom w:val="nil"/>
              <w:right w:val="nil"/>
            </w:tcBorders>
            <w:vAlign w:val="center"/>
          </w:tcPr>
          <w:p w14:paraId="59FC03FD">
            <w:pPr>
              <w:pStyle w:val="44"/>
              <w:numPr>
                <w:ilvl w:val="0"/>
                <w:numId w:val="5"/>
              </w:numPr>
              <w:ind w:firstLine="560"/>
            </w:pPr>
          </w:p>
        </w:tc>
      </w:tr>
    </w:tbl>
    <w:p w14:paraId="59FC03FF">
      <w:pPr>
        <w:pStyle w:val="44"/>
        <w:spacing w:after="160" w:line="520" w:lineRule="exact"/>
        <w:ind w:firstLine="0" w:firstLineChars="0"/>
        <w:rPr>
          <w:szCs w:val="28"/>
        </w:rPr>
      </w:pPr>
      <w:r>
        <w:rPr>
          <w:rFonts w:hint="eastAsia"/>
          <w:szCs w:val="28"/>
        </w:rPr>
        <w:t>其中</w:t>
      </w:r>
      <w:r>
        <w:rPr>
          <w:position w:val="-12"/>
          <w:szCs w:val="28"/>
        </w:rPr>
        <w:object>
          <v:shape id="_x0000_i1039" o:spt="75" type="#_x0000_t75" style="height:21.4pt;width:14.65pt;" o:ole="t" filled="f" o:preferrelative="t" stroked="f" coordsize="21600,21600">
            <v:path/>
            <v:fill on="f" focussize="0,0"/>
            <v:stroke on="f" joinstyle="miter"/>
            <v:imagedata r:id="rId53" o:title=""/>
            <o:lock v:ext="edit" aspectratio="t"/>
            <w10:wrap type="none"/>
            <w10:anchorlock/>
          </v:shape>
          <o:OLEObject Type="Embed" ProgID="Equation.3" ShapeID="_x0000_i1039" DrawAspect="Content" ObjectID="_1468075739" r:id="rId52">
            <o:LockedField>false</o:LockedField>
          </o:OLEObject>
        </w:object>
      </w:r>
      <w:r>
        <w:rPr>
          <w:rFonts w:hint="eastAsia"/>
          <w:szCs w:val="28"/>
        </w:rPr>
        <w:t>为第</w:t>
      </w:r>
      <w:r>
        <w:rPr/>
        <w:sym w:font="Symbol" w:char="F061"/>
      </w:r>
      <w:r>
        <w:rPr>
          <w:rFonts w:hint="eastAsia"/>
        </w:rPr>
        <w:t>种</w:t>
      </w:r>
      <w:r>
        <w:rPr>
          <w:rFonts w:hint="eastAsia"/>
          <w:szCs w:val="28"/>
        </w:rPr>
        <w:t>粒子的极化率，在麦克斯韦分布假设下可写作：</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7"/>
        <w:gridCol w:w="5734"/>
        <w:gridCol w:w="1635"/>
      </w:tblGrid>
      <w:tr w14:paraId="59FC0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8" w:type="dxa"/>
            <w:tcBorders>
              <w:top w:val="nil"/>
              <w:left w:val="nil"/>
              <w:bottom w:val="nil"/>
              <w:right w:val="nil"/>
            </w:tcBorders>
            <w:vAlign w:val="center"/>
          </w:tcPr>
          <w:p w14:paraId="59FC0400">
            <w:pPr>
              <w:pStyle w:val="44"/>
              <w:ind w:firstLine="560"/>
            </w:pPr>
          </w:p>
        </w:tc>
        <w:tc>
          <w:tcPr>
            <w:tcW w:w="5740" w:type="dxa"/>
            <w:tcBorders>
              <w:top w:val="nil"/>
              <w:left w:val="nil"/>
              <w:bottom w:val="nil"/>
              <w:right w:val="nil"/>
            </w:tcBorders>
            <w:vAlign w:val="center"/>
          </w:tcPr>
          <w:p w14:paraId="59FC0401">
            <w:pPr>
              <w:pStyle w:val="44"/>
              <w:spacing w:line="276" w:lineRule="auto"/>
              <w:ind w:firstLine="480"/>
              <w:jc w:val="center"/>
              <w:rPr>
                <w:position w:val="-10"/>
                <w:sz w:val="24"/>
              </w:rPr>
            </w:pPr>
            <w:r>
              <w:rPr>
                <w:position w:val="-30"/>
                <w:sz w:val="24"/>
              </w:rPr>
              <w:object>
                <v:shape id="_x0000_i1040" o:spt="75" type="#_x0000_t75" style="height:36pt;width:129.4pt;" o:ole="t" filled="f" o:preferrelative="t" stroked="f" coordsize="21600,21600">
                  <v:path/>
                  <v:fill on="f" focussize="0,0"/>
                  <v:stroke on="f" joinstyle="miter"/>
                  <v:imagedata r:id="rId55" o:title=""/>
                  <o:lock v:ext="edit" aspectratio="t"/>
                  <w10:wrap type="none"/>
                  <w10:anchorlock/>
                </v:shape>
                <o:OLEObject Type="Embed" ProgID="Equation.3" ShapeID="_x0000_i1040" DrawAspect="Content" ObjectID="_1468075740" r:id="rId54">
                  <o:LockedField>false</o:LockedField>
                </o:OLEObject>
              </w:object>
            </w:r>
          </w:p>
          <w:p w14:paraId="59FC0402">
            <w:pPr>
              <w:jc w:val="center"/>
              <w:rPr>
                <w:rFonts w:hint="eastAsia"/>
              </w:rPr>
            </w:pPr>
            <w:r>
              <w:rPr>
                <w:position w:val="-30"/>
                <w:sz w:val="24"/>
              </w:rPr>
              <w:object>
                <v:shape id="_x0000_i1041" o:spt="75" type="#_x0000_t75" style="height:36pt;width:121.9pt;" o:ole="t" filled="f" o:preferrelative="t" stroked="f" coordsize="21600,21600">
                  <v:path/>
                  <v:fill on="f" focussize="0,0"/>
                  <v:stroke on="f" joinstyle="miter"/>
                  <v:imagedata r:id="rId57" o:title=""/>
                  <o:lock v:ext="edit" aspectratio="t"/>
                  <w10:wrap type="none"/>
                  <w10:anchorlock/>
                </v:shape>
                <o:OLEObject Type="Embed" ProgID="Equation.3" ShapeID="_x0000_i1041" DrawAspect="Content" ObjectID="_1468075741" r:id="rId56">
                  <o:LockedField>false</o:LockedField>
                </o:OLEObject>
              </w:object>
            </w:r>
          </w:p>
        </w:tc>
        <w:tc>
          <w:tcPr>
            <w:tcW w:w="1638" w:type="dxa"/>
            <w:tcBorders>
              <w:top w:val="nil"/>
              <w:left w:val="nil"/>
              <w:bottom w:val="nil"/>
              <w:right w:val="nil"/>
            </w:tcBorders>
            <w:vAlign w:val="center"/>
          </w:tcPr>
          <w:p w14:paraId="59FC0403">
            <w:pPr>
              <w:pStyle w:val="44"/>
              <w:numPr>
                <w:ilvl w:val="0"/>
                <w:numId w:val="5"/>
              </w:numPr>
              <w:ind w:firstLine="560"/>
            </w:pPr>
          </w:p>
        </w:tc>
      </w:tr>
    </w:tbl>
    <w:p w14:paraId="59FC0405">
      <w:pPr>
        <w:pStyle w:val="44"/>
        <w:spacing w:after="160" w:line="520" w:lineRule="exact"/>
        <w:ind w:firstLine="0" w:firstLineChars="0"/>
        <w:rPr>
          <w:rFonts w:ascii="Times New Roman"/>
          <w:szCs w:val="28"/>
        </w:rPr>
      </w:pPr>
      <w:r>
        <w:rPr>
          <w:rFonts w:ascii="Times New Roman"/>
          <w:szCs w:val="28"/>
        </w:rPr>
        <w:t>其中</w:t>
      </w:r>
      <w:r>
        <w:rPr>
          <w:rFonts w:ascii="Times New Roman"/>
          <w:position w:val="-12"/>
          <w:szCs w:val="28"/>
        </w:rPr>
        <w:object>
          <v:shape id="_x0000_i1042" o:spt="75" type="#_x0000_t75" style="height:21.4pt;width:85.9pt;" o:ole="t" filled="f" o:preferrelative="t" stroked="f" coordsize="21600,21600">
            <v:path/>
            <v:fill on="f" focussize="0,0"/>
            <v:stroke on="f" joinstyle="miter"/>
            <v:imagedata r:id="rId59" o:title=""/>
            <o:lock v:ext="edit" aspectratio="t"/>
            <w10:wrap type="none"/>
            <w10:anchorlock/>
          </v:shape>
          <o:OLEObject Type="Embed" ProgID="Equation.3" ShapeID="_x0000_i1042" DrawAspect="Content" ObjectID="_1468075742" r:id="rId58">
            <o:LockedField>false</o:LockedField>
          </o:OLEObject>
        </w:object>
      </w:r>
      <w:r>
        <w:rPr>
          <w:rFonts w:ascii="Times New Roman"/>
          <w:szCs w:val="28"/>
        </w:rPr>
        <w:t>，</w:t>
      </w:r>
      <w:r>
        <w:rPr>
          <w:rFonts w:ascii="Times New Roman"/>
          <w:position w:val="-6"/>
          <w:szCs w:val="28"/>
        </w:rPr>
        <w:object>
          <v:shape id="_x0000_i1043" o:spt="75" type="#_x0000_t75" style="height:7.5pt;width:14.65pt;" o:ole="t" filled="f" o:preferrelative="t" stroked="f" coordsize="21600,21600">
            <v:path/>
            <v:fill on="f" focussize="0,0"/>
            <v:stroke on="f" joinstyle="miter"/>
            <v:imagedata r:id="rId61" o:title=""/>
            <o:lock v:ext="edit" aspectratio="t"/>
            <w10:wrap type="none"/>
            <w10:anchorlock/>
          </v:shape>
          <o:OLEObject Type="Embed" ProgID="Equation.3" ShapeID="_x0000_i1043" DrawAspect="Content" ObjectID="_1468075743" r:id="rId60">
            <o:LockedField>false</o:LockedField>
          </o:OLEObject>
        </w:object>
      </w:r>
      <w:r>
        <w:rPr>
          <w:rFonts w:ascii="Times New Roman"/>
          <w:szCs w:val="28"/>
        </w:rPr>
        <w:t>为复数，包含虚部代表离子声波的朗道阻尼。</w:t>
      </w:r>
    </w:p>
    <w:p w14:paraId="59FC0406">
      <w:pPr>
        <w:pStyle w:val="44"/>
        <w:spacing w:after="160" w:line="520" w:lineRule="exact"/>
        <w:ind w:firstLine="420" w:firstLineChars="0"/>
      </w:pPr>
      <w:r>
        <w:rPr>
          <w:rFonts w:hint="eastAsia" w:ascii="Times New Roman"/>
          <w:szCs w:val="28"/>
        </w:rPr>
        <w:t>在</w:t>
      </w:r>
      <w:r>
        <w:rPr>
          <w:rFonts w:hint="eastAsia"/>
          <w:szCs w:val="28"/>
        </w:rPr>
        <w:t>等离子体参数为电子密度</w:t>
      </w:r>
      <w:r>
        <w:rPr>
          <w:rFonts w:ascii="Times New Roman"/>
          <w:i/>
          <w:iCs/>
          <w:szCs w:val="28"/>
        </w:rPr>
        <w:t>n</w:t>
      </w:r>
      <w:r>
        <w:rPr>
          <w:rFonts w:ascii="Times New Roman"/>
          <w:szCs w:val="28"/>
          <w:vertAlign w:val="subscript"/>
        </w:rPr>
        <w:t>e</w:t>
      </w:r>
      <w:r>
        <w:rPr>
          <w:rFonts w:ascii="Times New Roman"/>
          <w:szCs w:val="28"/>
        </w:rPr>
        <w:t>=0.3</w:t>
      </w:r>
      <w:r>
        <w:rPr>
          <w:rFonts w:ascii="Cambria Math" w:hAnsi="Cambria Math" w:cs="Cambria Math"/>
          <w:szCs w:val="28"/>
        </w:rPr>
        <w:t>𝑛</w:t>
      </w:r>
      <w:r>
        <w:rPr>
          <w:rFonts w:ascii="Cambria Math" w:hAnsi="Cambria Math" w:cs="Cambria Math"/>
          <w:szCs w:val="28"/>
          <w:vertAlign w:val="subscript"/>
        </w:rPr>
        <w:t>𝑐</w:t>
      </w:r>
      <w:r>
        <w:rPr>
          <w:szCs w:val="28"/>
        </w:rPr>
        <w:t>，电子温度</w:t>
      </w:r>
      <w:r>
        <w:rPr>
          <w:rFonts w:ascii="Cambria Math" w:hAnsi="Cambria Math" w:cs="Cambria Math"/>
          <w:szCs w:val="28"/>
        </w:rPr>
        <w:t>𝑇</w:t>
      </w:r>
      <w:r>
        <w:rPr>
          <w:rFonts w:ascii="Cambria Math" w:hAnsi="Cambria Math" w:cs="Cambria Math"/>
          <w:szCs w:val="28"/>
          <w:vertAlign w:val="subscript"/>
        </w:rPr>
        <w:t>𝑒</w:t>
      </w:r>
      <w:r>
        <w:rPr>
          <w:szCs w:val="28"/>
        </w:rPr>
        <w:t xml:space="preserve">= </w:t>
      </w:r>
      <w:r>
        <w:rPr>
          <w:rFonts w:ascii="Times New Roman"/>
          <w:szCs w:val="28"/>
        </w:rPr>
        <w:t>2 keV</w:t>
      </w:r>
      <w:r>
        <w:rPr>
          <w:rFonts w:hint="eastAsia"/>
          <w:szCs w:val="28"/>
        </w:rPr>
        <w:t>，离子组分为完全电离的1:1的</w:t>
      </w:r>
      <w:r>
        <w:rPr>
          <w:rFonts w:ascii="Times New Roman"/>
          <w:szCs w:val="28"/>
        </w:rPr>
        <w:t>H</w:t>
      </w:r>
      <w:r>
        <w:rPr>
          <w:rFonts w:hint="eastAsia" w:ascii="Times New Roman"/>
          <w:szCs w:val="28"/>
        </w:rPr>
        <w:t>-</w:t>
      </w:r>
      <w:r>
        <w:rPr>
          <w:rFonts w:ascii="Times New Roman"/>
          <w:szCs w:val="28"/>
        </w:rPr>
        <w:t>He</w:t>
      </w:r>
      <w:r>
        <w:rPr>
          <w:rFonts w:hint="eastAsia"/>
          <w:szCs w:val="28"/>
        </w:rPr>
        <w:t>混合，且具有相同温度</w:t>
      </w:r>
      <w:r>
        <w:rPr>
          <w:rFonts w:ascii="Cambria Math" w:hAnsi="Cambria Math" w:cs="Cambria Math"/>
          <w:szCs w:val="28"/>
        </w:rPr>
        <w:t>𝑇</w:t>
      </w:r>
      <w:r>
        <w:rPr>
          <w:rFonts w:hint="eastAsia" w:ascii="Cambria Math" w:hAnsi="Cambria Math" w:cs="Cambria Math"/>
          <w:szCs w:val="28"/>
          <w:vertAlign w:val="subscript"/>
        </w:rPr>
        <w:t>H</w:t>
      </w:r>
      <w:r>
        <w:rPr>
          <w:szCs w:val="28"/>
        </w:rPr>
        <w:t>=</w:t>
      </w:r>
      <w:r>
        <w:rPr>
          <w:rFonts w:hint="eastAsia"/>
          <w:szCs w:val="28"/>
        </w:rPr>
        <w:t xml:space="preserve"> </w:t>
      </w:r>
      <w:r>
        <w:rPr>
          <w:rFonts w:ascii="Cambria Math" w:hAnsi="Cambria Math" w:cs="Cambria Math"/>
          <w:szCs w:val="28"/>
        </w:rPr>
        <w:t>𝑇</w:t>
      </w:r>
      <w:r>
        <w:rPr>
          <w:rFonts w:hint="eastAsia" w:ascii="Cambria Math" w:hAnsi="Cambria Math" w:cs="Cambria Math"/>
          <w:szCs w:val="28"/>
          <w:vertAlign w:val="subscript"/>
        </w:rPr>
        <w:t>He</w:t>
      </w:r>
      <w:r>
        <w:rPr>
          <w:rFonts w:hint="eastAsia"/>
          <w:szCs w:val="28"/>
        </w:rPr>
        <w:t xml:space="preserve">= </w:t>
      </w:r>
      <w:r>
        <w:rPr>
          <w:rFonts w:ascii="Times New Roman"/>
          <w:szCs w:val="28"/>
        </w:rPr>
        <w:t>1 keV</w:t>
      </w:r>
      <w:r>
        <w:rPr>
          <w:rFonts w:hint="eastAsia" w:ascii="Times New Roman"/>
          <w:szCs w:val="28"/>
        </w:rPr>
        <w:t>条件下，对上述色散方程进行数值求解，可计算得到IAW模式，结果如图1</w:t>
      </w:r>
      <w:r>
        <w:rPr>
          <w:rFonts w:ascii="Times New Roman"/>
          <w:szCs w:val="28"/>
        </w:rPr>
        <w:t>0</w:t>
      </w:r>
      <w:r>
        <w:rPr>
          <w:rFonts w:hint="eastAsia" w:ascii="Times New Roman"/>
          <w:szCs w:val="28"/>
        </w:rPr>
        <w:t>所示。</w:t>
      </w:r>
      <w:r>
        <w:rPr>
          <w:rFonts w:ascii="Times New Roman"/>
          <w:szCs w:val="28"/>
        </w:rPr>
        <w:t>与单一组分等离子体不同，对于多离子组分等离子体，色散方程将求解出快模式与慢模式两支可被激发的离子声波模式，而SBS过程通常会与其中阻尼较小的离子声波模式发生共振并激发散射光。</w:t>
      </w:r>
    </w:p>
    <w:p w14:paraId="59FC0407">
      <w:pPr>
        <w:jc w:val="center"/>
        <w:rPr>
          <w:rFonts w:hint="eastAsia" w:eastAsia="宋体"/>
        </w:rPr>
      </w:pPr>
      <w:r>
        <w:drawing>
          <wp:inline distT="0" distB="0" distL="114300" distR="114300">
            <wp:extent cx="2399665" cy="1799590"/>
            <wp:effectExtent l="0" t="0" r="0" b="10160"/>
            <wp:docPr id="59"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8"/>
                    <pic:cNvPicPr>
                      <a:picLocks noChangeAspect="1"/>
                    </pic:cNvPicPr>
                  </pic:nvPicPr>
                  <pic:blipFill>
                    <a:blip r:embed="rId62"/>
                    <a:stretch>
                      <a:fillRect/>
                    </a:stretch>
                  </pic:blipFill>
                  <pic:spPr>
                    <a:xfrm>
                      <a:off x="0" y="0"/>
                      <a:ext cx="2400000" cy="1800000"/>
                    </a:xfrm>
                    <a:prstGeom prst="rect">
                      <a:avLst/>
                    </a:prstGeom>
                  </pic:spPr>
                </pic:pic>
              </a:graphicData>
            </a:graphic>
          </wp:inline>
        </w:drawing>
      </w:r>
      <w:r>
        <w:rPr>
          <w:rFonts w:hint="eastAsia"/>
        </w:rPr>
        <w:t xml:space="preserve"> </w:t>
      </w:r>
      <w:r>
        <w:drawing>
          <wp:inline distT="0" distB="0" distL="114300" distR="114300">
            <wp:extent cx="2399665" cy="1799590"/>
            <wp:effectExtent l="0" t="0" r="0" b="10160"/>
            <wp:docPr id="58"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7"/>
                    <pic:cNvPicPr>
                      <a:picLocks noChangeAspect="1"/>
                    </pic:cNvPicPr>
                  </pic:nvPicPr>
                  <pic:blipFill>
                    <a:blip r:embed="rId63"/>
                    <a:stretch>
                      <a:fillRect/>
                    </a:stretch>
                  </pic:blipFill>
                  <pic:spPr>
                    <a:xfrm>
                      <a:off x="0" y="0"/>
                      <a:ext cx="2400000" cy="1800000"/>
                    </a:xfrm>
                    <a:prstGeom prst="rect">
                      <a:avLst/>
                    </a:prstGeom>
                  </pic:spPr>
                </pic:pic>
              </a:graphicData>
            </a:graphic>
          </wp:inline>
        </w:drawing>
      </w:r>
    </w:p>
    <w:p w14:paraId="59FC0408">
      <w:pPr>
        <w:pStyle w:val="45"/>
        <w:jc w:val="both"/>
        <w:rPr>
          <w:rFonts w:ascii="Times New Roman" w:eastAsia="宋体"/>
          <w:sz w:val="24"/>
          <w:szCs w:val="24"/>
        </w:rPr>
      </w:pPr>
      <w:r>
        <w:rPr>
          <w:rFonts w:hint="eastAsia" w:ascii="Times New Roman" w:eastAsia="宋体"/>
          <w:sz w:val="24"/>
          <w:szCs w:val="24"/>
        </w:rPr>
        <w:t>平均电离态(左图)与多离子组份(右图)描述下的IAW模式解。</w:t>
      </w:r>
    </w:p>
    <w:p w14:paraId="59FC0409">
      <w:pPr>
        <w:pStyle w:val="44"/>
        <w:spacing w:after="160" w:line="520" w:lineRule="exact"/>
        <w:ind w:firstLine="420" w:firstLineChars="0"/>
        <w:rPr>
          <w:rFonts w:ascii="Times New Roman"/>
          <w:szCs w:val="28"/>
        </w:rPr>
      </w:pPr>
    </w:p>
    <w:p w14:paraId="59FC040A">
      <w:pPr>
        <w:pStyle w:val="44"/>
        <w:spacing w:after="160" w:line="520" w:lineRule="exact"/>
        <w:ind w:firstLine="420" w:firstLineChars="0"/>
        <w:rPr>
          <w:szCs w:val="28"/>
        </w:rPr>
      </w:pPr>
      <w:r>
        <w:rPr>
          <w:rFonts w:hint="eastAsia" w:ascii="Times New Roman"/>
          <w:szCs w:val="28"/>
        </w:rPr>
        <w:t>使用自主研发的包含碰撞效应模块的粒子-网格(</w:t>
      </w:r>
      <w:r>
        <w:rPr>
          <w:rFonts w:ascii="Times New Roman"/>
          <w:szCs w:val="28"/>
        </w:rPr>
        <w:t>PM</w:t>
      </w:r>
      <w:r>
        <w:rPr>
          <w:rFonts w:hint="eastAsia" w:ascii="Times New Roman"/>
          <w:szCs w:val="28"/>
        </w:rPr>
        <w:t>)</w:t>
      </w:r>
      <w:r>
        <w:rPr>
          <w:rFonts w:ascii="Times New Roman"/>
          <w:szCs w:val="28"/>
        </w:rPr>
        <w:t>程序</w:t>
      </w:r>
      <w:r>
        <w:rPr>
          <w:rFonts w:hint="eastAsia" w:ascii="Times New Roman"/>
          <w:szCs w:val="28"/>
        </w:rPr>
        <w:t>（该程序的碰撞模型已在任务</w:t>
      </w:r>
      <w:r>
        <w:rPr>
          <w:rFonts w:ascii="Times New Roman"/>
          <w:szCs w:val="28"/>
        </w:rPr>
        <w:t>1中详述</w:t>
      </w:r>
      <w:r>
        <w:rPr>
          <w:rFonts w:hint="eastAsia" w:ascii="Times New Roman"/>
          <w:szCs w:val="28"/>
        </w:rPr>
        <w:t>），我们</w:t>
      </w:r>
      <w:r>
        <w:rPr>
          <w:rFonts w:ascii="Times New Roman"/>
          <w:szCs w:val="28"/>
        </w:rPr>
        <w:t>开展</w:t>
      </w:r>
      <w:r>
        <w:rPr>
          <w:rFonts w:hint="eastAsia" w:ascii="Times New Roman"/>
          <w:szCs w:val="28"/>
        </w:rPr>
        <w:t>了</w:t>
      </w:r>
      <w:r>
        <w:rPr>
          <w:rFonts w:ascii="Times New Roman"/>
          <w:szCs w:val="28"/>
        </w:rPr>
        <w:t>多离子组分</w:t>
      </w:r>
      <w:r>
        <w:rPr>
          <w:rFonts w:hint="eastAsia" w:ascii="Times New Roman"/>
          <w:szCs w:val="28"/>
        </w:rPr>
        <w:t>等离子体中的</w:t>
      </w:r>
      <w:r>
        <w:rPr>
          <w:rFonts w:ascii="Times New Roman"/>
          <w:szCs w:val="28"/>
        </w:rPr>
        <w:t>SBS</w:t>
      </w:r>
      <w:r>
        <w:rPr>
          <w:rFonts w:hint="eastAsia" w:ascii="Times New Roman"/>
          <w:szCs w:val="28"/>
        </w:rPr>
        <w:t>等LPI过程的</w:t>
      </w:r>
      <w:r>
        <w:rPr>
          <w:rFonts w:ascii="Times New Roman"/>
          <w:szCs w:val="28"/>
        </w:rPr>
        <w:t>模拟</w:t>
      </w:r>
      <w:r>
        <w:rPr>
          <w:rFonts w:hint="eastAsia" w:ascii="Times New Roman"/>
          <w:szCs w:val="28"/>
        </w:rPr>
        <w:t>研究</w:t>
      </w:r>
      <w:r>
        <w:rPr>
          <w:rFonts w:hint="eastAsia"/>
          <w:szCs w:val="28"/>
        </w:rPr>
        <w:t>，设置激光强度为</w:t>
      </w:r>
      <w:r>
        <w:rPr>
          <w:rFonts w:ascii="Cambria Math" w:hAnsi="Cambria Math" w:cs="Cambria Math"/>
          <w:szCs w:val="28"/>
        </w:rPr>
        <w:t>𝐼</w:t>
      </w:r>
      <w:r>
        <w:rPr>
          <w:rFonts w:ascii="Times New Roman"/>
          <w:szCs w:val="28"/>
          <w:vertAlign w:val="subscript"/>
        </w:rPr>
        <w:t>0</w:t>
      </w:r>
      <w:r>
        <w:rPr>
          <w:szCs w:val="28"/>
        </w:rPr>
        <w:t xml:space="preserve"> </w:t>
      </w:r>
      <w:r>
        <w:rPr>
          <w:rFonts w:ascii="Times New Roman"/>
          <w:szCs w:val="28"/>
        </w:rPr>
        <w:t>= 1.0 × 10</w:t>
      </w:r>
      <w:r>
        <w:rPr>
          <w:rFonts w:ascii="Times New Roman"/>
          <w:szCs w:val="28"/>
          <w:vertAlign w:val="superscript"/>
        </w:rPr>
        <w:t>15</w:t>
      </w:r>
      <w:r>
        <w:rPr>
          <w:rFonts w:ascii="Times New Roman"/>
          <w:szCs w:val="28"/>
        </w:rPr>
        <w:t xml:space="preserve"> W/cm</w:t>
      </w:r>
      <w:r>
        <w:rPr>
          <w:szCs w:val="28"/>
          <w:vertAlign w:val="superscript"/>
        </w:rPr>
        <w:t>2</w:t>
      </w:r>
      <w:r>
        <w:rPr>
          <w:rFonts w:hint="eastAsia"/>
          <w:szCs w:val="28"/>
        </w:rPr>
        <w:t>，等离子体参数与图</w:t>
      </w:r>
      <w:r>
        <w:rPr>
          <w:rFonts w:ascii="Times New Roman"/>
          <w:szCs w:val="28"/>
        </w:rPr>
        <w:t>10</w:t>
      </w:r>
      <w:r>
        <w:rPr>
          <w:rFonts w:hint="eastAsia" w:ascii="Times New Roman"/>
          <w:szCs w:val="28"/>
        </w:rPr>
        <w:t>相同</w:t>
      </w:r>
      <w:r>
        <w:rPr>
          <w:rFonts w:hint="eastAsia"/>
          <w:szCs w:val="28"/>
        </w:rPr>
        <w:t>，改变等离子体中</w:t>
      </w:r>
      <w:r>
        <w:rPr>
          <w:rFonts w:ascii="Times New Roman"/>
          <w:szCs w:val="28"/>
        </w:rPr>
        <w:t>H、He</w:t>
      </w:r>
      <w:r>
        <w:rPr>
          <w:rFonts w:hint="eastAsia"/>
          <w:szCs w:val="28"/>
        </w:rPr>
        <w:t>离子比例，</w:t>
      </w:r>
      <w:r>
        <w:rPr>
          <w:rFonts w:ascii="Times New Roman"/>
          <w:szCs w:val="28"/>
        </w:rPr>
        <w:t>模拟结果如图11所示。</w:t>
      </w:r>
      <w:r>
        <w:rPr>
          <w:rFonts w:hint="eastAsia" w:ascii="Times New Roman"/>
          <w:szCs w:val="28"/>
        </w:rPr>
        <w:t>图1</w:t>
      </w:r>
      <w:r>
        <w:rPr>
          <w:rFonts w:ascii="Times New Roman"/>
          <w:szCs w:val="28"/>
        </w:rPr>
        <w:t>1(a)和</w:t>
      </w:r>
      <w:r>
        <w:rPr>
          <w:rFonts w:hint="eastAsia" w:ascii="Times New Roman"/>
          <w:szCs w:val="28"/>
        </w:rPr>
        <w:t>1</w:t>
      </w:r>
      <w:r>
        <w:rPr>
          <w:rFonts w:ascii="Times New Roman"/>
          <w:szCs w:val="28"/>
        </w:rPr>
        <w:t>1(b)分别</w:t>
      </w:r>
      <w:r>
        <w:rPr>
          <w:rFonts w:hint="eastAsia"/>
          <w:szCs w:val="28"/>
        </w:rPr>
        <w:t>为</w:t>
      </w:r>
      <w:r>
        <w:rPr>
          <w:rFonts w:ascii="Times New Roman"/>
          <w:szCs w:val="28"/>
        </w:rPr>
        <w:t>H</w:t>
      </w:r>
      <w:r>
        <w:rPr>
          <w:rFonts w:hint="eastAsia"/>
          <w:szCs w:val="28"/>
        </w:rPr>
        <w:t>离子组分占比</w:t>
      </w:r>
      <w:r>
        <w:rPr>
          <w:rFonts w:ascii="Cambria Math" w:hAnsi="Cambria Math" w:cs="Cambria Math"/>
          <w:szCs w:val="28"/>
        </w:rPr>
        <w:t>𝑛</w:t>
      </w:r>
      <w:r>
        <w:rPr>
          <w:rFonts w:hint="eastAsia" w:ascii="Cambria Math" w:hAnsi="Cambria Math" w:cs="Cambria Math"/>
          <w:szCs w:val="28"/>
          <w:vertAlign w:val="subscript"/>
        </w:rPr>
        <w:t>H</w:t>
      </w:r>
      <w:r>
        <w:rPr>
          <w:rFonts w:hint="eastAsia"/>
          <w:szCs w:val="28"/>
        </w:rPr>
        <w:t>/(</w:t>
      </w:r>
      <w:r>
        <w:rPr>
          <w:rFonts w:ascii="Cambria Math" w:hAnsi="Cambria Math" w:cs="Cambria Math"/>
          <w:szCs w:val="28"/>
        </w:rPr>
        <w:t>𝑛</w:t>
      </w:r>
      <w:r>
        <w:rPr>
          <w:rFonts w:hint="eastAsia" w:ascii="Cambria Math" w:hAnsi="Cambria Math" w:cs="Cambria Math"/>
          <w:szCs w:val="28"/>
          <w:vertAlign w:val="subscript"/>
        </w:rPr>
        <w:t>H</w:t>
      </w:r>
      <w:r>
        <w:rPr>
          <w:rFonts w:hint="eastAsia"/>
          <w:szCs w:val="28"/>
        </w:rPr>
        <w:t>+</w:t>
      </w:r>
      <w:r>
        <w:rPr>
          <w:rFonts w:ascii="Cambria Math" w:hAnsi="Cambria Math" w:cs="Cambria Math"/>
          <w:szCs w:val="28"/>
        </w:rPr>
        <w:t>𝑛</w:t>
      </w:r>
      <w:r>
        <w:rPr>
          <w:rFonts w:hint="eastAsia" w:ascii="Cambria Math" w:hAnsi="Cambria Math" w:cs="Cambria Math"/>
          <w:szCs w:val="28"/>
          <w:vertAlign w:val="subscript"/>
        </w:rPr>
        <w:t>He</w:t>
      </w:r>
      <w:r>
        <w:rPr>
          <w:rFonts w:hint="eastAsia"/>
          <w:szCs w:val="28"/>
        </w:rPr>
        <w:t>)=</w:t>
      </w:r>
      <w:r>
        <w:rPr>
          <w:rFonts w:ascii="Times New Roman"/>
          <w:szCs w:val="28"/>
        </w:rPr>
        <w:t>0.3和0.7时，对</w:t>
      </w:r>
      <w:r>
        <w:rPr>
          <w:rFonts w:hint="eastAsia"/>
          <w:szCs w:val="28"/>
        </w:rPr>
        <w:t>等离子体密度扰动做傅里叶变换得到的</w:t>
      </w:r>
      <w:r>
        <w:rPr>
          <w:rFonts w:hint="eastAsia" w:ascii="Cambria Math" w:hAnsi="Cambria Math" w:cs="Cambria Math"/>
          <w:szCs w:val="28"/>
        </w:rPr>
        <w:t>k-</w:t>
      </w:r>
      <w:r>
        <w:rPr>
          <w:rFonts w:ascii="Cambria Math" w:hAnsi="Cambria Math" w:cs="Cambria Math"/>
          <w:szCs w:val="28"/>
        </w:rPr>
        <w:t>𝜔</w:t>
      </w:r>
      <w:r>
        <w:rPr>
          <w:rFonts w:hint="eastAsia" w:ascii="Cambria Math" w:hAnsi="Cambria Math" w:cs="Cambria Math"/>
          <w:szCs w:val="28"/>
        </w:rPr>
        <w:t>频谱图，</w:t>
      </w:r>
      <w:r>
        <w:rPr>
          <w:rFonts w:ascii="Times New Roman"/>
          <w:szCs w:val="28"/>
        </w:rPr>
        <w:t>图中清晰显示了等离子体中本征的离子声波主要集中于两支相速度模式，且与绿色和红色虚线分别代表的理论慢模式与快模式相速度解高度吻合，k</w:t>
      </w:r>
      <w:r>
        <w:rPr>
          <w:rFonts w:hint="eastAsia" w:ascii="Times New Roman"/>
          <w:szCs w:val="28"/>
        </w:rPr>
        <w:t>的正负</w:t>
      </w:r>
      <w:r>
        <w:rPr>
          <w:rFonts w:ascii="Times New Roman"/>
          <w:szCs w:val="28"/>
        </w:rPr>
        <w:t>号</w:t>
      </w:r>
      <w:r>
        <w:rPr>
          <w:rFonts w:hint="eastAsia" w:ascii="Times New Roman"/>
          <w:szCs w:val="28"/>
        </w:rPr>
        <w:t>表示</w:t>
      </w:r>
      <w:r>
        <w:rPr>
          <w:rFonts w:ascii="Times New Roman"/>
          <w:szCs w:val="28"/>
        </w:rPr>
        <w:t>IAW的传播方向</w:t>
      </w:r>
      <w:r>
        <w:rPr>
          <w:rFonts w:hint="eastAsia"/>
          <w:szCs w:val="28"/>
        </w:rPr>
        <w:t>。</w:t>
      </w:r>
    </w:p>
    <w:p w14:paraId="59FC040B">
      <w:pPr>
        <w:pStyle w:val="44"/>
        <w:spacing w:after="160" w:line="520" w:lineRule="exact"/>
        <w:ind w:firstLine="420" w:firstLineChars="0"/>
        <w:rPr>
          <w:rFonts w:ascii="Times New Roman"/>
          <w:szCs w:val="28"/>
        </w:rPr>
      </w:pPr>
      <w:r>
        <w:rPr>
          <w:rFonts w:ascii="Times New Roman"/>
          <w:szCs w:val="28"/>
        </w:rPr>
        <w:t>图11(c)给出了求解色散方程理论得到的IAW快模式与慢模式朗道阻尼随H离子占比的变化</w:t>
      </w:r>
      <w:r>
        <w:rPr>
          <w:rFonts w:hint="eastAsia" w:ascii="Times New Roman"/>
          <w:szCs w:val="28"/>
        </w:rPr>
        <w:t>。</w:t>
      </w:r>
      <w:r>
        <w:rPr>
          <w:rFonts w:ascii="Times New Roman"/>
          <w:szCs w:val="28"/>
        </w:rPr>
        <w:t>随着H离子占比增加，慢模式朗道阻尼逐渐增大，而快模式阻尼逐渐降低</w:t>
      </w:r>
      <w:r>
        <w:rPr>
          <w:rFonts w:hint="eastAsia" w:ascii="Times New Roman"/>
          <w:szCs w:val="28"/>
        </w:rPr>
        <w:t>。</w:t>
      </w:r>
      <w:r>
        <w:rPr>
          <w:rFonts w:ascii="Times New Roman"/>
          <w:szCs w:val="28"/>
        </w:rPr>
        <w:t>SBS通常对应激发其中阻尼更小的一支，因此理论预测</w:t>
      </w:r>
      <w:r>
        <w:rPr>
          <w:rFonts w:hint="eastAsia" w:ascii="Times New Roman"/>
          <w:szCs w:val="28"/>
        </w:rPr>
        <w:t>：</w:t>
      </w:r>
      <w:r>
        <w:rPr>
          <w:rFonts w:ascii="Times New Roman"/>
          <w:szCs w:val="28"/>
        </w:rPr>
        <w:t>随着H离子占比增加，SBS激发的离子声波模式将出现从慢模式向快模式转变的现象。模拟结果与理论预测一致，当H离子占比</w:t>
      </w:r>
      <w:r>
        <w:rPr>
          <w:rFonts w:hint="eastAsia" w:ascii="Times New Roman"/>
          <w:szCs w:val="28"/>
        </w:rPr>
        <w:t>为</w:t>
      </w:r>
      <w:r>
        <w:rPr>
          <w:rFonts w:ascii="Times New Roman"/>
          <w:szCs w:val="28"/>
        </w:rPr>
        <w:t>0.3时，慢模式朗道阻尼低于快模式，图11(a)中慢模式色散曲线上k=1.7k</w:t>
      </w:r>
      <w:r>
        <w:rPr>
          <w:rFonts w:ascii="Times New Roman"/>
          <w:szCs w:val="28"/>
          <w:vertAlign w:val="subscript"/>
        </w:rPr>
        <w:t>0</w:t>
      </w:r>
      <w:r>
        <w:rPr>
          <w:rFonts w:ascii="Times New Roman"/>
          <w:szCs w:val="28"/>
        </w:rPr>
        <w:t>处出现明显亮点，</w:t>
      </w:r>
      <w:r>
        <w:rPr>
          <w:rFonts w:hint="eastAsia" w:ascii="Times New Roman"/>
          <w:szCs w:val="28"/>
        </w:rPr>
        <w:t>表明</w:t>
      </w:r>
      <w:r>
        <w:rPr>
          <w:rFonts w:ascii="Times New Roman"/>
          <w:szCs w:val="28"/>
        </w:rPr>
        <w:t>此处IAW模式满足SBS激发的共振匹配条件；而当H离子占比为0.7时</w:t>
      </w:r>
      <w:r>
        <w:rPr>
          <w:rFonts w:hint="eastAsia" w:ascii="Times New Roman"/>
          <w:szCs w:val="28"/>
        </w:rPr>
        <w:t>，</w:t>
      </w:r>
      <w:r>
        <w:rPr>
          <w:rFonts w:ascii="Times New Roman"/>
          <w:szCs w:val="28"/>
        </w:rPr>
        <w:t>快模式朗道阻尼更低，如图11(b)所示，激光与快模式IAW共振激发SBS过程。</w:t>
      </w:r>
    </w:p>
    <w:p w14:paraId="59FC040C">
      <w:pPr>
        <w:jc w:val="center"/>
        <w:rPr>
          <w:rFonts w:hint="eastAsia"/>
        </w:rPr>
      </w:pPr>
      <w:r>
        <w:drawing>
          <wp:inline distT="0" distB="0" distL="114300" distR="114300">
            <wp:extent cx="5280025" cy="3796030"/>
            <wp:effectExtent l="0" t="0" r="0" b="0"/>
            <wp:docPr id="1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1"/>
                    <pic:cNvPicPr>
                      <a:picLocks noChangeAspect="1"/>
                    </pic:cNvPicPr>
                  </pic:nvPicPr>
                  <pic:blipFill>
                    <a:blip r:embed="rId64"/>
                    <a:srcRect t="4136"/>
                    <a:stretch>
                      <a:fillRect/>
                    </a:stretch>
                  </pic:blipFill>
                  <pic:spPr>
                    <a:xfrm>
                      <a:off x="0" y="0"/>
                      <a:ext cx="5280025" cy="3796086"/>
                    </a:xfrm>
                    <a:prstGeom prst="rect">
                      <a:avLst/>
                    </a:prstGeom>
                    <a:noFill/>
                    <a:ln>
                      <a:noFill/>
                    </a:ln>
                  </pic:spPr>
                </pic:pic>
              </a:graphicData>
            </a:graphic>
          </wp:inline>
        </w:drawing>
      </w:r>
    </w:p>
    <w:p w14:paraId="59FC040D">
      <w:pPr>
        <w:pStyle w:val="45"/>
        <w:jc w:val="both"/>
        <w:rPr>
          <w:rFonts w:ascii="Times New Roman" w:eastAsia="宋体"/>
          <w:sz w:val="24"/>
          <w:szCs w:val="24"/>
        </w:rPr>
      </w:pPr>
      <w:r>
        <w:rPr>
          <w:rFonts w:hint="eastAsia" w:ascii="Times New Roman" w:eastAsia="宋体"/>
          <w:b/>
          <w:bCs/>
          <w:sz w:val="24"/>
          <w:szCs w:val="24"/>
        </w:rPr>
        <w:t>对He</w:t>
      </w:r>
      <w:r>
        <w:rPr>
          <w:rFonts w:ascii="Times New Roman" w:eastAsia="宋体"/>
          <w:b/>
          <w:bCs/>
          <w:sz w:val="24"/>
          <w:szCs w:val="24"/>
        </w:rPr>
        <w:t>-</w:t>
      </w:r>
      <w:r>
        <w:rPr>
          <w:rFonts w:hint="eastAsia" w:ascii="Times New Roman" w:eastAsia="宋体"/>
          <w:b/>
          <w:bCs/>
          <w:sz w:val="24"/>
          <w:szCs w:val="24"/>
        </w:rPr>
        <w:t>H等离子体中SBS激发过程的模拟</w:t>
      </w:r>
      <w:r>
        <w:rPr>
          <w:rFonts w:hint="eastAsia" w:ascii="Times New Roman" w:eastAsia="宋体"/>
          <w:sz w:val="24"/>
          <w:szCs w:val="24"/>
        </w:rPr>
        <w:t>：（a）（b）分别为H离子组分占比为0.3和0.7时离子声波k-</w:t>
      </w:r>
      <w:r>
        <w:rPr>
          <w:rFonts w:ascii="Cambria Math" w:hAnsi="Cambria Math" w:eastAsia="宋体" w:cs="Cambria Math"/>
          <w:sz w:val="24"/>
          <w:szCs w:val="24"/>
        </w:rPr>
        <w:t>𝜔</w:t>
      </w:r>
      <w:r>
        <w:rPr>
          <w:rFonts w:hint="eastAsia" w:ascii="Times New Roman" w:eastAsia="宋体"/>
          <w:sz w:val="24"/>
          <w:szCs w:val="24"/>
        </w:rPr>
        <w:t>色散关系曲线。（c）慢模式与快模式朗道阻尼随H离子组分占比的变化（d）SBS散射光谱。</w:t>
      </w:r>
    </w:p>
    <w:p w14:paraId="59FC040E">
      <w:pPr>
        <w:pStyle w:val="44"/>
        <w:spacing w:after="160" w:line="520" w:lineRule="exact"/>
        <w:ind w:firstLine="420" w:firstLineChars="0"/>
        <w:rPr>
          <w:rFonts w:ascii="Times New Roman"/>
          <w:szCs w:val="28"/>
        </w:rPr>
      </w:pPr>
    </w:p>
    <w:p w14:paraId="59FC040F">
      <w:pPr>
        <w:pStyle w:val="44"/>
        <w:spacing w:after="160" w:line="520" w:lineRule="exact"/>
        <w:ind w:firstLine="420" w:firstLineChars="0"/>
        <w:rPr>
          <w:rFonts w:ascii="Times New Roman"/>
          <w:szCs w:val="28"/>
        </w:rPr>
      </w:pPr>
      <w:r>
        <w:rPr>
          <w:rFonts w:hint="eastAsia" w:ascii="Times New Roman"/>
          <w:szCs w:val="28"/>
        </w:rPr>
        <w:t>图</w:t>
      </w:r>
      <w:r>
        <w:rPr>
          <w:rFonts w:ascii="Times New Roman"/>
          <w:szCs w:val="28"/>
        </w:rPr>
        <w:t>11(d)</w:t>
      </w:r>
      <w:r>
        <w:rPr>
          <w:rFonts w:hint="eastAsia" w:ascii="Times New Roman"/>
          <w:szCs w:val="28"/>
        </w:rPr>
        <w:t>给出了两种</w:t>
      </w:r>
      <w:r>
        <w:rPr>
          <w:rFonts w:ascii="Times New Roman"/>
          <w:szCs w:val="28"/>
        </w:rPr>
        <w:t>H</w:t>
      </w:r>
      <w:r>
        <w:rPr>
          <w:rFonts w:hint="eastAsia" w:ascii="Times New Roman"/>
          <w:szCs w:val="28"/>
        </w:rPr>
        <w:t>离子占比下的</w:t>
      </w:r>
      <w:r>
        <w:rPr>
          <w:rFonts w:ascii="Times New Roman"/>
          <w:szCs w:val="28"/>
        </w:rPr>
        <w:t>SBS</w:t>
      </w:r>
      <w:r>
        <w:rPr>
          <w:rFonts w:hint="eastAsia" w:ascii="Times New Roman"/>
          <w:szCs w:val="28"/>
        </w:rPr>
        <w:t>背向散射光谱。当</w:t>
      </w:r>
      <w:r>
        <w:rPr>
          <w:rFonts w:ascii="Times New Roman"/>
          <w:szCs w:val="28"/>
        </w:rPr>
        <w:t>SBS</w:t>
      </w:r>
      <w:r>
        <w:rPr>
          <w:rFonts w:hint="eastAsia" w:ascii="Times New Roman"/>
          <w:szCs w:val="28"/>
        </w:rPr>
        <w:t>激发的</w:t>
      </w:r>
      <w:r>
        <w:rPr>
          <w:rFonts w:ascii="Times New Roman"/>
          <w:szCs w:val="28"/>
        </w:rPr>
        <w:t>离子声波</w:t>
      </w:r>
      <w:r>
        <w:rPr>
          <w:rFonts w:hint="eastAsia" w:ascii="Times New Roman"/>
          <w:szCs w:val="28"/>
        </w:rPr>
        <w:t>从慢模式转变为快模式时，散射光频率相应下移。上述结果验证了</w:t>
      </w:r>
      <w:r>
        <w:rPr>
          <w:rFonts w:ascii="Times New Roman"/>
          <w:szCs w:val="28"/>
        </w:rPr>
        <w:t>PM</w:t>
      </w:r>
      <w:r>
        <w:rPr>
          <w:rFonts w:hint="eastAsia" w:ascii="Times New Roman"/>
          <w:szCs w:val="28"/>
        </w:rPr>
        <w:t>程序对多离子组分效应的模拟能力，能够准确捕捉</w:t>
      </w:r>
      <w:r>
        <w:rPr>
          <w:rFonts w:ascii="Times New Roman"/>
          <w:szCs w:val="28"/>
        </w:rPr>
        <w:t>离子声波</w:t>
      </w:r>
      <w:r>
        <w:rPr>
          <w:rFonts w:hint="eastAsia" w:ascii="Times New Roman"/>
          <w:szCs w:val="28"/>
        </w:rPr>
        <w:t>色散模式及朗道阻尼随离子组分的变化。</w:t>
      </w:r>
    </w:p>
    <w:p w14:paraId="59FC0410">
      <w:pPr>
        <w:pStyle w:val="44"/>
        <w:spacing w:after="160" w:line="520" w:lineRule="exact"/>
        <w:ind w:firstLine="420" w:firstLineChars="0"/>
        <w:rPr>
          <w:rFonts w:ascii="Times New Roman"/>
          <w:szCs w:val="28"/>
        </w:rPr>
      </w:pPr>
      <w:r>
        <w:rPr>
          <w:rFonts w:ascii="Times New Roman"/>
          <w:szCs w:val="28"/>
        </w:rPr>
        <w:t>根据上述分析，采用平均电离态与平均离子质量的简化描述可能无法准确计算多组分等离子体中的IAW模式与阻尼，从而错估SBS份额。下面结合理论与模拟，对比两种描述的差异。设置等离子体由完全电离的C、H离子组成，</w:t>
      </w:r>
      <w:r>
        <w:rPr>
          <w:rFonts w:hint="eastAsia" w:ascii="Times New Roman"/>
          <w:szCs w:val="28"/>
        </w:rPr>
        <w:t>电子密度</w:t>
      </w:r>
      <w:r>
        <w:rPr>
          <w:rFonts w:ascii="Times New Roman"/>
          <w:szCs w:val="28"/>
        </w:rPr>
        <w:t>0.3</w:t>
      </w:r>
      <w:r>
        <w:rPr>
          <w:rFonts w:ascii="Cambria Math" w:hAnsi="Cambria Math" w:cs="Cambria Math"/>
          <w:szCs w:val="28"/>
        </w:rPr>
        <w:t>𝑛</w:t>
      </w:r>
      <w:r>
        <w:rPr>
          <w:rFonts w:ascii="Cambria Math" w:hAnsi="Cambria Math" w:cs="Cambria Math"/>
          <w:szCs w:val="28"/>
          <w:vertAlign w:val="subscript"/>
        </w:rPr>
        <w:t>𝑐</w:t>
      </w:r>
      <w:r>
        <w:rPr>
          <w:szCs w:val="28"/>
        </w:rPr>
        <w:t>，</w:t>
      </w:r>
      <w:r>
        <w:rPr>
          <w:rFonts w:ascii="Cambria Math" w:hAnsi="Cambria Math" w:cs="Cambria Math"/>
          <w:szCs w:val="28"/>
        </w:rPr>
        <w:t>𝑇</w:t>
      </w:r>
      <w:r>
        <w:rPr>
          <w:rFonts w:ascii="Cambria Math" w:hAnsi="Cambria Math" w:cs="Cambria Math"/>
          <w:szCs w:val="28"/>
          <w:vertAlign w:val="subscript"/>
        </w:rPr>
        <w:t>𝑒</w:t>
      </w:r>
      <w:r>
        <w:rPr>
          <w:szCs w:val="28"/>
        </w:rPr>
        <w:t xml:space="preserve">= </w:t>
      </w:r>
      <w:r>
        <w:rPr>
          <w:rFonts w:hint="eastAsia" w:ascii="Times New Roman"/>
          <w:szCs w:val="28"/>
        </w:rPr>
        <w:t>4.8</w:t>
      </w:r>
      <w:r>
        <w:rPr>
          <w:rFonts w:ascii="Times New Roman"/>
          <w:szCs w:val="28"/>
        </w:rPr>
        <w:t xml:space="preserve"> keV</w:t>
      </w:r>
      <w:r>
        <w:rPr>
          <w:rFonts w:hint="eastAsia"/>
          <w:szCs w:val="28"/>
        </w:rPr>
        <w:t>，</w:t>
      </w:r>
      <w:r>
        <w:rPr>
          <w:rFonts w:ascii="Cambria Math" w:hAnsi="Cambria Math" w:cs="Cambria Math"/>
          <w:szCs w:val="28"/>
        </w:rPr>
        <w:t>𝑇</w:t>
      </w:r>
      <w:r>
        <w:rPr>
          <w:rFonts w:hint="eastAsia" w:ascii="Cambria Math" w:hAnsi="Cambria Math" w:cs="Cambria Math"/>
          <w:szCs w:val="28"/>
          <w:vertAlign w:val="subscript"/>
        </w:rPr>
        <w:t>C</w:t>
      </w:r>
      <w:r>
        <w:rPr>
          <w:szCs w:val="28"/>
        </w:rPr>
        <w:t>=</w:t>
      </w:r>
      <w:r>
        <w:rPr>
          <w:rFonts w:hint="eastAsia"/>
          <w:szCs w:val="28"/>
        </w:rPr>
        <w:t xml:space="preserve"> </w:t>
      </w:r>
      <w:r>
        <w:rPr>
          <w:rFonts w:ascii="Cambria Math" w:hAnsi="Cambria Math" w:cs="Cambria Math"/>
          <w:szCs w:val="28"/>
        </w:rPr>
        <w:t>𝑇</w:t>
      </w:r>
      <w:r>
        <w:rPr>
          <w:rFonts w:hint="eastAsia" w:ascii="Cambria Math" w:hAnsi="Cambria Math" w:cs="Cambria Math"/>
          <w:szCs w:val="28"/>
          <w:vertAlign w:val="subscript"/>
        </w:rPr>
        <w:t>H</w:t>
      </w:r>
      <w:r>
        <w:rPr>
          <w:rFonts w:hint="eastAsia"/>
          <w:szCs w:val="28"/>
        </w:rPr>
        <w:t xml:space="preserve">= </w:t>
      </w:r>
      <w:r>
        <w:rPr>
          <w:rFonts w:hint="eastAsia" w:ascii="Times New Roman"/>
          <w:szCs w:val="28"/>
        </w:rPr>
        <w:t>0.6</w:t>
      </w:r>
      <w:r>
        <w:rPr>
          <w:rFonts w:ascii="Times New Roman"/>
          <w:szCs w:val="28"/>
        </w:rPr>
        <w:t xml:space="preserve"> keV</w:t>
      </w:r>
      <w:r>
        <w:rPr>
          <w:rFonts w:hint="eastAsia" w:ascii="Times New Roman"/>
          <w:szCs w:val="28"/>
        </w:rPr>
        <w:t>，入射</w:t>
      </w:r>
      <w:r>
        <w:rPr>
          <w:rFonts w:ascii="Times New Roman"/>
          <w:szCs w:val="28"/>
        </w:rPr>
        <w:t>激光波长351 nm，强度</w:t>
      </w:r>
      <w:r>
        <w:rPr>
          <w:rFonts w:ascii="Cambria Math" w:hAnsi="Cambria Math" w:cs="Cambria Math"/>
          <w:szCs w:val="28"/>
        </w:rPr>
        <w:t>𝐼</w:t>
      </w:r>
      <w:r>
        <w:rPr>
          <w:rFonts w:ascii="Times New Roman"/>
          <w:szCs w:val="28"/>
          <w:vertAlign w:val="subscript"/>
        </w:rPr>
        <w:t>0</w:t>
      </w:r>
      <w:r>
        <w:rPr>
          <w:szCs w:val="28"/>
        </w:rPr>
        <w:t xml:space="preserve"> </w:t>
      </w:r>
      <w:r>
        <w:rPr>
          <w:rFonts w:ascii="Times New Roman"/>
          <w:szCs w:val="28"/>
        </w:rPr>
        <w:t xml:space="preserve">= </w:t>
      </w:r>
      <w:r>
        <w:rPr>
          <w:rFonts w:hint="eastAsia" w:ascii="Times New Roman"/>
          <w:szCs w:val="28"/>
        </w:rPr>
        <w:t>3</w:t>
      </w:r>
      <w:r>
        <w:rPr>
          <w:rFonts w:ascii="Times New Roman"/>
          <w:szCs w:val="28"/>
        </w:rPr>
        <w:t>.0 × 10</w:t>
      </w:r>
      <w:r>
        <w:rPr>
          <w:rFonts w:ascii="Times New Roman"/>
          <w:szCs w:val="28"/>
          <w:vertAlign w:val="superscript"/>
        </w:rPr>
        <w:t>15</w:t>
      </w:r>
      <w:r>
        <w:rPr>
          <w:rFonts w:ascii="Times New Roman"/>
          <w:szCs w:val="28"/>
        </w:rPr>
        <w:t xml:space="preserve"> W/cm</w:t>
      </w:r>
      <w:r>
        <w:rPr>
          <w:szCs w:val="28"/>
          <w:vertAlign w:val="superscript"/>
        </w:rPr>
        <w:t>2</w:t>
      </w:r>
      <w:r>
        <w:rPr>
          <w:rFonts w:hint="eastAsia" w:ascii="Times New Roman"/>
          <w:szCs w:val="28"/>
        </w:rPr>
        <w:t>。</w:t>
      </w:r>
    </w:p>
    <w:p w14:paraId="59FC0411">
      <w:pPr>
        <w:pStyle w:val="44"/>
        <w:spacing w:after="160" w:line="520" w:lineRule="exact"/>
        <w:ind w:firstLine="420" w:firstLineChars="0"/>
        <w:rPr>
          <w:rFonts w:ascii="Times New Roman"/>
          <w:szCs w:val="28"/>
        </w:rPr>
      </w:pPr>
      <w:r>
        <w:rPr>
          <w:rFonts w:ascii="Times New Roman"/>
          <w:szCs w:val="28"/>
        </w:rPr>
        <w:t>图12(a)展示</w:t>
      </w:r>
      <w:r>
        <w:rPr>
          <w:rFonts w:hint="eastAsia" w:ascii="Times New Roman"/>
          <w:szCs w:val="28"/>
        </w:rPr>
        <w:t>了求解</w:t>
      </w:r>
      <w:r>
        <w:rPr>
          <w:rFonts w:ascii="Times New Roman"/>
          <w:szCs w:val="28"/>
        </w:rPr>
        <w:t>色散方程</w:t>
      </w:r>
      <w:r>
        <w:rPr>
          <w:rFonts w:hint="eastAsia" w:ascii="Times New Roman"/>
          <w:szCs w:val="28"/>
        </w:rPr>
        <w:t>得到</w:t>
      </w:r>
      <w:r>
        <w:rPr>
          <w:rFonts w:ascii="Times New Roman"/>
          <w:szCs w:val="28"/>
        </w:rPr>
        <w:t>的</w:t>
      </w:r>
      <w:r>
        <w:rPr>
          <w:rFonts w:hint="eastAsia" w:ascii="Times New Roman"/>
          <w:szCs w:val="28"/>
        </w:rPr>
        <w:t>理论</w:t>
      </w:r>
      <w:r>
        <w:rPr>
          <w:rFonts w:ascii="Times New Roman"/>
          <w:szCs w:val="28"/>
        </w:rPr>
        <w:t>IAW阻尼率随H离子占比的变化。</w:t>
      </w:r>
      <w:r>
        <w:rPr>
          <w:rFonts w:hint="eastAsia" w:ascii="Times New Roman"/>
          <w:szCs w:val="28"/>
        </w:rPr>
        <w:t>可见</w:t>
      </w:r>
      <w:r>
        <w:rPr>
          <w:rFonts w:ascii="Times New Roman"/>
          <w:szCs w:val="28"/>
        </w:rPr>
        <w:t>两种描述的结果差异显著：多离子组分描述下，随着H离子占比增大，离子声速改变，IAW阻尼率呈先增大后减小的趋势；而平均离子态描述下，阻尼率随H占比增大略有提升，但始终保持在约0.01的弱阻尼状态</w:t>
      </w:r>
      <w:r>
        <w:rPr>
          <w:rFonts w:hint="eastAsia" w:ascii="Times New Roman"/>
          <w:szCs w:val="28"/>
        </w:rPr>
        <w:t>。</w:t>
      </w:r>
    </w:p>
    <w:p w14:paraId="59FC0412">
      <w:pPr>
        <w:jc w:val="center"/>
        <w:rPr>
          <w:rFonts w:hint="eastAsia"/>
        </w:rPr>
      </w:pPr>
      <w:r>
        <w:drawing>
          <wp:inline distT="0" distB="0" distL="114300" distR="114300">
            <wp:extent cx="2400300" cy="1800225"/>
            <wp:effectExtent l="0" t="0" r="0" b="8890"/>
            <wp:docPr id="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1"/>
                    <pic:cNvPicPr>
                      <a:picLocks noChangeAspect="1"/>
                    </pic:cNvPicPr>
                  </pic:nvPicPr>
                  <pic:blipFill>
                    <a:blip r:embed="rId65"/>
                    <a:stretch>
                      <a:fillRect/>
                    </a:stretch>
                  </pic:blipFill>
                  <pic:spPr>
                    <a:xfrm>
                      <a:off x="0" y="0"/>
                      <a:ext cx="2400300" cy="1800225"/>
                    </a:xfrm>
                    <a:prstGeom prst="rect">
                      <a:avLst/>
                    </a:prstGeom>
                    <a:noFill/>
                    <a:ln>
                      <a:noFill/>
                    </a:ln>
                  </pic:spPr>
                </pic:pic>
              </a:graphicData>
            </a:graphic>
          </wp:inline>
        </w:drawing>
      </w:r>
      <w:r>
        <w:drawing>
          <wp:inline distT="0" distB="0" distL="114300" distR="114300">
            <wp:extent cx="2400300" cy="1800225"/>
            <wp:effectExtent l="0" t="0" r="0" b="8890"/>
            <wp:docPr id="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2"/>
                    <pic:cNvPicPr>
                      <a:picLocks noChangeAspect="1"/>
                    </pic:cNvPicPr>
                  </pic:nvPicPr>
                  <pic:blipFill>
                    <a:blip r:embed="rId66"/>
                    <a:stretch>
                      <a:fillRect/>
                    </a:stretch>
                  </pic:blipFill>
                  <pic:spPr>
                    <a:xfrm>
                      <a:off x="0" y="0"/>
                      <a:ext cx="2400300" cy="1800225"/>
                    </a:xfrm>
                    <a:prstGeom prst="rect">
                      <a:avLst/>
                    </a:prstGeom>
                    <a:noFill/>
                    <a:ln>
                      <a:noFill/>
                    </a:ln>
                  </pic:spPr>
                </pic:pic>
              </a:graphicData>
            </a:graphic>
          </wp:inline>
        </w:drawing>
      </w:r>
    </w:p>
    <w:p w14:paraId="59FC0413">
      <w:pPr>
        <w:pStyle w:val="45"/>
        <w:jc w:val="both"/>
        <w:rPr>
          <w:rFonts w:ascii="Times New Roman" w:eastAsia="宋体"/>
          <w:sz w:val="24"/>
          <w:szCs w:val="24"/>
        </w:rPr>
      </w:pPr>
      <w:r>
        <w:rPr>
          <w:rFonts w:hint="eastAsia" w:ascii="Times New Roman" w:eastAsia="宋体"/>
          <w:sz w:val="24"/>
          <w:szCs w:val="24"/>
        </w:rPr>
        <w:t>（a）平均离子态和多离子组分描述下，CH等离子体中IAW阻尼率随H离子组分占比的变化，（b）PM模拟中，SBS份额随H离子占比的变化。</w:t>
      </w:r>
    </w:p>
    <w:p w14:paraId="59FC0414">
      <w:pPr>
        <w:spacing w:line="520" w:lineRule="exact"/>
        <w:ind w:firstLine="420"/>
        <w:jc w:val="both"/>
        <w:rPr>
          <w:rFonts w:ascii="Times New Roman" w:hAnsi="Times New Roman" w:eastAsia="宋体" w:cs="Times New Roman"/>
          <w:sz w:val="28"/>
          <w:szCs w:val="28"/>
        </w:rPr>
      </w:pPr>
    </w:p>
    <w:p w14:paraId="59FC0415">
      <w:pPr>
        <w:spacing w:line="520" w:lineRule="exact"/>
        <w:ind w:firstLine="420"/>
        <w:jc w:val="both"/>
        <w:rPr>
          <w:rFonts w:ascii="Times New Roman" w:hAnsi="Times New Roman" w:eastAsia="宋体" w:cs="Times New Roman"/>
          <w:sz w:val="28"/>
          <w:szCs w:val="28"/>
        </w:rPr>
      </w:pPr>
      <w:r>
        <w:rPr>
          <w:rFonts w:ascii="Times New Roman" w:hAnsi="Times New Roman" w:eastAsia="宋体" w:cs="Times New Roman"/>
          <w:sz w:val="28"/>
          <w:szCs w:val="28"/>
        </w:rPr>
        <w:t>图12(b)为</w:t>
      </w:r>
      <w:r>
        <w:rPr>
          <w:rFonts w:hint="eastAsia" w:ascii="Times New Roman" w:hAnsi="Times New Roman" w:eastAsia="宋体" w:cs="Times New Roman"/>
          <w:sz w:val="28"/>
          <w:szCs w:val="28"/>
        </w:rPr>
        <w:t>两种描述的模拟中，</w:t>
      </w:r>
      <m:oMath>
        <m:r>
          <m:rPr/>
          <w:rPr>
            <w:rFonts w:ascii="Cambria Math" w:hAnsi="Cambria Math" w:eastAsia="宋体"/>
            <w:sz w:val="28"/>
          </w:rPr>
          <m:t>3500</m:t>
        </m:r>
        <m:sSub>
          <m:sSubPr>
            <m:ctrlPr>
              <w:rPr>
                <w:rFonts w:ascii="Cambria Math" w:hAnsi="Cambria Math" w:eastAsia="宋体"/>
                <w:sz w:val="28"/>
              </w:rPr>
            </m:ctrlPr>
          </m:sSubPr>
          <m:e>
            <m:r>
              <m:rPr/>
              <w:rPr>
                <w:rFonts w:ascii="Cambria Math" w:hAnsi="Cambria Math" w:eastAsia="宋体"/>
                <w:sz w:val="28"/>
              </w:rPr>
              <m:t>T</m:t>
            </m:r>
            <m:ctrlPr>
              <w:rPr>
                <w:rFonts w:ascii="Cambria Math" w:hAnsi="Cambria Math" w:eastAsia="宋体"/>
                <w:sz w:val="28"/>
              </w:rPr>
            </m:ctrlPr>
          </m:e>
          <m:sub>
            <m:r>
              <m:rPr/>
              <w:rPr>
                <w:rFonts w:ascii="Cambria Math" w:hAnsi="Cambria Math" w:eastAsia="宋体"/>
                <w:sz w:val="28"/>
              </w:rPr>
              <m:t>0</m:t>
            </m:r>
            <m:ctrlPr>
              <w:rPr>
                <w:rFonts w:ascii="Cambria Math" w:hAnsi="Cambria Math" w:eastAsia="宋体"/>
                <w:sz w:val="28"/>
              </w:rPr>
            </m:ctrlPr>
          </m:sub>
        </m:sSub>
      </m:oMath>
      <w:r>
        <w:rPr>
          <w:rFonts w:hint="eastAsia" w:hAnsi="Cambria Math" w:eastAsia="宋体"/>
          <w:sz w:val="28"/>
        </w:rPr>
        <w:t>时统计的</w:t>
      </w:r>
      <w:r>
        <w:rPr>
          <w:rFonts w:hint="eastAsia" w:ascii="Times New Roman" w:hAnsi="Times New Roman" w:eastAsia="宋体" w:cs="Times New Roman"/>
          <w:sz w:val="28"/>
          <w:szCs w:val="28"/>
        </w:rPr>
        <w:t>SBS总反射率份额随H离子占比的变化。采用平均离子近似时，不同离子组分比例下SBS始终被强烈激发，反射率保持在</w:t>
      </w:r>
      <w:r>
        <w:rPr>
          <w:rFonts w:ascii="Times New Roman" w:hAnsi="Times New Roman" w:eastAsia="宋体" w:cs="Times New Roman"/>
          <w:sz w:val="28"/>
          <w:szCs w:val="28"/>
        </w:rPr>
        <w:t>40%</w:t>
      </w:r>
      <m:oMath>
        <m:r>
          <m:rPr>
            <m:nor/>
            <m:sty m:val="p"/>
          </m:rPr>
          <w:rPr>
            <w:rFonts w:ascii="Cambria Math" w:hAnsi="Cambria Math" w:eastAsia="宋体" w:cs="Cambria Math"/>
            <w:b w:val="0"/>
            <w:i w:val="0"/>
            <w:sz w:val="28"/>
          </w:rPr>
          <m:t>∼</m:t>
        </m:r>
      </m:oMath>
      <w:r>
        <w:rPr>
          <w:rFonts w:ascii="Times New Roman" w:hAnsi="Times New Roman" w:eastAsia="宋体" w:cs="Times New Roman"/>
          <w:sz w:val="28"/>
          <w:szCs w:val="28"/>
        </w:rPr>
        <w:t>60%</w:t>
      </w:r>
      <w:r>
        <w:rPr>
          <w:rFonts w:hint="eastAsia" w:ascii="Times New Roman" w:hAnsi="Times New Roman" w:eastAsia="宋体" w:cs="Times New Roman"/>
          <w:sz w:val="28"/>
          <w:szCs w:val="28"/>
        </w:rPr>
        <w:t>的高水平，与理论分析的弱阻尼状态相符。采用多离子组分描述后，由于H离子热速度与离子声速更加接近，随着H离子占比从0.1增加到0.5， 共振H离子数增多，IAW朗道阻尼提高，因此SBS迅速受到抑制，其反射率由66.5%迅速降低至15.0%。</w:t>
      </w:r>
    </w:p>
    <w:p w14:paraId="59FC0416">
      <w:pPr>
        <w:spacing w:line="520" w:lineRule="exact"/>
        <w:ind w:firstLine="420"/>
        <w:jc w:val="both"/>
        <w:rPr>
          <w:rFonts w:hint="eastAsia"/>
        </w:rPr>
      </w:pPr>
      <w:r>
        <w:rPr>
          <w:rFonts w:hint="eastAsia" w:ascii="Times New Roman" w:hAnsi="Times New Roman" w:eastAsia="宋体" w:cs="Times New Roman"/>
          <w:sz w:val="28"/>
          <w:szCs w:val="28"/>
        </w:rPr>
        <w:t>然而当H离子占比继续提升至0.7和0.9时，尽管理论预测IAW阻尼率应该有一定程度的降低，但模拟得到的SBS份额却并未有明显上升，甚至在H离子占比为0.9时降至7.6%。这一方面可能归因于IAW在H离子占比较大时依然具有较高的阻尼率(&gt;0.07)，如图</w:t>
      </w:r>
      <w:r>
        <w:rPr>
          <w:rFonts w:ascii="Times New Roman" w:hAnsi="Times New Roman" w:eastAsia="宋体" w:cs="Times New Roman"/>
          <w:sz w:val="28"/>
          <w:szCs w:val="28"/>
        </w:rPr>
        <w:t>12(a)所示，H占比0.9时阻尼率虽降至约0.07，</w:t>
      </w:r>
      <w:r>
        <w:rPr>
          <w:rFonts w:hint="eastAsia" w:ascii="Times New Roman" w:hAnsi="Times New Roman" w:eastAsia="宋体" w:cs="Times New Roman"/>
          <w:sz w:val="28"/>
          <w:szCs w:val="28"/>
        </w:rPr>
        <w:t>但</w:t>
      </w:r>
      <w:r>
        <w:rPr>
          <w:rFonts w:ascii="Times New Roman" w:hAnsi="Times New Roman" w:eastAsia="宋体" w:cs="Times New Roman"/>
          <w:sz w:val="28"/>
          <w:szCs w:val="28"/>
        </w:rPr>
        <w:t>仍远高于平均离子态描述下的~0.01，因此SBS反射率难以回升</w:t>
      </w:r>
      <w:r>
        <w:rPr>
          <w:rFonts w:hint="eastAsia" w:ascii="Times New Roman" w:hAnsi="Times New Roman" w:eastAsia="宋体" w:cs="Times New Roman"/>
          <w:sz w:val="28"/>
          <w:szCs w:val="28"/>
        </w:rPr>
        <w:t>；另一方面，多离子组分描述下快模式与慢模式之间的竞争，可分散</w:t>
      </w:r>
      <w:r>
        <w:rPr>
          <w:rFonts w:ascii="Times New Roman" w:hAnsi="Times New Roman" w:eastAsia="宋体" w:cs="Times New Roman"/>
          <w:sz w:val="28"/>
          <w:szCs w:val="28"/>
        </w:rPr>
        <w:t>泵浦能量，抑制单一模式的增长，</w:t>
      </w:r>
      <w:r>
        <w:rPr>
          <w:rFonts w:hint="eastAsia" w:ascii="Times New Roman" w:hAnsi="Times New Roman" w:eastAsia="宋体" w:cs="Times New Roman"/>
          <w:sz w:val="28"/>
          <w:szCs w:val="28"/>
        </w:rPr>
        <w:t>从而会抑制SBS的发展，这一机制将在下文图1</w:t>
      </w:r>
      <w:r>
        <w:rPr>
          <w:rFonts w:ascii="Times New Roman" w:hAnsi="Times New Roman" w:eastAsia="宋体" w:cs="Times New Roman"/>
          <w:sz w:val="28"/>
          <w:szCs w:val="28"/>
        </w:rPr>
        <w:t>4</w:t>
      </w:r>
      <w:r>
        <w:rPr>
          <w:rFonts w:hint="eastAsia" w:ascii="Times New Roman" w:hAnsi="Times New Roman" w:eastAsia="宋体" w:cs="Times New Roman"/>
          <w:sz w:val="28"/>
          <w:szCs w:val="28"/>
        </w:rPr>
        <w:t>的多峰光谱中得到印证。</w:t>
      </w:r>
    </w:p>
    <w:p w14:paraId="59FC0417">
      <w:pPr>
        <w:jc w:val="center"/>
        <w:rPr>
          <w:rFonts w:hint="eastAsia"/>
        </w:rPr>
      </w:pPr>
      <w:r>
        <w:drawing>
          <wp:inline distT="0" distB="0" distL="114300" distR="114300">
            <wp:extent cx="5400040" cy="1402080"/>
            <wp:effectExtent l="0" t="0" r="10160" b="762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67"/>
                    <a:stretch>
                      <a:fillRect/>
                    </a:stretch>
                  </pic:blipFill>
                  <pic:spPr>
                    <a:xfrm>
                      <a:off x="0" y="0"/>
                      <a:ext cx="5400040" cy="1402080"/>
                    </a:xfrm>
                    <a:prstGeom prst="rect">
                      <a:avLst/>
                    </a:prstGeom>
                    <a:noFill/>
                    <a:ln>
                      <a:noFill/>
                    </a:ln>
                  </pic:spPr>
                </pic:pic>
              </a:graphicData>
            </a:graphic>
          </wp:inline>
        </w:drawing>
      </w:r>
    </w:p>
    <w:p w14:paraId="59FC0418">
      <w:pPr>
        <w:pStyle w:val="45"/>
        <w:jc w:val="both"/>
        <w:rPr>
          <w:rFonts w:ascii="Times New Roman" w:eastAsia="宋体"/>
          <w:sz w:val="24"/>
          <w:szCs w:val="24"/>
        </w:rPr>
      </w:pPr>
      <w:r>
        <w:rPr>
          <w:rFonts w:hint="eastAsia" w:ascii="Times New Roman" w:eastAsia="宋体"/>
          <w:b/>
          <w:bCs/>
          <w:sz w:val="24"/>
          <w:szCs w:val="24"/>
        </w:rPr>
        <w:t>离子组份比例为</w:t>
      </w:r>
      <w:r>
        <w:rPr>
          <w:rFonts w:ascii="Times New Roman" w:eastAsia="宋体"/>
          <w:b/>
          <w:bCs/>
          <w:sz w:val="24"/>
          <w:szCs w:val="24"/>
        </w:rPr>
        <w:t>1:1 的CH等离子体模拟中</w:t>
      </w:r>
      <w:r>
        <w:rPr>
          <w:rFonts w:hint="eastAsia" w:ascii="Times New Roman" w:eastAsia="宋体"/>
          <w:b/>
          <w:bCs/>
          <w:sz w:val="24"/>
          <w:szCs w:val="24"/>
        </w:rPr>
        <w:t>得到的离子速度分布</w:t>
      </w:r>
      <w:r>
        <w:rPr>
          <w:rFonts w:hint="eastAsia" w:ascii="Times New Roman" w:eastAsia="宋体"/>
          <w:sz w:val="24"/>
          <w:szCs w:val="24"/>
        </w:rPr>
        <w:t>：多离子组分模拟中获得的C离子（a）和H离子（b）的速度分布；（c）平均离子态模拟中的（等效）离子速度分布。</w:t>
      </w:r>
    </w:p>
    <w:p w14:paraId="59FC0419">
      <w:pPr>
        <w:spacing w:line="520" w:lineRule="exact"/>
        <w:ind w:firstLine="420"/>
        <w:rPr>
          <w:rFonts w:ascii="Times New Roman" w:hAnsi="Times New Roman" w:eastAsia="宋体" w:cs="Times New Roman"/>
          <w:sz w:val="28"/>
          <w:szCs w:val="28"/>
        </w:rPr>
      </w:pPr>
    </w:p>
    <w:p w14:paraId="59FC041A">
      <w:pPr>
        <w:spacing w:line="520" w:lineRule="exact"/>
        <w:ind w:firstLine="420"/>
        <w:jc w:val="both"/>
        <w:rPr>
          <w:rFonts w:ascii="Times New Roman" w:hAnsi="Times New Roman" w:eastAsia="宋体" w:cs="Times New Roman"/>
          <w:sz w:val="28"/>
          <w:szCs w:val="28"/>
        </w:rPr>
      </w:pPr>
      <w:r>
        <w:rPr>
          <w:rFonts w:hint="eastAsia" w:ascii="Times New Roman" w:hAnsi="Times New Roman" w:eastAsia="宋体" w:cs="Times New Roman"/>
          <w:sz w:val="28"/>
          <w:szCs w:val="28"/>
        </w:rPr>
        <w:t>进一步，我们在</w:t>
      </w:r>
      <w:r>
        <w:rPr>
          <w:rFonts w:ascii="Times New Roman" w:hAnsi="Times New Roman" w:eastAsia="宋体" w:cs="Times New Roman"/>
          <w:sz w:val="28"/>
          <w:szCs w:val="28"/>
        </w:rPr>
        <w:t>图13</w:t>
      </w:r>
      <w:r>
        <w:rPr>
          <w:rFonts w:hint="eastAsia" w:ascii="Times New Roman" w:hAnsi="Times New Roman" w:eastAsia="宋体" w:cs="Times New Roman"/>
          <w:sz w:val="28"/>
          <w:szCs w:val="28"/>
        </w:rPr>
        <w:t>中</w:t>
      </w:r>
      <w:r>
        <w:rPr>
          <w:rFonts w:ascii="Times New Roman" w:hAnsi="Times New Roman" w:eastAsia="宋体" w:cs="Times New Roman"/>
          <w:sz w:val="28"/>
          <w:szCs w:val="28"/>
        </w:rPr>
        <w:t>对比了</w:t>
      </w:r>
      <w:r>
        <w:rPr>
          <w:rFonts w:hint="eastAsia" w:ascii="Times New Roman" w:hAnsi="Times New Roman" w:eastAsia="宋体" w:cs="Times New Roman"/>
          <w:sz w:val="28"/>
          <w:szCs w:val="28"/>
        </w:rPr>
        <w:t>离子组份比例为</w:t>
      </w:r>
      <w:r>
        <w:rPr>
          <w:rFonts w:ascii="Times New Roman" w:hAnsi="Times New Roman" w:eastAsia="宋体" w:cs="Times New Roman"/>
          <w:sz w:val="28"/>
          <w:szCs w:val="28"/>
        </w:rPr>
        <w:t xml:space="preserve">1:1 </w:t>
      </w:r>
      <w:r>
        <w:rPr>
          <w:rFonts w:hint="eastAsia" w:ascii="Times New Roman" w:hAnsi="Times New Roman" w:eastAsia="宋体" w:cs="Times New Roman"/>
          <w:sz w:val="28"/>
          <w:szCs w:val="28"/>
        </w:rPr>
        <w:t>的</w:t>
      </w:r>
      <w:r>
        <w:rPr>
          <w:rFonts w:ascii="Times New Roman" w:hAnsi="Times New Roman" w:eastAsia="宋体" w:cs="Times New Roman"/>
          <w:sz w:val="28"/>
          <w:szCs w:val="28"/>
        </w:rPr>
        <w:t>CH等离子体模拟中，</w:t>
      </w:r>
      <w:r>
        <w:rPr>
          <w:rFonts w:hint="eastAsia" w:ascii="Times New Roman" w:hAnsi="Times New Roman" w:eastAsia="宋体" w:cs="Times New Roman"/>
          <w:sz w:val="28"/>
          <w:szCs w:val="28"/>
        </w:rPr>
        <w:t>采用</w:t>
      </w:r>
      <w:r>
        <w:rPr>
          <w:rFonts w:ascii="Times New Roman" w:hAnsi="Times New Roman" w:eastAsia="宋体" w:cs="Times New Roman"/>
          <w:sz w:val="28"/>
          <w:szCs w:val="28"/>
        </w:rPr>
        <w:t>多离子组分与平均离子态描述下的离子速度分布函数。在平均离子态描述中，IAW相速度位于速度分布的高能尾部，共振粒子数极少，朗道阻尼较弱，SBS份额较高。在多离子组分描述中，尽管C离子同样难以被IAW俘获，但IAW相速度处于H离子速度分布的中部，共振H离子数目显著增多，朗道阻尼有效增强，SBS份额明显降低。这表明在实际模拟中，采用多离子组分描述对于完整捕捉动理学效应至关重要</w:t>
      </w:r>
      <w:r>
        <w:rPr>
          <w:rFonts w:hint="eastAsia" w:ascii="Times New Roman" w:hAnsi="Times New Roman" w:eastAsia="宋体" w:cs="Times New Roman"/>
          <w:sz w:val="28"/>
          <w:szCs w:val="28"/>
        </w:rPr>
        <w:t>。</w:t>
      </w:r>
    </w:p>
    <w:p w14:paraId="59FC041B">
      <w:pPr>
        <w:spacing w:line="520" w:lineRule="exact"/>
        <w:ind w:firstLine="420"/>
        <w:rPr>
          <w:rFonts w:ascii="Times New Roman" w:hAnsi="Times New Roman" w:eastAsia="宋体" w:cs="Times New Roman"/>
          <w:sz w:val="28"/>
          <w:szCs w:val="28"/>
        </w:rPr>
      </w:pPr>
      <w:r>
        <w:rPr>
          <w:rFonts w:hint="eastAsia" w:ascii="Times New Roman" w:hAnsi="Times New Roman" w:eastAsia="宋体" w:cs="Times New Roman"/>
          <w:sz w:val="28"/>
          <w:szCs w:val="28"/>
        </w:rPr>
        <w:t>图</w:t>
      </w:r>
      <w:r>
        <w:rPr>
          <w:rFonts w:ascii="Times New Roman" w:hAnsi="Times New Roman" w:eastAsia="宋体" w:cs="Times New Roman"/>
          <w:sz w:val="28"/>
          <w:szCs w:val="28"/>
        </w:rPr>
        <w:t>14</w:t>
      </w:r>
      <w:r>
        <w:rPr>
          <w:rFonts w:hint="eastAsia" w:ascii="Times New Roman" w:hAnsi="Times New Roman" w:eastAsia="宋体" w:cs="Times New Roman"/>
          <w:sz w:val="28"/>
          <w:szCs w:val="28"/>
        </w:rPr>
        <w:t>为SBS反射光谱随H离子占比的变化。平均离子态模拟中，SBS散射光随CH离子比例变化而发生轻微频移，并始终保持几乎单一的频率成分，表明此时等离子体中仅有一支IAW模式被激发。而采用多离子组分描述后，当H离子占比为0.9时，SBS散射光谱出现明显的多峰结构，表明快模式与慢模式同时与激光发生耦合，泵浦能量被分散到这两个IAW分支，从而单一模式增长受限，因此SBS总反射率进一步降低。</w:t>
      </w:r>
    </w:p>
    <w:p w14:paraId="59FC041C">
      <w:pPr>
        <w:jc w:val="center"/>
        <w:rPr>
          <w:rFonts w:hint="eastAsia"/>
        </w:rPr>
      </w:pPr>
      <w:r>
        <w:drawing>
          <wp:inline distT="0" distB="0" distL="114300" distR="114300">
            <wp:extent cx="2400300" cy="1800225"/>
            <wp:effectExtent l="0" t="0" r="0" b="8890"/>
            <wp:docPr id="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pic:cNvPicPr>
                      <a:picLocks noChangeAspect="1"/>
                    </pic:cNvPicPr>
                  </pic:nvPicPr>
                  <pic:blipFill>
                    <a:blip r:embed="rId68"/>
                    <a:stretch>
                      <a:fillRect/>
                    </a:stretch>
                  </pic:blipFill>
                  <pic:spPr>
                    <a:xfrm>
                      <a:off x="0" y="0"/>
                      <a:ext cx="2400300" cy="1800225"/>
                    </a:xfrm>
                    <a:prstGeom prst="rect">
                      <a:avLst/>
                    </a:prstGeom>
                    <a:noFill/>
                    <a:ln>
                      <a:noFill/>
                    </a:ln>
                  </pic:spPr>
                </pic:pic>
              </a:graphicData>
            </a:graphic>
          </wp:inline>
        </w:drawing>
      </w:r>
      <w:r>
        <w:drawing>
          <wp:inline distT="0" distB="0" distL="114300" distR="114300">
            <wp:extent cx="2400300" cy="1800225"/>
            <wp:effectExtent l="0" t="0" r="0" b="8890"/>
            <wp:docPr id="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pic:cNvPicPr>
                      <a:picLocks noChangeAspect="1"/>
                    </pic:cNvPicPr>
                  </pic:nvPicPr>
                  <pic:blipFill>
                    <a:blip r:embed="rId69"/>
                    <a:stretch>
                      <a:fillRect/>
                    </a:stretch>
                  </pic:blipFill>
                  <pic:spPr>
                    <a:xfrm>
                      <a:off x="0" y="0"/>
                      <a:ext cx="2400300" cy="1800225"/>
                    </a:xfrm>
                    <a:prstGeom prst="rect">
                      <a:avLst/>
                    </a:prstGeom>
                    <a:noFill/>
                    <a:ln>
                      <a:noFill/>
                    </a:ln>
                  </pic:spPr>
                </pic:pic>
              </a:graphicData>
            </a:graphic>
          </wp:inline>
        </w:drawing>
      </w:r>
    </w:p>
    <w:p w14:paraId="59FC041D">
      <w:pPr>
        <w:pStyle w:val="45"/>
        <w:jc w:val="both"/>
        <w:rPr>
          <w:rFonts w:ascii="Times New Roman" w:eastAsia="宋体"/>
          <w:sz w:val="24"/>
          <w:szCs w:val="24"/>
        </w:rPr>
      </w:pPr>
      <w:r>
        <w:rPr>
          <w:rFonts w:hint="eastAsia" w:ascii="Times New Roman" w:eastAsia="宋体"/>
          <w:sz w:val="24"/>
          <w:szCs w:val="24"/>
        </w:rPr>
        <w:t>（a）多离子组分和（b）平均离子态描述下，不同H离子占比情况下模拟得到的SBS反射光谱。</w:t>
      </w:r>
    </w:p>
    <w:p w14:paraId="59FC041E">
      <w:pPr>
        <w:pStyle w:val="44"/>
        <w:ind w:firstLine="560"/>
      </w:pPr>
    </w:p>
    <w:p w14:paraId="59FC041F">
      <w:pPr>
        <w:spacing w:line="520" w:lineRule="exact"/>
        <w:ind w:firstLine="420"/>
        <w:jc w:val="both"/>
        <w:rPr>
          <w:rFonts w:ascii="Times New Roman" w:hAnsi="Times New Roman" w:eastAsia="宋体" w:cs="Times New Roman"/>
          <w:sz w:val="28"/>
          <w:szCs w:val="28"/>
        </w:rPr>
      </w:pPr>
      <w:r>
        <w:rPr>
          <w:rFonts w:hint="eastAsia" w:ascii="Times New Roman" w:hAnsi="Times New Roman" w:eastAsia="宋体" w:cs="Times New Roman"/>
          <w:sz w:val="28"/>
          <w:szCs w:val="28"/>
        </w:rPr>
        <w:t>在间接驱动方案的黑腔壁附近高密度或高</w:t>
      </w:r>
      <w:r>
        <w:rPr>
          <w:rFonts w:ascii="Times New Roman" w:hAnsi="Times New Roman" w:eastAsia="宋体" w:cs="Times New Roman"/>
          <w:sz w:val="28"/>
          <w:szCs w:val="28"/>
        </w:rPr>
        <w:t>Z</w:t>
      </w:r>
      <w:r>
        <w:rPr>
          <w:rFonts w:hint="eastAsia" w:ascii="Times New Roman" w:hAnsi="Times New Roman" w:eastAsia="宋体" w:cs="Times New Roman"/>
          <w:sz w:val="28"/>
          <w:szCs w:val="28"/>
        </w:rPr>
        <w:t>等离子体中，多离子组分效应与碰撞效应可协同抑制</w:t>
      </w:r>
      <w:r>
        <w:rPr>
          <w:rFonts w:ascii="Times New Roman" w:hAnsi="Times New Roman" w:eastAsia="宋体" w:cs="Times New Roman"/>
          <w:sz w:val="28"/>
          <w:szCs w:val="28"/>
        </w:rPr>
        <w:t>SBS</w:t>
      </w:r>
      <w:r>
        <w:rPr>
          <w:rFonts w:hint="eastAsia" w:ascii="Times New Roman" w:hAnsi="Times New Roman" w:eastAsia="宋体" w:cs="Times New Roman"/>
          <w:sz w:val="28"/>
          <w:szCs w:val="28"/>
        </w:rPr>
        <w:t>过程。图</w:t>
      </w:r>
      <w:r>
        <w:rPr>
          <w:rFonts w:ascii="Times New Roman" w:hAnsi="Times New Roman" w:eastAsia="宋体" w:cs="Times New Roman"/>
          <w:sz w:val="28"/>
          <w:szCs w:val="28"/>
        </w:rPr>
        <w:t>15</w:t>
      </w:r>
      <w:r>
        <w:rPr>
          <w:rFonts w:hint="eastAsia" w:ascii="Times New Roman" w:hAnsi="Times New Roman" w:eastAsia="宋体" w:cs="Times New Roman"/>
          <w:sz w:val="28"/>
          <w:szCs w:val="28"/>
        </w:rPr>
        <w:t>系统比较了不同模型下</w:t>
      </w:r>
      <w:r>
        <w:rPr>
          <w:rFonts w:ascii="Times New Roman" w:hAnsi="Times New Roman" w:eastAsia="宋体" w:cs="Times New Roman"/>
          <w:sz w:val="28"/>
          <w:szCs w:val="28"/>
        </w:rPr>
        <w:t>IAW</w:t>
      </w:r>
      <w:r>
        <w:rPr>
          <w:rFonts w:hint="eastAsia" w:ascii="Times New Roman" w:hAnsi="Times New Roman" w:eastAsia="宋体" w:cs="Times New Roman"/>
          <w:sz w:val="28"/>
          <w:szCs w:val="28"/>
        </w:rPr>
        <w:t>振幅随时间的演化，其中黑色曲线为平均离子态描述下关闭碰撞模块的结果，蓝色曲线为平均离子态描述下开启碰撞模块的结果，紫色曲线为多离子组分描述下关闭碰撞模块的结果，红色曲线为多离子组分描述下开启碰撞模块的结果。从中可见，多离子组分描述下的</w:t>
      </w:r>
      <w:r>
        <w:rPr>
          <w:rFonts w:ascii="Times New Roman" w:hAnsi="Times New Roman" w:eastAsia="宋体" w:cs="Times New Roman"/>
          <w:sz w:val="28"/>
          <w:szCs w:val="28"/>
        </w:rPr>
        <w:t>IAW</w:t>
      </w:r>
      <w:r>
        <w:rPr>
          <w:rFonts w:hint="eastAsia" w:ascii="Times New Roman" w:hAnsi="Times New Roman" w:eastAsia="宋体" w:cs="Times New Roman"/>
          <w:sz w:val="28"/>
          <w:szCs w:val="28"/>
        </w:rPr>
        <w:t>增长率均低于平均离子态描述</w:t>
      </w:r>
      <w:r>
        <w:rPr>
          <w:rFonts w:ascii="Times New Roman" w:hAnsi="Times New Roman" w:eastAsia="宋体" w:cs="Times New Roman"/>
          <w:sz w:val="28"/>
          <w:szCs w:val="28"/>
        </w:rPr>
        <w:t>——</w:t>
      </w:r>
      <w:r>
        <w:rPr>
          <w:rFonts w:hint="eastAsia" w:ascii="Times New Roman" w:hAnsi="Times New Roman" w:eastAsia="宋体" w:cs="Times New Roman"/>
          <w:sz w:val="28"/>
          <w:szCs w:val="28"/>
        </w:rPr>
        <w:t>这是由于多离子组分中部分轻离子（如</w:t>
      </w:r>
      <w:r>
        <w:rPr>
          <w:rFonts w:ascii="Times New Roman" w:hAnsi="Times New Roman" w:eastAsia="宋体" w:cs="Times New Roman"/>
          <w:sz w:val="28"/>
          <w:szCs w:val="28"/>
        </w:rPr>
        <w:t>H</w:t>
      </w:r>
      <w:r>
        <w:rPr>
          <w:rFonts w:hint="eastAsia" w:ascii="Times New Roman" w:hAnsi="Times New Roman" w:eastAsia="宋体" w:cs="Times New Roman"/>
          <w:sz w:val="28"/>
          <w:szCs w:val="28"/>
        </w:rPr>
        <w:t>离子）的热速度与</w:t>
      </w:r>
      <w:r>
        <w:rPr>
          <w:rFonts w:ascii="Times New Roman" w:hAnsi="Times New Roman" w:eastAsia="宋体" w:cs="Times New Roman"/>
          <w:sz w:val="28"/>
          <w:szCs w:val="28"/>
        </w:rPr>
        <w:t>IAW</w:t>
      </w:r>
      <w:r>
        <w:rPr>
          <w:rFonts w:hint="eastAsia" w:ascii="Times New Roman" w:hAnsi="Times New Roman" w:eastAsia="宋体" w:cs="Times New Roman"/>
          <w:sz w:val="28"/>
          <w:szCs w:val="28"/>
        </w:rPr>
        <w:t>相速度接近，处于共振区间的离子数增多，从而朗道阻尼更强。无论采用哪种离子描述，开启碰撞模块后</w:t>
      </w:r>
      <w:r>
        <w:rPr>
          <w:rFonts w:ascii="Times New Roman" w:hAnsi="Times New Roman" w:eastAsia="宋体" w:cs="Times New Roman"/>
          <w:sz w:val="28"/>
          <w:szCs w:val="28"/>
        </w:rPr>
        <w:t>IAW</w:t>
      </w:r>
      <w:r>
        <w:rPr>
          <w:rFonts w:hint="eastAsia" w:ascii="Times New Roman" w:hAnsi="Times New Roman" w:eastAsia="宋体" w:cs="Times New Roman"/>
          <w:sz w:val="28"/>
          <w:szCs w:val="28"/>
        </w:rPr>
        <w:t>增长率均获得了进一步显著降低，表明离子间碰撞阻尼与多离子组分朗道阻尼可叠加作用，共同抑制</w:t>
      </w:r>
      <w:r>
        <w:rPr>
          <w:rFonts w:ascii="Times New Roman" w:hAnsi="Times New Roman" w:eastAsia="宋体" w:cs="Times New Roman"/>
          <w:sz w:val="28"/>
          <w:szCs w:val="28"/>
        </w:rPr>
        <w:t>SBS</w:t>
      </w:r>
      <w:r>
        <w:rPr>
          <w:rFonts w:hint="eastAsia" w:ascii="Times New Roman" w:hAnsi="Times New Roman" w:eastAsia="宋体" w:cs="Times New Roman"/>
          <w:sz w:val="28"/>
          <w:szCs w:val="28"/>
        </w:rPr>
        <w:t>。其中，多离子组分效应通过增强共振粒子吸收波能来抑制</w:t>
      </w:r>
      <w:r>
        <w:rPr>
          <w:rFonts w:ascii="Times New Roman" w:hAnsi="Times New Roman" w:eastAsia="宋体" w:cs="Times New Roman"/>
          <w:sz w:val="28"/>
          <w:szCs w:val="28"/>
        </w:rPr>
        <w:t>IAW</w:t>
      </w:r>
      <w:r>
        <w:rPr>
          <w:rFonts w:hint="eastAsia" w:ascii="Times New Roman" w:hAnsi="Times New Roman" w:eastAsia="宋体" w:cs="Times New Roman"/>
          <w:sz w:val="28"/>
          <w:szCs w:val="28"/>
        </w:rPr>
        <w:t>，而碰撞效应则通过离子间库仑散射将波能直接耗散为热能。二者协同作用下，</w:t>
      </w:r>
      <w:r>
        <w:rPr>
          <w:rFonts w:ascii="Times New Roman" w:hAnsi="Times New Roman" w:eastAsia="宋体" w:cs="Times New Roman"/>
          <w:sz w:val="28"/>
          <w:szCs w:val="28"/>
        </w:rPr>
        <w:t>SBS</w:t>
      </w:r>
      <w:r>
        <w:rPr>
          <w:rFonts w:hint="eastAsia" w:ascii="Times New Roman" w:hAnsi="Times New Roman" w:eastAsia="宋体" w:cs="Times New Roman"/>
          <w:sz w:val="28"/>
          <w:szCs w:val="28"/>
        </w:rPr>
        <w:t>被显著抑制。</w:t>
      </w:r>
    </w:p>
    <w:p w14:paraId="59FC0420">
      <w:pPr>
        <w:jc w:val="center"/>
        <w:rPr>
          <w:rFonts w:hint="eastAsia"/>
        </w:rPr>
      </w:pPr>
      <w:r>
        <w:drawing>
          <wp:inline distT="0" distB="0" distL="0" distR="0">
            <wp:extent cx="2910840" cy="2193925"/>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70">
                      <a:extLst>
                        <a:ext uri="{28A0092B-C50C-407E-A947-70E740481C1C}">
                          <a14:useLocalDpi xmlns:a14="http://schemas.microsoft.com/office/drawing/2010/main" val="0"/>
                        </a:ext>
                      </a:extLst>
                    </a:blip>
                    <a:srcRect l="-1" t="13739" r="44790" b="22862"/>
                    <a:stretch>
                      <a:fillRect/>
                    </a:stretch>
                  </pic:blipFill>
                  <pic:spPr>
                    <a:xfrm>
                      <a:off x="0" y="0"/>
                      <a:ext cx="2912003" cy="2194470"/>
                    </a:xfrm>
                    <a:prstGeom prst="rect">
                      <a:avLst/>
                    </a:prstGeom>
                    <a:noFill/>
                    <a:ln>
                      <a:noFill/>
                    </a:ln>
                  </pic:spPr>
                </pic:pic>
              </a:graphicData>
            </a:graphic>
          </wp:inline>
        </w:drawing>
      </w:r>
    </w:p>
    <w:p w14:paraId="59FC0421">
      <w:pPr>
        <w:pStyle w:val="45"/>
        <w:jc w:val="both"/>
        <w:rPr>
          <w:rFonts w:ascii="Times New Roman" w:eastAsia="宋体"/>
          <w:sz w:val="24"/>
          <w:szCs w:val="24"/>
        </w:rPr>
      </w:pPr>
      <w:r>
        <w:rPr>
          <w:rFonts w:ascii="Times New Roman" w:eastAsia="宋体"/>
          <w:sz w:val="24"/>
          <w:szCs w:val="24"/>
        </w:rPr>
        <w:t>不同模型下IAW振幅随时间的演化。黑色：平均离子态，无碰撞；蓝色：平均离子态，有碰撞；紫色：多离子组分，无碰撞；红色：多离子组分，有碰撞。</w:t>
      </w:r>
      <w:r>
        <w:rPr>
          <w:rFonts w:hint="eastAsia" w:ascii="Times New Roman" w:eastAsia="宋体"/>
          <w:sz w:val="24"/>
          <w:szCs w:val="24"/>
        </w:rPr>
        <w:t>激光等离子体参数与图1</w:t>
      </w:r>
      <w:r>
        <w:rPr>
          <w:rFonts w:ascii="Times New Roman" w:eastAsia="宋体"/>
          <w:sz w:val="24"/>
          <w:szCs w:val="24"/>
        </w:rPr>
        <w:t>3</w:t>
      </w:r>
      <w:r>
        <w:rPr>
          <w:rFonts w:hint="eastAsia" w:ascii="Times New Roman" w:eastAsia="宋体"/>
          <w:sz w:val="24"/>
          <w:szCs w:val="24"/>
        </w:rPr>
        <w:t>相同。</w:t>
      </w:r>
    </w:p>
    <w:p w14:paraId="59FC0422">
      <w:pPr>
        <w:pStyle w:val="45"/>
        <w:numPr>
          <w:ilvl w:val="0"/>
          <w:numId w:val="0"/>
        </w:numPr>
        <w:ind w:left="420"/>
        <w:jc w:val="both"/>
        <w:rPr>
          <w:rFonts w:ascii="Times New Roman" w:eastAsia="宋体"/>
          <w:sz w:val="24"/>
          <w:szCs w:val="24"/>
        </w:rPr>
      </w:pPr>
    </w:p>
    <w:p w14:paraId="59FC0423">
      <w:pPr>
        <w:spacing w:line="520" w:lineRule="exact"/>
        <w:ind w:firstLine="420"/>
        <w:jc w:val="both"/>
        <w:rPr>
          <w:rFonts w:ascii="Times New Roman" w:hAnsi="Times New Roman" w:eastAsia="宋体" w:cs="Times New Roman"/>
          <w:sz w:val="28"/>
          <w:szCs w:val="28"/>
        </w:rPr>
      </w:pPr>
      <w:r>
        <w:rPr>
          <w:rFonts w:hint="eastAsia" w:ascii="Times New Roman" w:hAnsi="Times New Roman" w:eastAsia="宋体" w:cs="Times New Roman"/>
          <w:sz w:val="28"/>
          <w:szCs w:val="28"/>
        </w:rPr>
        <w:t>需要指出的是，碰撞效应在含有高Z离子的多组分等离子体中尤为显著。</w:t>
      </w:r>
      <w:r>
        <w:rPr>
          <w:rFonts w:ascii="Times New Roman" w:hAnsi="Times New Roman" w:eastAsia="宋体" w:cs="Times New Roman"/>
          <w:sz w:val="28"/>
          <w:szCs w:val="28"/>
        </w:rPr>
        <w:t>为</w:t>
      </w:r>
      <w:r>
        <w:rPr>
          <w:rFonts w:hint="eastAsia" w:ascii="Times New Roman" w:hAnsi="Times New Roman" w:eastAsia="宋体" w:cs="Times New Roman"/>
          <w:sz w:val="28"/>
          <w:szCs w:val="28"/>
        </w:rPr>
        <w:t>验证这一结论</w:t>
      </w:r>
      <w:r>
        <w:rPr>
          <w:rFonts w:ascii="Times New Roman" w:hAnsi="Times New Roman" w:eastAsia="宋体" w:cs="Times New Roman"/>
          <w:sz w:val="28"/>
          <w:szCs w:val="28"/>
        </w:rPr>
        <w:t>，</w:t>
      </w:r>
      <w:r>
        <w:rPr>
          <w:rFonts w:hint="eastAsia" w:ascii="Times New Roman" w:hAnsi="Times New Roman" w:eastAsia="宋体" w:cs="Times New Roman"/>
          <w:sz w:val="28"/>
          <w:szCs w:val="28"/>
        </w:rPr>
        <w:t>我们</w:t>
      </w:r>
      <w:r>
        <w:rPr>
          <w:rFonts w:ascii="Times New Roman" w:hAnsi="Times New Roman" w:eastAsia="宋体" w:cs="Times New Roman"/>
          <w:sz w:val="28"/>
          <w:szCs w:val="28"/>
        </w:rPr>
        <w:t>设置</w:t>
      </w:r>
      <w:r>
        <w:rPr>
          <w:rFonts w:hint="eastAsia" w:ascii="Times New Roman" w:hAnsi="Times New Roman" w:eastAsia="宋体" w:cs="Times New Roman"/>
          <w:sz w:val="28"/>
          <w:szCs w:val="28"/>
        </w:rPr>
        <w:t>如下</w:t>
      </w:r>
      <w:r>
        <w:rPr>
          <w:rFonts w:ascii="Times New Roman" w:hAnsi="Times New Roman" w:eastAsia="宋体" w:cs="Times New Roman"/>
          <w:sz w:val="28"/>
          <w:szCs w:val="28"/>
        </w:rPr>
        <w:t>模拟条件：等离子体由两组离子组成</w:t>
      </w:r>
      <w:r>
        <w:rPr>
          <w:rFonts w:hint="eastAsia" w:ascii="Times New Roman" w:hAnsi="Times New Roman" w:eastAsia="宋体" w:cs="Times New Roman"/>
          <w:sz w:val="28"/>
          <w:szCs w:val="28"/>
        </w:rPr>
        <w:t>，一组为纯Au离子，另一组为60%</w:t>
      </w:r>
      <w:r>
        <w:rPr>
          <w:rFonts w:ascii="Times New Roman" w:hAnsi="Times New Roman" w:eastAsia="宋体" w:cs="Times New Roman"/>
          <w:sz w:val="28"/>
          <w:szCs w:val="28"/>
        </w:rPr>
        <w:t>电离度Z</w:t>
      </w:r>
      <w:r>
        <w:rPr>
          <w:rFonts w:ascii="Times New Roman" w:hAnsi="Times New Roman" w:eastAsia="宋体" w:cs="Times New Roman"/>
          <w:sz w:val="28"/>
          <w:szCs w:val="28"/>
          <w:vertAlign w:val="subscript"/>
        </w:rPr>
        <w:t>Au</w:t>
      </w:r>
      <w:r>
        <w:rPr>
          <w:rFonts w:ascii="Times New Roman" w:hAnsi="Times New Roman" w:eastAsia="宋体" w:cs="Times New Roman"/>
          <w:sz w:val="28"/>
          <w:szCs w:val="28"/>
        </w:rPr>
        <w:t>=50的Au离子</w:t>
      </w:r>
      <w:r>
        <w:rPr>
          <w:rFonts w:hint="eastAsia" w:ascii="Times New Roman" w:hAnsi="Times New Roman" w:eastAsia="宋体" w:cs="Times New Roman"/>
          <w:sz w:val="28"/>
          <w:szCs w:val="28"/>
        </w:rPr>
        <w:t>与40%</w:t>
      </w:r>
      <w:r>
        <w:rPr>
          <w:rFonts w:ascii="Times New Roman" w:hAnsi="Times New Roman" w:eastAsia="宋体" w:cs="Times New Roman"/>
          <w:sz w:val="28"/>
          <w:szCs w:val="28"/>
        </w:rPr>
        <w:t>完全电离的B离子</w:t>
      </w:r>
      <w:r>
        <w:rPr>
          <w:rFonts w:hint="eastAsia" w:ascii="Times New Roman" w:hAnsi="Times New Roman" w:eastAsia="宋体" w:cs="Times New Roman"/>
          <w:sz w:val="28"/>
          <w:szCs w:val="28"/>
        </w:rPr>
        <w:t>的混合物</w:t>
      </w:r>
      <w:r>
        <w:rPr>
          <w:rFonts w:ascii="Times New Roman" w:hAnsi="Times New Roman" w:eastAsia="宋体" w:cs="Times New Roman"/>
          <w:sz w:val="28"/>
          <w:szCs w:val="28"/>
        </w:rPr>
        <w:t>，电子密度0.3</w:t>
      </w:r>
      <m:oMath>
        <m:sSub>
          <m:sSubPr>
            <m:ctrlPr>
              <w:rPr>
                <w:rFonts w:ascii="Cambria Math" w:hAnsi="Cambria Math" w:eastAsia="宋体"/>
                <w:sz w:val="28"/>
              </w:rPr>
            </m:ctrlPr>
          </m:sSubPr>
          <m:e>
            <m:r>
              <m:rPr/>
              <w:rPr>
                <w:rFonts w:ascii="Cambria Math" w:hAnsi="Cambria Math" w:eastAsia="宋体"/>
                <w:sz w:val="28"/>
              </w:rPr>
              <m:t>n</m:t>
            </m:r>
            <m:ctrlPr>
              <w:rPr>
                <w:rFonts w:ascii="Cambria Math" w:hAnsi="Cambria Math" w:eastAsia="宋体"/>
                <w:sz w:val="28"/>
              </w:rPr>
            </m:ctrlPr>
          </m:e>
          <m:sub>
            <m:r>
              <m:rPr/>
              <w:rPr>
                <w:rFonts w:ascii="Cambria Math" w:hAnsi="Cambria Math" w:eastAsia="宋体"/>
                <w:sz w:val="28"/>
              </w:rPr>
              <m:t>c</m:t>
            </m:r>
            <m:ctrlPr>
              <w:rPr>
                <w:rFonts w:ascii="Cambria Math" w:hAnsi="Cambria Math" w:eastAsia="宋体"/>
                <w:sz w:val="28"/>
              </w:rPr>
            </m:ctrlPr>
          </m:sub>
        </m:sSub>
      </m:oMath>
      <w:r>
        <w:rPr>
          <w:rFonts w:ascii="Times New Roman" w:hAnsi="Times New Roman" w:eastAsia="宋体" w:cs="Times New Roman"/>
          <w:sz w:val="28"/>
          <w:szCs w:val="28"/>
        </w:rPr>
        <w:t>，</w:t>
      </w:r>
      <m:oMath>
        <m:sSub>
          <m:sSubPr>
            <m:ctrlPr>
              <w:rPr>
                <w:rFonts w:ascii="Cambria Math" w:hAnsi="Cambria Math" w:eastAsia="宋体"/>
                <w:sz w:val="28"/>
              </w:rPr>
            </m:ctrlPr>
          </m:sSubPr>
          <m:e>
            <m:r>
              <m:rPr>
                <m:sty m:val="p"/>
              </m:rPr>
              <w:rPr>
                <w:rFonts w:ascii="Cambria Math" w:hAnsi="Cambria Math" w:eastAsia="宋体"/>
                <w:sz w:val="28"/>
              </w:rPr>
              <m:t>T</m:t>
            </m:r>
            <m:ctrlPr>
              <w:rPr>
                <w:rFonts w:ascii="Cambria Math" w:hAnsi="Cambria Math" w:eastAsia="宋体"/>
                <w:sz w:val="28"/>
              </w:rPr>
            </m:ctrlPr>
          </m:e>
          <m:sub>
            <m:r>
              <m:rPr>
                <m:sty m:val="p"/>
              </m:rPr>
              <w:rPr>
                <w:rFonts w:ascii="Cambria Math" w:hAnsi="Cambria Math" w:eastAsia="宋体"/>
                <w:sz w:val="28"/>
              </w:rPr>
              <m:t>e</m:t>
            </m:r>
            <m:ctrlPr>
              <w:rPr>
                <w:rFonts w:ascii="Cambria Math" w:hAnsi="Cambria Math" w:eastAsia="宋体"/>
                <w:sz w:val="28"/>
              </w:rPr>
            </m:ctrlPr>
          </m:sub>
        </m:sSub>
      </m:oMath>
      <w:r>
        <w:rPr>
          <w:rFonts w:ascii="Times New Roman" w:hAnsi="Times New Roman" w:eastAsia="宋体" w:cs="Times New Roman"/>
          <w:sz w:val="28"/>
          <w:szCs w:val="28"/>
        </w:rPr>
        <w:t xml:space="preserve">= </w:t>
      </w:r>
      <w:r>
        <w:rPr>
          <w:rFonts w:hint="eastAsia" w:ascii="Times New Roman" w:hAnsi="Times New Roman" w:eastAsia="宋体" w:cs="Times New Roman"/>
          <w:sz w:val="28"/>
          <w:szCs w:val="28"/>
        </w:rPr>
        <w:t>3</w:t>
      </w:r>
      <w:r>
        <w:rPr>
          <w:rFonts w:ascii="Times New Roman" w:hAnsi="Times New Roman" w:eastAsia="宋体" w:cs="Times New Roman"/>
          <w:sz w:val="28"/>
          <w:szCs w:val="28"/>
        </w:rPr>
        <w:t xml:space="preserve"> keV，</w:t>
      </w:r>
      <m:oMath>
        <m:sSub>
          <m:sSubPr>
            <m:ctrlPr>
              <w:rPr>
                <w:rFonts w:ascii="Cambria Math" w:hAnsi="Cambria Math" w:eastAsia="宋体"/>
                <w:sz w:val="28"/>
              </w:rPr>
            </m:ctrlPr>
          </m:sSubPr>
          <m:e>
            <m:r>
              <m:rPr>
                <m:sty m:val="p"/>
              </m:rPr>
              <w:rPr>
                <w:rFonts w:ascii="Cambria Math" w:hAnsi="Cambria Math" w:eastAsia="宋体"/>
                <w:sz w:val="28"/>
              </w:rPr>
              <m:t>T</m:t>
            </m:r>
            <m:ctrlPr>
              <w:rPr>
                <w:rFonts w:ascii="Cambria Math" w:hAnsi="Cambria Math" w:eastAsia="宋体"/>
                <w:sz w:val="28"/>
              </w:rPr>
            </m:ctrlPr>
          </m:e>
          <m:sub>
            <m:r>
              <m:rPr>
                <m:sty m:val="p"/>
              </m:rPr>
              <w:rPr>
                <w:rFonts w:ascii="Cambria Math" w:hAnsi="Cambria Math" w:eastAsia="宋体"/>
                <w:sz w:val="28"/>
              </w:rPr>
              <m:t>Au</m:t>
            </m:r>
            <m:ctrlPr>
              <w:rPr>
                <w:rFonts w:ascii="Cambria Math" w:hAnsi="Cambria Math" w:eastAsia="宋体"/>
                <w:sz w:val="28"/>
              </w:rPr>
            </m:ctrlPr>
          </m:sub>
        </m:sSub>
      </m:oMath>
      <w:r>
        <w:rPr>
          <w:rFonts w:ascii="Times New Roman" w:hAnsi="Times New Roman" w:eastAsia="宋体" w:cs="Times New Roman"/>
          <w:sz w:val="28"/>
          <w:szCs w:val="28"/>
        </w:rPr>
        <w:t xml:space="preserve">= </w:t>
      </w:r>
      <m:oMath>
        <m:sSub>
          <m:sSubPr>
            <m:ctrlPr>
              <w:rPr>
                <w:rFonts w:ascii="Cambria Math" w:hAnsi="Cambria Math" w:eastAsia="宋体"/>
                <w:sz w:val="28"/>
              </w:rPr>
            </m:ctrlPr>
          </m:sSubPr>
          <m:e>
            <m:r>
              <m:rPr>
                <m:sty m:val="p"/>
              </m:rPr>
              <w:rPr>
                <w:rFonts w:ascii="Cambria Math" w:hAnsi="Cambria Math" w:eastAsia="宋体"/>
                <w:sz w:val="28"/>
              </w:rPr>
              <m:t>T</m:t>
            </m:r>
            <m:ctrlPr>
              <w:rPr>
                <w:rFonts w:ascii="Cambria Math" w:hAnsi="Cambria Math" w:eastAsia="宋体"/>
                <w:sz w:val="28"/>
              </w:rPr>
            </m:ctrlPr>
          </m:e>
          <m:sub>
            <m:r>
              <m:rPr>
                <m:sty m:val="p"/>
              </m:rPr>
              <w:rPr>
                <w:rFonts w:ascii="Cambria Math" w:hAnsi="Cambria Math" w:eastAsia="宋体"/>
                <w:sz w:val="28"/>
              </w:rPr>
              <m:t>B</m:t>
            </m:r>
            <m:ctrlPr>
              <w:rPr>
                <w:rFonts w:ascii="Cambria Math" w:hAnsi="Cambria Math" w:eastAsia="宋体"/>
                <w:sz w:val="28"/>
              </w:rPr>
            </m:ctrlPr>
          </m:sub>
        </m:sSub>
      </m:oMath>
      <w:r>
        <w:rPr>
          <w:rFonts w:ascii="Times New Roman" w:hAnsi="Times New Roman" w:eastAsia="宋体" w:cs="Times New Roman"/>
          <w:sz w:val="28"/>
          <w:szCs w:val="28"/>
        </w:rPr>
        <w:t xml:space="preserve">= </w:t>
      </w:r>
      <w:r>
        <w:rPr>
          <w:rFonts w:hint="eastAsia" w:ascii="Times New Roman" w:hAnsi="Times New Roman" w:eastAsia="宋体" w:cs="Times New Roman"/>
          <w:sz w:val="28"/>
          <w:szCs w:val="28"/>
        </w:rPr>
        <w:t>1</w:t>
      </w:r>
      <w:r>
        <w:rPr>
          <w:rFonts w:ascii="Times New Roman" w:hAnsi="Times New Roman" w:eastAsia="宋体" w:cs="Times New Roman"/>
          <w:sz w:val="28"/>
          <w:szCs w:val="28"/>
        </w:rPr>
        <w:t xml:space="preserve"> keV</w:t>
      </w:r>
      <w:r>
        <w:rPr>
          <w:rFonts w:hint="eastAsia" w:ascii="Times New Roman" w:hAnsi="Times New Roman" w:eastAsia="宋体" w:cs="Times New Roman"/>
          <w:sz w:val="28"/>
          <w:szCs w:val="28"/>
        </w:rPr>
        <w:t>，入射激光强度</w:t>
      </w:r>
      <w:r>
        <w:rPr>
          <w:rFonts w:ascii="Cambria Math" w:hAnsi="Cambria Math" w:cs="Cambria Math"/>
          <w:sz w:val="28"/>
          <w:szCs w:val="28"/>
        </w:rPr>
        <w:t>𝐼</w:t>
      </w:r>
      <w:r>
        <w:rPr>
          <w:rFonts w:ascii="Times New Roman" w:hAnsi="Times New Roman" w:cs="Times New Roman"/>
          <w:sz w:val="28"/>
          <w:szCs w:val="28"/>
          <w:vertAlign w:val="subscript"/>
        </w:rPr>
        <w:t>0</w:t>
      </w:r>
      <w:r>
        <w:rPr>
          <w:sz w:val="28"/>
          <w:szCs w:val="28"/>
        </w:rPr>
        <w:t xml:space="preserve"> </w:t>
      </w:r>
      <w:r>
        <w:rPr>
          <w:rFonts w:ascii="Times New Roman" w:hAnsi="Times New Roman" w:cs="Times New Roman"/>
          <w:sz w:val="28"/>
          <w:szCs w:val="28"/>
        </w:rPr>
        <w:t xml:space="preserve">= </w:t>
      </w:r>
      <w:r>
        <w:rPr>
          <w:rFonts w:hint="eastAsia" w:ascii="Times New Roman" w:cs="Times New Roman"/>
          <w:sz w:val="28"/>
          <w:szCs w:val="28"/>
        </w:rPr>
        <w:t>3</w:t>
      </w:r>
      <w:r>
        <w:rPr>
          <w:rFonts w:ascii="Times New Roman" w:hAnsi="Times New Roman" w:cs="Times New Roman"/>
          <w:sz w:val="28"/>
          <w:szCs w:val="28"/>
        </w:rPr>
        <w:t>.0 × 10</w:t>
      </w:r>
      <w:r>
        <w:rPr>
          <w:rFonts w:ascii="Times New Roman" w:hAnsi="Times New Roman" w:cs="Times New Roman"/>
          <w:sz w:val="28"/>
          <w:szCs w:val="28"/>
          <w:vertAlign w:val="superscript"/>
        </w:rPr>
        <w:t>15</w:t>
      </w:r>
      <w:r>
        <w:rPr>
          <w:rFonts w:ascii="Times New Roman" w:hAnsi="Times New Roman" w:cs="Times New Roman"/>
          <w:sz w:val="28"/>
          <w:szCs w:val="28"/>
        </w:rPr>
        <w:t xml:space="preserve"> W/cm</w:t>
      </w:r>
      <w:r>
        <w:rPr>
          <w:sz w:val="28"/>
          <w:szCs w:val="28"/>
          <w:vertAlign w:val="superscript"/>
        </w:rPr>
        <w:t>2</w:t>
      </w:r>
      <w:r>
        <w:rPr>
          <w:rFonts w:hint="eastAsia" w:ascii="Times New Roman" w:hAnsi="Times New Roman" w:eastAsia="宋体" w:cs="Times New Roman"/>
          <w:sz w:val="28"/>
          <w:szCs w:val="28"/>
        </w:rPr>
        <w:t>。</w:t>
      </w:r>
    </w:p>
    <w:p w14:paraId="59FC0424">
      <w:pPr>
        <w:spacing w:line="520" w:lineRule="exact"/>
        <w:ind w:firstLine="420"/>
        <w:jc w:val="both"/>
        <w:rPr>
          <w:rFonts w:ascii="Times New Roman" w:hAnsi="Times New Roman" w:eastAsia="宋体" w:cs="Times New Roman"/>
          <w:sz w:val="28"/>
          <w:szCs w:val="28"/>
        </w:rPr>
      </w:pPr>
      <w:r>
        <w:rPr>
          <w:rFonts w:ascii="Times New Roman" w:hAnsi="Times New Roman" w:eastAsia="宋体" w:cs="Times New Roman"/>
          <w:sz w:val="28"/>
          <w:szCs w:val="28"/>
        </w:rPr>
        <w:t>图16(a) 对比了三种情况下的瞬时反射率时间演化：无碰撞纯Au等离子体、无碰撞AuB等离子体以及包含碰撞效应的AuB等离子体。纯Au等离子体中，Au离子质量较大，热速度远小于IAW相速度，难以被共振俘获，朗道阻尼极弱，SBS被强烈激发，几乎反射了全部入射激光能量</w:t>
      </w:r>
      <w:r>
        <w:rPr>
          <w:rFonts w:hint="eastAsia" w:ascii="Times New Roman" w:hAnsi="Times New Roman" w:eastAsia="宋体" w:cs="Times New Roman"/>
          <w:sz w:val="28"/>
          <w:szCs w:val="28"/>
        </w:rPr>
        <w:t>。</w:t>
      </w:r>
    </w:p>
    <w:p w14:paraId="59FC0425">
      <w:pPr>
        <w:spacing w:line="520" w:lineRule="exact"/>
        <w:ind w:firstLine="420"/>
        <w:jc w:val="both"/>
        <w:rPr>
          <w:rFonts w:ascii="Times New Roman" w:hAnsi="Times New Roman" w:eastAsia="宋体" w:cs="Times New Roman"/>
          <w:sz w:val="28"/>
          <w:szCs w:val="28"/>
        </w:rPr>
      </w:pPr>
      <w:r>
        <w:rPr>
          <w:rFonts w:ascii="Times New Roman" w:hAnsi="Times New Roman" w:eastAsia="宋体" w:cs="Times New Roman"/>
          <w:sz w:val="28"/>
          <w:szCs w:val="28"/>
        </w:rPr>
        <w:t>相比之下，掺入B离子后，由于B离子质量较轻、热速度较大，更易接近IAW相速度，共振粒子数增多，朗道阻尼有效增强。如图16(b)–(d) 的离子速度分布与相空间分布所示，IAW相速度附近的B离子受到明显俘获，速度分布出现平台结构，而Au离子几乎无贡献。相应地，SBS反射率由接近100%降至约25%</w:t>
      </w:r>
      <w:r>
        <w:rPr>
          <w:rFonts w:hint="eastAsia" w:ascii="Times New Roman" w:hAnsi="Times New Roman" w:eastAsia="宋体" w:cs="Times New Roman"/>
          <w:sz w:val="28"/>
          <w:szCs w:val="28"/>
        </w:rPr>
        <w:t>。</w:t>
      </w:r>
    </w:p>
    <w:p w14:paraId="59FC0426">
      <w:pPr>
        <w:spacing w:line="520" w:lineRule="exact"/>
        <w:ind w:firstLine="420"/>
        <w:jc w:val="both"/>
        <w:rPr>
          <w:rFonts w:ascii="Times New Roman" w:hAnsi="Times New Roman" w:eastAsia="宋体" w:cs="Times New Roman"/>
          <w:sz w:val="28"/>
          <w:szCs w:val="28"/>
        </w:rPr>
      </w:pPr>
      <w:r>
        <w:rPr>
          <w:rFonts w:ascii="Times New Roman" w:hAnsi="Times New Roman" w:eastAsia="宋体" w:cs="Times New Roman"/>
          <w:sz w:val="28"/>
          <w:szCs w:val="28"/>
        </w:rPr>
        <w:t>进一步考虑碰撞效应后，离子间碰撞阻尼（包括Au-B种间碰撞与Au-Au碰撞）将IAW的定向动能耗散为热能，同时激光碰撞吸收显著增强（总吸收率约38.6%），两者叠加使SBS被几乎完全抑制</w:t>
      </w:r>
      <w:r>
        <w:rPr>
          <w:rFonts w:hint="eastAsia" w:ascii="Times New Roman" w:hAnsi="Times New Roman" w:eastAsia="宋体" w:cs="Times New Roman"/>
          <w:sz w:val="28"/>
          <w:szCs w:val="28"/>
        </w:rPr>
        <w:t>。</w:t>
      </w:r>
    </w:p>
    <w:p w14:paraId="59FC0427">
      <w:pPr>
        <w:spacing w:line="120" w:lineRule="auto"/>
        <w:jc w:val="center"/>
        <w:rPr>
          <w:rFonts w:hint="eastAsia"/>
        </w:rPr>
      </w:pPr>
      <w:r>
        <w:drawing>
          <wp:inline distT="0" distB="0" distL="114300" distR="114300">
            <wp:extent cx="4886325" cy="3599815"/>
            <wp:effectExtent l="0" t="0" r="3175" b="635"/>
            <wp:docPr id="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pic:cNvPicPr>
                      <a:picLocks noChangeAspect="1"/>
                    </pic:cNvPicPr>
                  </pic:nvPicPr>
                  <pic:blipFill>
                    <a:blip r:embed="rId71"/>
                    <a:srcRect l="2020" t="2311"/>
                    <a:stretch>
                      <a:fillRect/>
                    </a:stretch>
                  </pic:blipFill>
                  <pic:spPr>
                    <a:xfrm>
                      <a:off x="0" y="0"/>
                      <a:ext cx="4886325" cy="3599815"/>
                    </a:xfrm>
                    <a:prstGeom prst="rect">
                      <a:avLst/>
                    </a:prstGeom>
                    <a:noFill/>
                    <a:ln>
                      <a:noFill/>
                    </a:ln>
                  </pic:spPr>
                </pic:pic>
              </a:graphicData>
            </a:graphic>
          </wp:inline>
        </w:drawing>
      </w:r>
    </w:p>
    <w:p w14:paraId="59FC0428">
      <w:pPr>
        <w:pStyle w:val="45"/>
        <w:jc w:val="both"/>
        <w:rPr>
          <w:rFonts w:ascii="Times New Roman" w:eastAsia="宋体"/>
          <w:sz w:val="24"/>
          <w:szCs w:val="24"/>
        </w:rPr>
      </w:pPr>
      <w:r>
        <w:rPr>
          <w:rFonts w:hint="eastAsia" w:ascii="Times New Roman" w:eastAsia="宋体"/>
          <w:sz w:val="24"/>
          <w:szCs w:val="24"/>
        </w:rPr>
        <w:t>(a) 纯Au与AuB等离子体中SBS瞬时反射率的时间演化；(b) 无碰撞AuB模拟中的离子速度分布；(c) 无碰撞AuB模拟中Au离子相空间分布；(d) 无碰撞AuB模拟中B离子相空间分布。</w:t>
      </w:r>
    </w:p>
    <w:p w14:paraId="59FC0429">
      <w:pPr>
        <w:spacing w:line="520" w:lineRule="exact"/>
        <w:rPr>
          <w:rFonts w:ascii="Times New Roman" w:hAnsi="Times New Roman" w:eastAsia="宋体" w:cs="Times New Roman"/>
          <w:kern w:val="0"/>
          <w:sz w:val="24"/>
          <w14:ligatures w14:val="none"/>
        </w:rPr>
      </w:pPr>
    </w:p>
    <w:p w14:paraId="59FC042A">
      <w:pPr>
        <w:spacing w:line="520" w:lineRule="exact"/>
        <w:ind w:firstLine="420"/>
        <w:jc w:val="both"/>
        <w:rPr>
          <w:rFonts w:ascii="Times New Roman" w:hAnsi="Times New Roman" w:eastAsia="宋体" w:cs="Times New Roman"/>
          <w:sz w:val="28"/>
          <w:szCs w:val="28"/>
        </w:rPr>
      </w:pPr>
      <w:r>
        <w:rPr>
          <w:rFonts w:hint="eastAsia" w:ascii="Times New Roman" w:hAnsi="Times New Roman" w:eastAsia="宋体" w:cs="Times New Roman"/>
          <w:sz w:val="28"/>
          <w:szCs w:val="28"/>
        </w:rPr>
        <w:t>综上所述，本工作围绕多组分等离子体中离子组分效应与碰撞效应对</w:t>
      </w:r>
      <w:r>
        <w:rPr>
          <w:rFonts w:ascii="Times New Roman" w:hAnsi="Times New Roman" w:eastAsia="宋体" w:cs="Times New Roman"/>
          <w:sz w:val="28"/>
          <w:szCs w:val="28"/>
        </w:rPr>
        <w:t>LPI（特别是SBS）的影响，开展了系统的理论分析与数值模拟研究，主要获得以下认识：</w:t>
      </w:r>
      <w:r>
        <w:rPr>
          <w:rFonts w:hint="eastAsia" w:ascii="Times New Roman" w:hAnsi="Times New Roman" w:eastAsia="宋体" w:cs="Times New Roman"/>
          <w:sz w:val="28"/>
          <w:szCs w:val="28"/>
        </w:rPr>
        <w:t>1）多离子组分效应从根本上改变</w:t>
      </w:r>
      <w:r>
        <w:rPr>
          <w:rFonts w:ascii="Times New Roman" w:hAnsi="Times New Roman" w:eastAsia="宋体" w:cs="Times New Roman"/>
          <w:sz w:val="28"/>
          <w:szCs w:val="28"/>
        </w:rPr>
        <w:t>IAW色散特性。与单一组分等离子体不同，多组分等离子体支持快、慢两支IAW模式，SBS通常与其中阻尼较小的一支共振。随着轻离子占比变化，两支模式的朗道阻尼此消彼长，SBS激发的IAW分支可发生模式转变，并伴随散射光频率的相应移动。</w:t>
      </w:r>
      <w:r>
        <w:rPr>
          <w:rFonts w:hint="eastAsia" w:ascii="Times New Roman" w:hAnsi="Times New Roman" w:eastAsia="宋体" w:cs="Times New Roman"/>
          <w:sz w:val="28"/>
          <w:szCs w:val="28"/>
        </w:rPr>
        <w:t>2）平均离子态描述与多离子组分描述差异显著。平均离子态描述因抹平了不同离子对朗道阻尼的差异化贡献，在高</w:t>
      </w:r>
      <w:r>
        <w:rPr>
          <w:rFonts w:ascii="Times New Roman" w:hAnsi="Times New Roman" w:eastAsia="宋体" w:cs="Times New Roman"/>
          <w:sz w:val="28"/>
          <w:szCs w:val="28"/>
        </w:rPr>
        <w:t>H占比区域严重低估阻尼率，从而高估SBS份额。多离子组分描述下，轻离子（如H）的共振吸收成为IAW的主要阻尼机制，使SBS反射率从平均离子态预测的~50%降至实际模拟的~15%甚至更低。</w:t>
      </w:r>
      <w:r>
        <w:rPr>
          <w:rFonts w:hint="eastAsia" w:ascii="Times New Roman" w:hAnsi="Times New Roman" w:eastAsia="宋体" w:cs="Times New Roman"/>
          <w:sz w:val="28"/>
          <w:szCs w:val="28"/>
        </w:rPr>
        <w:t>3）多离子组分效应与碰撞效应可协同抑制</w:t>
      </w:r>
      <w:r>
        <w:rPr>
          <w:rFonts w:ascii="Times New Roman" w:hAnsi="Times New Roman" w:eastAsia="宋体" w:cs="Times New Roman"/>
          <w:sz w:val="28"/>
          <w:szCs w:val="28"/>
        </w:rPr>
        <w:t>SBS。多离子组分效应通过增强共振粒子的朗道阻尼抑制IAW，碰撞效应则通过离子间库仑散射将IAW能量直接耗散为热能。两者叠加时，SBS被显著抑制。在含高Z离子的AuB等离子体中，朗道阻尼与碰撞阻尼协同作用，结合~38.6%的激光碰撞吸收，SBS被几乎完全抑制。</w:t>
      </w:r>
      <w:r>
        <w:rPr>
          <w:rFonts w:hint="eastAsia" w:ascii="Times New Roman" w:hAnsi="Times New Roman" w:eastAsia="宋体" w:cs="Times New Roman"/>
          <w:sz w:val="28"/>
          <w:szCs w:val="28"/>
        </w:rPr>
        <w:t>4）多峰光谱揭示多模竞争机制。多离子组分描述下，</w:t>
      </w:r>
      <w:r>
        <w:rPr>
          <w:rFonts w:ascii="Times New Roman" w:hAnsi="Times New Roman" w:eastAsia="宋体" w:cs="Times New Roman"/>
          <w:sz w:val="28"/>
          <w:szCs w:val="28"/>
        </w:rPr>
        <w:t>SBS光谱出现多峰结构，表明快、慢模式同时与激光耦合，泵浦能量被分散至多个IAW分支，单一模式增长受限，这是SBS份额在高H占比时低于理论预期的另一重要原因。</w:t>
      </w:r>
    </w:p>
    <w:p w14:paraId="59FC042B">
      <w:pPr>
        <w:spacing w:line="520" w:lineRule="exact"/>
        <w:ind w:firstLine="420"/>
        <w:jc w:val="both"/>
        <w:rPr>
          <w:rFonts w:ascii="Times New Roman" w:hAnsi="Times New Roman" w:eastAsia="宋体" w:cs="Times New Roman"/>
          <w:sz w:val="28"/>
          <w:szCs w:val="28"/>
        </w:rPr>
      </w:pPr>
      <w:r>
        <w:rPr>
          <w:rFonts w:hint="eastAsia" w:ascii="Times New Roman" w:hAnsi="Times New Roman" w:eastAsia="宋体" w:cs="Times New Roman"/>
          <w:sz w:val="28"/>
          <w:szCs w:val="28"/>
        </w:rPr>
        <w:t>本工作表明，在实际黑腔等离子体中，离子组分的多样性及其伴随的动理学效应不可忽略。采用平均离子态简化描述可能系统性低估</w:t>
      </w:r>
      <w:r>
        <w:rPr>
          <w:rFonts w:ascii="Times New Roman" w:hAnsi="Times New Roman" w:eastAsia="宋体" w:cs="Times New Roman"/>
          <w:sz w:val="28"/>
          <w:szCs w:val="28"/>
        </w:rPr>
        <w:t>SBS抑制效果，进而影响点火条件评估的准确性。多组分效应与碰撞效应协同抑制SBS的机制，为黑腔等离子体参数优化（如合理调控填充气体组分与比例）提供了物理依据。</w:t>
      </w:r>
    </w:p>
    <w:p w14:paraId="59FC042C">
      <w:pPr>
        <w:spacing w:line="520" w:lineRule="exact"/>
        <w:rPr>
          <w:rFonts w:hint="eastAsia" w:ascii="宋体" w:hAnsi="宋体" w:eastAsia="宋体"/>
          <w:i/>
          <w:iCs/>
          <w:sz w:val="28"/>
          <w:szCs w:val="28"/>
        </w:rPr>
      </w:pPr>
    </w:p>
    <w:p w14:paraId="59FC042D">
      <w:pPr>
        <w:spacing w:line="520" w:lineRule="exact"/>
        <w:rPr>
          <w:rFonts w:hint="eastAsia" w:ascii="宋体" w:hAnsi="宋体" w:eastAsia="宋体"/>
          <w:b/>
          <w:bCs/>
          <w:sz w:val="28"/>
          <w:szCs w:val="28"/>
        </w:rPr>
      </w:pPr>
      <w:r>
        <w:rPr>
          <w:rFonts w:ascii="宋体" w:hAnsi="宋体" w:eastAsia="宋体"/>
          <w:b/>
          <w:bCs/>
          <w:sz w:val="28"/>
          <w:szCs w:val="28"/>
        </w:rPr>
        <w:t>（3）数据 1：</w:t>
      </w:r>
      <w:r>
        <w:rPr>
          <w:rFonts w:hint="eastAsia" w:ascii="宋体" w:hAnsi="宋体" w:eastAsia="宋体"/>
          <w:b/>
          <w:bCs/>
          <w:sz w:val="28"/>
          <w:szCs w:val="28"/>
        </w:rPr>
        <w:t>多组份等离子体中的</w:t>
      </w:r>
      <w:r>
        <w:rPr>
          <w:rFonts w:ascii="宋体" w:hAnsi="宋体" w:eastAsia="宋体"/>
          <w:b/>
          <w:bCs/>
          <w:sz w:val="28"/>
          <w:szCs w:val="28"/>
        </w:rPr>
        <w:t>LPI数据</w:t>
      </w:r>
    </w:p>
    <w:p w14:paraId="59FC042E">
      <w:pPr>
        <w:spacing w:line="520" w:lineRule="exact"/>
        <w:rPr>
          <w:rFonts w:hint="eastAsia" w:ascii="宋体" w:hAnsi="宋体" w:eastAsia="宋体"/>
          <w:i/>
          <w:iCs/>
          <w:sz w:val="28"/>
          <w:szCs w:val="28"/>
        </w:rPr>
      </w:pPr>
      <w:r>
        <w:rPr>
          <w:rFonts w:ascii="宋体" w:hAnsi="宋体" w:eastAsia="宋体"/>
          <w:i/>
          <w:iCs/>
          <w:sz w:val="28"/>
          <w:szCs w:val="28"/>
        </w:rPr>
        <w:t>（完成情况）</w:t>
      </w:r>
    </w:p>
    <w:p w14:paraId="59FC042F">
      <w:pPr>
        <w:spacing w:line="520" w:lineRule="exact"/>
        <w:ind w:firstLine="420"/>
        <w:jc w:val="both"/>
        <w:rPr>
          <w:rFonts w:ascii="Times New Roman" w:hAnsi="Times New Roman" w:eastAsia="宋体" w:cs="Times New Roman"/>
          <w:sz w:val="28"/>
          <w:szCs w:val="28"/>
        </w:rPr>
      </w:pPr>
      <w:r>
        <w:rPr>
          <w:rFonts w:hint="eastAsia" w:ascii="Times New Roman" w:hAnsi="Times New Roman" w:eastAsia="宋体" w:cs="Times New Roman"/>
          <w:sz w:val="28"/>
          <w:szCs w:val="28"/>
        </w:rPr>
        <w:t>为了完成任务2：多组份等离子体中碰撞效应对</w:t>
      </w:r>
      <w:r>
        <w:rPr>
          <w:rFonts w:ascii="Times New Roman" w:hAnsi="Times New Roman" w:eastAsia="宋体" w:cs="Times New Roman"/>
          <w:sz w:val="28"/>
          <w:szCs w:val="28"/>
        </w:rPr>
        <w:t>LPI影响的研究</w:t>
      </w:r>
      <w:r>
        <w:rPr>
          <w:rFonts w:hint="eastAsia" w:ascii="Times New Roman" w:hAnsi="Times New Roman" w:eastAsia="宋体" w:cs="Times New Roman"/>
          <w:sz w:val="28"/>
          <w:szCs w:val="28"/>
        </w:rPr>
        <w:t>；我们开展了一系列数值模拟，这些模拟所输出的原始数据已打包，详见相关的电子资料。</w:t>
      </w:r>
    </w:p>
    <w:p w14:paraId="59FC0430">
      <w:pPr>
        <w:spacing w:line="520" w:lineRule="exact"/>
        <w:rPr>
          <w:rFonts w:hint="eastAsia" w:ascii="宋体" w:hAnsi="宋体" w:eastAsia="宋体"/>
          <w:sz w:val="28"/>
          <w:szCs w:val="28"/>
        </w:rPr>
      </w:pPr>
    </w:p>
    <w:p w14:paraId="59FC0431">
      <w:pPr>
        <w:pStyle w:val="38"/>
        <w:numPr>
          <w:ilvl w:val="0"/>
          <w:numId w:val="4"/>
        </w:numPr>
        <w:spacing w:line="360" w:lineRule="auto"/>
        <w:rPr>
          <w:rStyle w:val="26"/>
          <w:rFonts w:hint="eastAsia" w:ascii="楷体" w:hAnsi="楷体" w:eastAsia="楷体"/>
          <w:b/>
          <w:bCs/>
          <w:color w:val="auto"/>
          <w:sz w:val="28"/>
          <w:szCs w:val="28"/>
        </w:rPr>
      </w:pPr>
      <w:bookmarkStart w:id="8" w:name="_Toc239521152"/>
      <w:r>
        <w:rPr>
          <w:rStyle w:val="26"/>
          <w:rFonts w:hint="eastAsia" w:ascii="楷体" w:hAnsi="楷体" w:eastAsia="楷体"/>
          <w:b/>
          <w:bCs/>
          <w:color w:val="auto"/>
          <w:sz w:val="28"/>
          <w:szCs w:val="28"/>
        </w:rPr>
        <w:t>其他</w:t>
      </w:r>
      <w:r>
        <w:rPr>
          <w:rStyle w:val="26"/>
          <w:rFonts w:ascii="楷体" w:hAnsi="楷体" w:eastAsia="楷体"/>
          <w:b/>
          <w:bCs/>
          <w:color w:val="auto"/>
          <w:sz w:val="28"/>
          <w:szCs w:val="28"/>
        </w:rPr>
        <w:t>科研进展</w:t>
      </w:r>
      <w:bookmarkEnd w:id="8"/>
    </w:p>
    <w:p w14:paraId="59FC0432">
      <w:pPr>
        <w:spacing w:line="520" w:lineRule="exact"/>
        <w:rPr>
          <w:rFonts w:hint="eastAsia" w:ascii="宋体" w:hAnsi="宋体" w:eastAsia="宋体"/>
          <w:i/>
          <w:iCs/>
          <w:sz w:val="28"/>
          <w:szCs w:val="28"/>
        </w:rPr>
      </w:pPr>
      <w:r>
        <w:rPr>
          <w:rFonts w:ascii="宋体" w:hAnsi="宋体" w:eastAsia="宋体"/>
          <w:i/>
          <w:iCs/>
          <w:sz w:val="28"/>
          <w:szCs w:val="28"/>
        </w:rPr>
        <w:t>（对照合同中的其他目标(节点考察内容除外的)，按照条目阐述进展情况，每一条不少于 1 页）</w:t>
      </w:r>
    </w:p>
    <w:p w14:paraId="59FC0433">
      <w:pPr>
        <w:spacing w:line="520" w:lineRule="exact"/>
        <w:rPr>
          <w:rFonts w:hint="eastAsia" w:ascii="宋体" w:hAnsi="宋体" w:eastAsia="宋体"/>
          <w:b/>
          <w:bCs/>
          <w:sz w:val="28"/>
          <w:szCs w:val="28"/>
        </w:rPr>
      </w:pPr>
      <w:r>
        <w:rPr>
          <w:rFonts w:ascii="宋体" w:hAnsi="宋体" w:eastAsia="宋体"/>
          <w:b/>
          <w:bCs/>
          <w:sz w:val="28"/>
          <w:szCs w:val="28"/>
        </w:rPr>
        <w:t xml:space="preserve">（1） </w:t>
      </w:r>
      <w:r>
        <w:rPr>
          <w:rFonts w:hint="eastAsia" w:ascii="宋体" w:hAnsi="宋体" w:eastAsia="宋体"/>
          <w:b/>
          <w:bCs/>
          <w:sz w:val="28"/>
          <w:szCs w:val="28"/>
        </w:rPr>
        <w:t>进展</w:t>
      </w:r>
      <w:r>
        <w:rPr>
          <w:rFonts w:ascii="宋体" w:hAnsi="宋体" w:eastAsia="宋体"/>
          <w:b/>
          <w:bCs/>
          <w:sz w:val="28"/>
          <w:szCs w:val="28"/>
        </w:rPr>
        <w:t>1：</w:t>
      </w:r>
      <w:r>
        <w:rPr>
          <w:rFonts w:hint="eastAsia" w:ascii="宋体" w:hAnsi="宋体" w:eastAsia="宋体"/>
          <w:b/>
          <w:bCs/>
          <w:sz w:val="28"/>
          <w:szCs w:val="28"/>
        </w:rPr>
        <w:t>基于等离子体调制的高功率低相干激光脉冲产生</w:t>
      </w:r>
    </w:p>
    <w:p w14:paraId="59FC0434">
      <w:pPr>
        <w:spacing w:line="520" w:lineRule="exact"/>
        <w:ind w:firstLine="420"/>
        <w:jc w:val="both"/>
        <w:rPr>
          <w:rFonts w:ascii="Times New Roman" w:hAnsi="Times New Roman" w:eastAsia="宋体" w:cs="Times New Roman"/>
          <w:sz w:val="28"/>
          <w:szCs w:val="28"/>
        </w:rPr>
      </w:pPr>
      <w:r>
        <w:rPr>
          <w:rFonts w:hint="eastAsia" w:ascii="Times New Roman" w:hAnsi="Times New Roman" w:eastAsia="宋体" w:cs="Times New Roman"/>
          <w:sz w:val="28"/>
          <w:szCs w:val="28"/>
        </w:rPr>
        <w:t>在</w:t>
      </w:r>
      <w:r>
        <w:rPr>
          <w:rFonts w:ascii="Times New Roman" w:hAnsi="Times New Roman" w:eastAsia="宋体" w:cs="Times New Roman"/>
          <w:sz w:val="28"/>
          <w:szCs w:val="28"/>
        </w:rPr>
        <w:t>惯性约束聚变</w:t>
      </w:r>
      <w:r>
        <w:rPr>
          <w:rFonts w:hint="eastAsia" w:ascii="Times New Roman" w:hAnsi="Times New Roman" w:eastAsia="宋体" w:cs="Times New Roman"/>
          <w:sz w:val="28"/>
          <w:szCs w:val="28"/>
        </w:rPr>
        <w:t>（ICF）中，激光需要通过碰撞吸收等机制把能量高效、均匀地耦合到靶丸中，但实际过程中常会激发受激拉曼散射（SRS）、受激布里渊散射（SBS）、双等离子体衰变（TPD）等激光等离子体不稳定性（LPI）。这些LPI过程不仅消耗入射激光能量，降低耦合效率，还会产生高能电子预热靶丸，影响聚变压缩效率。大量研究表明，宽带、低相干的高功率激光有望通过破坏不稳定性增长所需的相位匹配条件来抑制这些LPI过程。</w:t>
      </w:r>
      <w:r>
        <w:rPr>
          <w:rFonts w:ascii="Times New Roman" w:hAnsi="Times New Roman" w:eastAsia="宋体" w:cs="Times New Roman"/>
          <w:sz w:val="28"/>
          <w:szCs w:val="28"/>
        </w:rPr>
        <w:t>在实验方面，</w:t>
      </w:r>
      <w:r>
        <w:rPr>
          <w:rFonts w:hint="eastAsia" w:ascii="Times New Roman" w:hAnsi="Times New Roman" w:eastAsia="宋体" w:cs="Times New Roman"/>
          <w:sz w:val="28"/>
          <w:szCs w:val="28"/>
        </w:rPr>
        <w:t>一些</w:t>
      </w:r>
      <w:r>
        <w:rPr>
          <w:rFonts w:ascii="Times New Roman" w:hAnsi="Times New Roman" w:eastAsia="宋体" w:cs="Times New Roman"/>
          <w:sz w:val="28"/>
          <w:szCs w:val="28"/>
        </w:rPr>
        <w:t>大</w:t>
      </w:r>
      <w:r>
        <w:rPr>
          <w:rFonts w:hint="eastAsia" w:ascii="Times New Roman" w:hAnsi="Times New Roman" w:eastAsia="宋体" w:cs="Times New Roman"/>
          <w:sz w:val="28"/>
          <w:szCs w:val="28"/>
        </w:rPr>
        <w:t>能量</w:t>
      </w:r>
      <w:r>
        <w:rPr>
          <w:rFonts w:ascii="Times New Roman" w:hAnsi="Times New Roman" w:eastAsia="宋体" w:cs="Times New Roman"/>
          <w:sz w:val="28"/>
          <w:szCs w:val="28"/>
        </w:rPr>
        <w:t>宽带激光装置</w:t>
      </w:r>
      <w:r>
        <w:rPr>
          <w:rFonts w:hint="eastAsia" w:ascii="Times New Roman" w:hAnsi="Times New Roman" w:eastAsia="宋体" w:cs="Times New Roman"/>
          <w:sz w:val="28"/>
          <w:szCs w:val="28"/>
        </w:rPr>
        <w:t>已</w:t>
      </w:r>
      <w:r>
        <w:rPr>
          <w:rFonts w:ascii="Times New Roman" w:hAnsi="Times New Roman" w:eastAsia="宋体" w:cs="Times New Roman"/>
          <w:sz w:val="28"/>
          <w:szCs w:val="28"/>
        </w:rPr>
        <w:t>陆续建成并投入运行，</w:t>
      </w:r>
      <w:r>
        <w:rPr>
          <w:rFonts w:hint="eastAsia" w:ascii="Times New Roman" w:hAnsi="Times New Roman" w:eastAsia="宋体" w:cs="Times New Roman"/>
          <w:sz w:val="28"/>
          <w:szCs w:val="28"/>
        </w:rPr>
        <w:t>譬如，</w:t>
      </w:r>
      <w:r>
        <w:rPr>
          <w:rFonts w:ascii="Times New Roman" w:hAnsi="Times New Roman" w:eastAsia="宋体" w:cs="Times New Roman"/>
          <w:sz w:val="28"/>
          <w:szCs w:val="28"/>
        </w:rPr>
        <w:t>上海激光等离子体研究所的“昆吾”(KunWu)低相干光平台</w:t>
      </w:r>
      <w:r>
        <w:rPr>
          <w:rFonts w:hint="eastAsia" w:ascii="Times New Roman" w:hAnsi="Times New Roman" w:eastAsia="宋体" w:cs="Times New Roman"/>
          <w:sz w:val="28"/>
          <w:szCs w:val="28"/>
        </w:rPr>
        <w:t>、</w:t>
      </w:r>
      <w:r>
        <w:rPr>
          <w:rFonts w:ascii="Times New Roman" w:hAnsi="Times New Roman" w:eastAsia="宋体" w:cs="Times New Roman"/>
          <w:sz w:val="28"/>
          <w:szCs w:val="28"/>
        </w:rPr>
        <w:t>美国罗</w:t>
      </w:r>
      <w:r>
        <w:rPr>
          <w:rFonts w:hint="eastAsia" w:ascii="Times New Roman" w:hAnsi="Times New Roman" w:eastAsia="宋体" w:cs="Times New Roman"/>
          <w:sz w:val="28"/>
          <w:szCs w:val="28"/>
        </w:rPr>
        <w:t>切</w:t>
      </w:r>
      <w:r>
        <w:rPr>
          <w:rFonts w:ascii="Times New Roman" w:hAnsi="Times New Roman" w:eastAsia="宋体" w:cs="Times New Roman"/>
          <w:sz w:val="28"/>
          <w:szCs w:val="28"/>
        </w:rPr>
        <w:t>斯特大学的FLUX宽带激光平台</w:t>
      </w:r>
      <w:r>
        <w:rPr>
          <w:rFonts w:hint="eastAsia" w:ascii="Times New Roman" w:hAnsi="Times New Roman" w:eastAsia="宋体" w:cs="Times New Roman"/>
          <w:sz w:val="28"/>
          <w:szCs w:val="28"/>
        </w:rPr>
        <w:t>、</w:t>
      </w:r>
      <w:r>
        <w:rPr>
          <w:rFonts w:ascii="Times New Roman" w:hAnsi="Times New Roman" w:eastAsia="宋体" w:cs="Times New Roman"/>
          <w:sz w:val="28"/>
          <w:szCs w:val="28"/>
        </w:rPr>
        <w:t>以及美国海军实验室的KrF激光</w:t>
      </w:r>
      <w:r>
        <w:rPr>
          <w:rFonts w:hint="eastAsia" w:ascii="Times New Roman" w:hAnsi="Times New Roman" w:eastAsia="宋体" w:cs="Times New Roman"/>
          <w:sz w:val="28"/>
          <w:szCs w:val="28"/>
        </w:rPr>
        <w:t>装置</w:t>
      </w:r>
      <w:r>
        <w:rPr>
          <w:rFonts w:ascii="Times New Roman" w:hAnsi="Times New Roman" w:eastAsia="宋体" w:cs="Times New Roman"/>
          <w:sz w:val="28"/>
          <w:szCs w:val="28"/>
        </w:rPr>
        <w:t>等</w:t>
      </w:r>
      <w:r>
        <w:rPr>
          <w:rFonts w:hint="eastAsia" w:ascii="Times New Roman" w:hAnsi="Times New Roman" w:eastAsia="宋体" w:cs="Times New Roman"/>
          <w:sz w:val="28"/>
          <w:szCs w:val="28"/>
        </w:rPr>
        <w:t>。</w:t>
      </w:r>
    </w:p>
    <w:p w14:paraId="59FC0435">
      <w:pPr>
        <w:spacing w:line="520" w:lineRule="exact"/>
        <w:ind w:firstLine="420"/>
        <w:jc w:val="both"/>
        <w:rPr>
          <w:rFonts w:ascii="Times New Roman" w:hAnsi="Times New Roman" w:eastAsia="宋体" w:cs="Times New Roman"/>
          <w:sz w:val="28"/>
          <w:szCs w:val="28"/>
        </w:rPr>
      </w:pPr>
      <w:r>
        <w:rPr>
          <w:rFonts w:hint="eastAsia" w:ascii="Times New Roman" w:hAnsi="Times New Roman" w:eastAsia="宋体" w:cs="Times New Roman"/>
          <w:sz w:val="28"/>
          <w:szCs w:val="28"/>
        </w:rPr>
        <w:t>传统光学方法虽然可以获得一定带宽的激光，但受到增益窄化以及倍频带宽有限等因素制约，通常难以将高功率激光的相对带宽提升到 1% 以上。而</w:t>
      </w:r>
      <w:r>
        <w:rPr>
          <w:rFonts w:ascii="Times New Roman" w:hAnsi="Times New Roman" w:eastAsia="宋体" w:cs="Times New Roman"/>
          <w:sz w:val="28"/>
          <w:szCs w:val="28"/>
        </w:rPr>
        <w:t>理论</w:t>
      </w:r>
      <w:r>
        <w:rPr>
          <w:rFonts w:hint="eastAsia" w:ascii="Times New Roman" w:hAnsi="Times New Roman" w:eastAsia="宋体" w:cs="Times New Roman"/>
          <w:sz w:val="28"/>
          <w:szCs w:val="28"/>
        </w:rPr>
        <w:t>研究</w:t>
      </w:r>
      <w:r>
        <w:rPr>
          <w:rFonts w:ascii="Times New Roman" w:hAnsi="Times New Roman" w:eastAsia="宋体" w:cs="Times New Roman"/>
          <w:sz w:val="28"/>
          <w:szCs w:val="28"/>
        </w:rPr>
        <w:t>表明需要</w:t>
      </w:r>
      <w:r>
        <w:rPr>
          <w:rFonts w:hint="eastAsia" w:ascii="Times New Roman" w:hAnsi="Times New Roman" w:eastAsia="宋体" w:cs="Times New Roman"/>
          <w:sz w:val="28"/>
          <w:szCs w:val="28"/>
        </w:rPr>
        <w:t>相对</w:t>
      </w:r>
      <w:r>
        <w:rPr>
          <w:rFonts w:ascii="Times New Roman" w:hAnsi="Times New Roman" w:eastAsia="宋体" w:cs="Times New Roman"/>
          <w:sz w:val="28"/>
          <w:szCs w:val="28"/>
        </w:rPr>
        <w:t>带宽</w:t>
      </w:r>
      <w:r>
        <w:rPr>
          <w:rFonts w:hint="eastAsia" w:ascii="Times New Roman" w:hAnsi="Times New Roman" w:eastAsia="宋体" w:cs="Times New Roman"/>
          <w:sz w:val="28"/>
          <w:szCs w:val="28"/>
        </w:rPr>
        <w:t>大于</w:t>
      </w:r>
      <w:r>
        <w:rPr>
          <w:rFonts w:ascii="Times New Roman" w:hAnsi="Times New Roman" w:eastAsia="宋体" w:cs="Times New Roman"/>
          <w:sz w:val="28"/>
          <w:szCs w:val="28"/>
        </w:rPr>
        <w:t>2%才能有效抑制</w:t>
      </w:r>
      <w:r>
        <w:rPr>
          <w:rFonts w:hint="eastAsia" w:ascii="Times New Roman" w:hAnsi="Times New Roman" w:eastAsia="宋体" w:cs="Times New Roman"/>
          <w:sz w:val="28"/>
          <w:szCs w:val="28"/>
        </w:rPr>
        <w:t>SRS和TPD等高增长率的LPI过程。更重要的是，近期研究指出，评价低相干激光抑制LPI能力时，相干时间比单纯的带宽更为关键：即使带宽相同，不同光谱形状对应的相干时间可能相差很大。例如，离散谱线激光的相干时间比相同带宽的连续谱激光长约一个数量级。因此，如何获得更短的相干时间，是该方向面临的重要问题。这项工作正是在这一背景下展开。</w:t>
      </w:r>
    </w:p>
    <w:p w14:paraId="59FC0436">
      <w:pPr>
        <w:spacing w:line="520" w:lineRule="exact"/>
        <w:ind w:firstLine="420"/>
        <w:jc w:val="both"/>
        <w:rPr>
          <w:rFonts w:ascii="Times New Roman" w:hAnsi="Times New Roman" w:eastAsia="宋体" w:cs="Times New Roman"/>
          <w:sz w:val="28"/>
          <w:szCs w:val="28"/>
        </w:rPr>
      </w:pPr>
      <w:r>
        <w:rPr>
          <w:rFonts w:hint="eastAsia" w:ascii="Times New Roman" w:hAnsi="Times New Roman" w:eastAsia="宋体" w:cs="Times New Roman"/>
          <w:sz w:val="28"/>
          <w:szCs w:val="28"/>
        </w:rPr>
        <w:t>在本工作中，我们提出了一种基于等离子体光学的调制方案。该方案不依赖传统固体光学介质，而是将等离子体中的电子等离子体波作为“调制器”。如图1</w:t>
      </w:r>
      <w:r>
        <w:rPr>
          <w:rFonts w:ascii="Times New Roman" w:hAnsi="Times New Roman" w:eastAsia="宋体" w:cs="Times New Roman"/>
          <w:sz w:val="28"/>
          <w:szCs w:val="28"/>
        </w:rPr>
        <w:t>7(a)</w:t>
      </w:r>
      <w:r>
        <w:rPr>
          <w:rFonts w:hint="eastAsia" w:ascii="Times New Roman" w:hAnsi="Times New Roman" w:eastAsia="宋体" w:cs="Times New Roman"/>
          <w:sz w:val="28"/>
          <w:szCs w:val="28"/>
        </w:rPr>
        <w:t>所示，一束相对论强度的飞秒驱动光先在低密度等离子体中激发出电子等离子体波，随后一束皮秒级信号光与驱动光共线入射到等离子体中，与驱动光所激发的电子等离子体波发生耦合，发生高效率的前向受激拉曼散射，实现频率调制和光谱展宽。更重要的是，以往基于前向受激拉曼散射的调制往往从单色信号光出发，虽然也能展宽光谱，但输出通常表现为一系列离散谱线</w:t>
      </w:r>
      <w:r>
        <w:rPr>
          <w:rFonts w:ascii="Times New Roman" w:hAnsi="Times New Roman" w:eastAsia="宋体" w:cs="Times New Roman"/>
          <w:sz w:val="28"/>
          <w:szCs w:val="28"/>
        </w:rPr>
        <w:t>(频率间隔约为电子等离子体频率ωₚₑ)</w:t>
      </w:r>
      <w:r>
        <w:rPr>
          <w:rFonts w:hint="eastAsia" w:ascii="Times New Roman" w:hAnsi="Times New Roman" w:eastAsia="宋体" w:cs="Times New Roman"/>
          <w:sz w:val="28"/>
          <w:szCs w:val="28"/>
        </w:rPr>
        <w:t>，如图1</w:t>
      </w:r>
      <w:r>
        <w:rPr>
          <w:rFonts w:ascii="Times New Roman" w:hAnsi="Times New Roman" w:eastAsia="宋体" w:cs="Times New Roman"/>
          <w:sz w:val="28"/>
          <w:szCs w:val="28"/>
        </w:rPr>
        <w:t>7(b)</w:t>
      </w:r>
      <w:r>
        <w:rPr>
          <w:rFonts w:hint="eastAsia" w:ascii="Times New Roman" w:hAnsi="Times New Roman" w:eastAsia="宋体" w:cs="Times New Roman"/>
          <w:sz w:val="28"/>
          <w:szCs w:val="28"/>
        </w:rPr>
        <w:t>所示。如果初始信号光本身具有一定带宽，且其初始带宽</w:t>
      </w:r>
      <w:r>
        <w:rPr>
          <w:rFonts w:ascii="Times New Roman" w:hAnsi="Times New Roman" w:eastAsia="宋体" w:cs="Times New Roman"/>
          <w:sz w:val="28"/>
          <w:szCs w:val="28"/>
        </w:rPr>
        <w:t>Δω</w:t>
      </w:r>
      <w:r>
        <w:rPr>
          <w:rFonts w:hint="eastAsia" w:ascii="Times New Roman" w:hAnsi="Times New Roman" w:eastAsia="宋体" w:cs="Times New Roman"/>
          <w:sz w:val="28"/>
          <w:szCs w:val="28"/>
        </w:rPr>
        <w:t>大于电子等离子体频率</w:t>
      </w:r>
      <w:r>
        <w:rPr>
          <w:rFonts w:ascii="Times New Roman" w:hAnsi="Times New Roman" w:eastAsia="宋体" w:cs="Times New Roman"/>
          <w:sz w:val="28"/>
          <w:szCs w:val="28"/>
        </w:rPr>
        <w:t>ωₚₑ</w:t>
      </w:r>
      <w:r>
        <w:rPr>
          <w:rFonts w:hint="eastAsia" w:ascii="Times New Roman" w:hAnsi="Times New Roman" w:eastAsia="宋体" w:cs="Times New Roman"/>
          <w:sz w:val="28"/>
          <w:szCs w:val="28"/>
        </w:rPr>
        <w:t>，那么即可调制输出超宽带连续谱，而不是离散谱线，如图1</w:t>
      </w:r>
      <w:r>
        <w:rPr>
          <w:rFonts w:ascii="Times New Roman" w:hAnsi="Times New Roman" w:eastAsia="宋体" w:cs="Times New Roman"/>
          <w:sz w:val="28"/>
          <w:szCs w:val="28"/>
        </w:rPr>
        <w:t>7</w:t>
      </w:r>
      <w:r>
        <w:rPr>
          <w:rFonts w:hint="eastAsia" w:ascii="Times New Roman" w:hAnsi="Times New Roman" w:eastAsia="宋体" w:cs="Times New Roman"/>
          <w:sz w:val="28"/>
          <w:szCs w:val="28"/>
        </w:rPr>
        <w:t>(</w:t>
      </w:r>
      <w:r>
        <w:rPr>
          <w:rFonts w:ascii="Times New Roman" w:hAnsi="Times New Roman" w:eastAsia="宋体" w:cs="Times New Roman"/>
          <w:sz w:val="28"/>
          <w:szCs w:val="28"/>
        </w:rPr>
        <w:t>c)</w:t>
      </w:r>
      <w:r>
        <w:rPr>
          <w:rFonts w:hint="eastAsia" w:ascii="Times New Roman" w:hAnsi="Times New Roman" w:eastAsia="宋体" w:cs="Times New Roman"/>
          <w:sz w:val="28"/>
          <w:szCs w:val="28"/>
        </w:rPr>
        <w:t>所示。分析表明，在相同的半高全宽带宽下，连续谱激光的相干时间可比离散谱线激光短一个数量级以上，这对抑制LPI</w:t>
      </w:r>
      <w:r>
        <w:rPr>
          <w:rFonts w:ascii="Times New Roman" w:hAnsi="Times New Roman" w:eastAsia="宋体" w:cs="Times New Roman"/>
          <w:sz w:val="28"/>
          <w:szCs w:val="28"/>
        </w:rPr>
        <w:t>至关重要</w:t>
      </w:r>
      <w:r>
        <w:rPr>
          <w:rFonts w:hint="eastAsia" w:ascii="Times New Roman" w:hAnsi="Times New Roman" w:eastAsia="宋体" w:cs="Times New Roman"/>
          <w:sz w:val="28"/>
          <w:szCs w:val="28"/>
        </w:rPr>
        <w:t>。</w:t>
      </w:r>
    </w:p>
    <w:p w14:paraId="59FC0437">
      <w:pPr>
        <w:jc w:val="center"/>
        <w:rPr>
          <w:rFonts w:hint="eastAsia"/>
          <w:szCs w:val="21"/>
        </w:rPr>
      </w:pPr>
      <w:r>
        <w:drawing>
          <wp:inline distT="0" distB="0" distL="0" distR="0">
            <wp:extent cx="3516630" cy="210185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a:xfrm>
                      <a:off x="0" y="0"/>
                      <a:ext cx="3517200" cy="2102400"/>
                    </a:xfrm>
                    <a:prstGeom prst="rect">
                      <a:avLst/>
                    </a:prstGeom>
                    <a:noFill/>
                    <a:ln>
                      <a:noFill/>
                    </a:ln>
                  </pic:spPr>
                </pic:pic>
              </a:graphicData>
            </a:graphic>
          </wp:inline>
        </w:drawing>
      </w:r>
    </w:p>
    <w:p w14:paraId="59FC0438">
      <w:pPr>
        <w:pStyle w:val="45"/>
        <w:ind w:left="420"/>
        <w:jc w:val="both"/>
        <w:rPr>
          <w:rFonts w:ascii="Times New Roman" w:eastAsia="宋体"/>
          <w:sz w:val="24"/>
          <w:szCs w:val="24"/>
        </w:rPr>
      </w:pPr>
      <w:r>
        <w:rPr>
          <w:rFonts w:hint="eastAsia" w:ascii="Times New Roman" w:eastAsia="宋体"/>
          <w:b/>
          <w:bCs/>
          <w:sz w:val="24"/>
          <w:szCs w:val="24"/>
        </w:rPr>
        <w:t>连续谱宽带光产生的原理示意图</w:t>
      </w:r>
      <w:r>
        <w:rPr>
          <w:rFonts w:hint="eastAsia" w:ascii="Times New Roman" w:eastAsia="宋体"/>
          <w:sz w:val="24"/>
          <w:szCs w:val="24"/>
        </w:rPr>
        <w:t>：（a）电子等离子体波的激发及其对信号光的调制；（b）初始单色光调制为离散频谱；（c）初始有限带宽光被调制为更大带宽的连续频谱。</w:t>
      </w:r>
    </w:p>
    <w:p w14:paraId="59FC0439">
      <w:pPr>
        <w:rPr>
          <w:rFonts w:hint="eastAsia"/>
          <w:szCs w:val="21"/>
        </w:rPr>
      </w:pPr>
    </w:p>
    <w:p w14:paraId="59FC043A">
      <w:pPr>
        <w:spacing w:line="520" w:lineRule="exact"/>
        <w:ind w:firstLine="420"/>
        <w:jc w:val="both"/>
        <w:rPr>
          <w:rFonts w:ascii="Times New Roman" w:hAnsi="Times New Roman" w:eastAsia="宋体" w:cs="Times New Roman"/>
          <w:sz w:val="28"/>
          <w:szCs w:val="28"/>
        </w:rPr>
      </w:pPr>
      <w:r>
        <w:rPr>
          <w:rFonts w:hint="eastAsia" w:ascii="Times New Roman" w:hAnsi="Times New Roman" w:eastAsia="宋体" w:cs="Times New Roman"/>
          <w:sz w:val="28"/>
          <w:szCs w:val="28"/>
        </w:rPr>
        <w:t>模拟结果表明，该方案对信号光的能量损耗极小，信号光转化为宽带低相干光的效率可达 99%以上；同时，它不依赖于非线性晶体的严格相位匹配，因此也适用于倍频和三倍频激光的频谱调制。</w:t>
      </w:r>
      <w:r>
        <w:rPr>
          <w:rFonts w:ascii="Times New Roman" w:hAnsi="Times New Roman" w:eastAsia="宋体" w:cs="Times New Roman"/>
          <w:sz w:val="28"/>
          <w:szCs w:val="28"/>
        </w:rPr>
        <w:t>对驱动光与信号光存在小角度(≤5°)非</w:t>
      </w:r>
      <w:r>
        <w:rPr>
          <w:rFonts w:hint="eastAsia" w:ascii="Times New Roman" w:hAnsi="Times New Roman" w:eastAsia="宋体" w:cs="Times New Roman"/>
          <w:sz w:val="28"/>
          <w:szCs w:val="28"/>
        </w:rPr>
        <w:t>理想</w:t>
      </w:r>
      <w:r>
        <w:rPr>
          <w:rFonts w:ascii="Times New Roman" w:hAnsi="Times New Roman" w:eastAsia="宋体" w:cs="Times New Roman"/>
          <w:sz w:val="28"/>
          <w:szCs w:val="28"/>
        </w:rPr>
        <w:t>共线情况的分析表明，在低密度等离子体中相位失配</w:t>
      </w:r>
      <w:r>
        <w:rPr>
          <w:rFonts w:hint="eastAsia" w:ascii="Times New Roman" w:hAnsi="Times New Roman" w:eastAsia="宋体" w:cs="Times New Roman"/>
          <w:sz w:val="28"/>
          <w:szCs w:val="28"/>
        </w:rPr>
        <w:t>效应</w:t>
      </w:r>
      <w:r>
        <w:rPr>
          <w:rFonts w:ascii="Times New Roman" w:hAnsi="Times New Roman" w:eastAsia="宋体" w:cs="Times New Roman"/>
          <w:sz w:val="28"/>
          <w:szCs w:val="28"/>
        </w:rPr>
        <w:t>可忽略不计，</w:t>
      </w:r>
      <w:r>
        <w:rPr>
          <w:rFonts w:hint="eastAsia" w:ascii="Times New Roman" w:hAnsi="Times New Roman" w:eastAsia="宋体" w:cs="Times New Roman"/>
          <w:sz w:val="28"/>
          <w:szCs w:val="28"/>
        </w:rPr>
        <w:t>该机制</w:t>
      </w:r>
      <w:r>
        <w:rPr>
          <w:rFonts w:ascii="Times New Roman" w:hAnsi="Times New Roman" w:eastAsia="宋体" w:cs="Times New Roman"/>
          <w:sz w:val="28"/>
          <w:szCs w:val="28"/>
        </w:rPr>
        <w:t>仍能实现有效的光谱展宽</w:t>
      </w:r>
      <w:r>
        <w:rPr>
          <w:rFonts w:hint="eastAsia" w:ascii="Times New Roman" w:hAnsi="Times New Roman" w:eastAsia="宋体" w:cs="Times New Roman"/>
          <w:sz w:val="28"/>
          <w:szCs w:val="28"/>
        </w:rPr>
        <w:t>。这些优势对应用于ICF的驱动激光发展具有重要的现实意义。</w:t>
      </w:r>
    </w:p>
    <w:p w14:paraId="59FC043B">
      <w:pPr>
        <w:jc w:val="center"/>
        <w:rPr>
          <w:rFonts w:hint="eastAsia"/>
          <w:szCs w:val="21"/>
        </w:rPr>
      </w:pPr>
      <w:r>
        <w:drawing>
          <wp:inline distT="0" distB="0" distL="0" distR="0">
            <wp:extent cx="3887470" cy="35096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a:xfrm>
                      <a:off x="0" y="0"/>
                      <a:ext cx="3888000" cy="3510000"/>
                    </a:xfrm>
                    <a:prstGeom prst="rect">
                      <a:avLst/>
                    </a:prstGeom>
                    <a:noFill/>
                    <a:ln>
                      <a:noFill/>
                    </a:ln>
                  </pic:spPr>
                </pic:pic>
              </a:graphicData>
            </a:graphic>
          </wp:inline>
        </w:drawing>
      </w:r>
    </w:p>
    <w:p w14:paraId="59FC043C">
      <w:pPr>
        <w:pStyle w:val="45"/>
        <w:ind w:left="420"/>
        <w:jc w:val="both"/>
        <w:rPr>
          <w:rFonts w:ascii="Times New Roman" w:eastAsia="宋体"/>
          <w:sz w:val="24"/>
          <w:szCs w:val="24"/>
        </w:rPr>
      </w:pPr>
      <w:r>
        <w:rPr>
          <w:rFonts w:hint="eastAsia" w:ascii="Times New Roman" w:eastAsia="宋体"/>
          <w:sz w:val="24"/>
          <w:szCs w:val="24"/>
        </w:rPr>
        <w:t>初始单色（左列）和具有一定初始带宽（右列）的信号光调制过程比较。第一行是电子等离子体波的波矢空间分布；第二行是频谱随调制距离的演化；第三行是最终得到的频谱。</w:t>
      </w:r>
    </w:p>
    <w:p w14:paraId="59FC043D">
      <w:pPr>
        <w:ind w:firstLine="420"/>
        <w:rPr>
          <w:rFonts w:hint="eastAsia"/>
          <w:szCs w:val="21"/>
        </w:rPr>
      </w:pPr>
    </w:p>
    <w:p w14:paraId="59FC043E">
      <w:pPr>
        <w:spacing w:line="520" w:lineRule="exact"/>
        <w:ind w:firstLine="420"/>
        <w:jc w:val="both"/>
        <w:rPr>
          <w:rFonts w:ascii="Times New Roman" w:hAnsi="Times New Roman" w:eastAsia="宋体" w:cs="Times New Roman"/>
          <w:sz w:val="28"/>
          <w:szCs w:val="28"/>
        </w:rPr>
      </w:pPr>
      <w:r>
        <w:rPr>
          <w:rFonts w:hint="eastAsia" w:ascii="Times New Roman" w:hAnsi="Times New Roman" w:eastAsia="宋体" w:cs="Times New Roman"/>
          <w:sz w:val="28"/>
          <w:szCs w:val="28"/>
        </w:rPr>
        <w:t>本工作</w:t>
      </w:r>
      <w:r>
        <w:rPr>
          <w:rFonts w:ascii="Times New Roman" w:hAnsi="Times New Roman" w:eastAsia="宋体" w:cs="Times New Roman"/>
          <w:sz w:val="28"/>
          <w:szCs w:val="28"/>
        </w:rPr>
        <w:t>通过一系列粒子模拟验证了该方案的有效性。</w:t>
      </w:r>
      <w:r>
        <w:rPr>
          <w:rFonts w:hint="eastAsia" w:ascii="Times New Roman" w:hAnsi="Times New Roman" w:eastAsia="宋体" w:cs="Times New Roman"/>
          <w:sz w:val="28"/>
          <w:szCs w:val="28"/>
        </w:rPr>
        <w:t>研究比较了两种情况：一种是初始信号光为单色脉冲，另一种是初始信号光具有有限带宽的连续谱</w:t>
      </w:r>
      <w:r>
        <w:rPr>
          <w:rFonts w:ascii="Times New Roman" w:hAnsi="Times New Roman" w:eastAsia="宋体" w:cs="Times New Roman"/>
          <w:sz w:val="28"/>
          <w:szCs w:val="28"/>
        </w:rPr>
        <w:t>(平台型谱，Δω/ω₀=2%)</w:t>
      </w:r>
      <w:r>
        <w:rPr>
          <w:rFonts w:hint="eastAsia" w:ascii="Times New Roman" w:hAnsi="Times New Roman" w:eastAsia="宋体" w:cs="Times New Roman"/>
          <w:sz w:val="28"/>
          <w:szCs w:val="28"/>
        </w:rPr>
        <w:t>。如图</w:t>
      </w:r>
      <w:r>
        <w:rPr>
          <w:rFonts w:ascii="Times New Roman" w:hAnsi="Times New Roman" w:eastAsia="宋体" w:cs="Times New Roman"/>
          <w:sz w:val="28"/>
          <w:szCs w:val="28"/>
        </w:rPr>
        <w:t>18</w:t>
      </w:r>
      <w:r>
        <w:rPr>
          <w:rFonts w:hint="eastAsia" w:ascii="Times New Roman" w:hAnsi="Times New Roman" w:eastAsia="宋体" w:cs="Times New Roman"/>
          <w:sz w:val="28"/>
          <w:szCs w:val="28"/>
        </w:rPr>
        <w:t>所示，在相同驱动条件下，两者都能发生明显的前向受激拉曼散射并实现光谱展宽。</w:t>
      </w:r>
      <w:r>
        <w:rPr>
          <w:rFonts w:ascii="Times New Roman" w:hAnsi="Times New Roman" w:eastAsia="宋体" w:cs="Times New Roman"/>
          <w:sz w:val="28"/>
          <w:szCs w:val="28"/>
        </w:rPr>
        <w:t>单色信号光调制后输出为离散谱线(左列)，频率间隔约为电子等离子体频率ωₚₑ，分数带宽达到约4%；而初始连续谱信号光调制后则保持为连续展宽谱，带宽从2%进一步增加到8.6%(右列)</w:t>
      </w:r>
      <w:r>
        <w:rPr>
          <w:rFonts w:hint="eastAsia" w:ascii="Times New Roman" w:hAnsi="Times New Roman" w:eastAsia="宋体" w:cs="Times New Roman"/>
          <w:sz w:val="28"/>
          <w:szCs w:val="28"/>
        </w:rPr>
        <w:t>。更重要的是，两者在相干时间上的差别更为明显：单色输入调制后，相干时间约为 227.8 fs；连续谱输入调制后，相干时间可降至约 27.2 fs。这一数值已明显短于ICF中典型SRS的增长时间尺度（约2</w:t>
      </w:r>
      <w:r>
        <w:rPr>
          <w:rFonts w:ascii="Times New Roman" w:hAnsi="Times New Roman" w:eastAsia="宋体" w:cs="Times New Roman"/>
          <w:sz w:val="28"/>
          <w:szCs w:val="28"/>
        </w:rPr>
        <w:t xml:space="preserve">00 </w:t>
      </w:r>
      <w:r>
        <w:rPr>
          <w:rFonts w:hint="eastAsia" w:ascii="Times New Roman" w:hAnsi="Times New Roman" w:eastAsia="宋体" w:cs="Times New Roman"/>
          <w:sz w:val="28"/>
          <w:szCs w:val="28"/>
        </w:rPr>
        <w:t>fs），从而达到有效抑制高增长率LPI发展的关键要求。</w:t>
      </w:r>
    </w:p>
    <w:p w14:paraId="59FC043F">
      <w:pPr>
        <w:jc w:val="center"/>
        <w:rPr>
          <w:rFonts w:hint="eastAsia"/>
          <w:szCs w:val="21"/>
        </w:rPr>
      </w:pPr>
      <w:r>
        <w:drawing>
          <wp:inline distT="0" distB="0" distL="0" distR="0">
            <wp:extent cx="3952240" cy="13747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a:xfrm>
                      <a:off x="0" y="0"/>
                      <a:ext cx="3952800" cy="1375200"/>
                    </a:xfrm>
                    <a:prstGeom prst="rect">
                      <a:avLst/>
                    </a:prstGeom>
                    <a:noFill/>
                    <a:ln>
                      <a:noFill/>
                    </a:ln>
                  </pic:spPr>
                </pic:pic>
              </a:graphicData>
            </a:graphic>
          </wp:inline>
        </w:drawing>
      </w:r>
    </w:p>
    <w:p w14:paraId="59FC0440">
      <w:pPr>
        <w:pStyle w:val="45"/>
        <w:ind w:left="420"/>
        <w:jc w:val="both"/>
        <w:rPr>
          <w:rFonts w:ascii="Times New Roman" w:eastAsia="宋体"/>
          <w:sz w:val="24"/>
          <w:szCs w:val="24"/>
        </w:rPr>
      </w:pPr>
      <w:r>
        <w:rPr>
          <w:rFonts w:hint="eastAsia" w:ascii="Times New Roman" w:eastAsia="宋体"/>
          <w:sz w:val="24"/>
          <w:szCs w:val="24"/>
        </w:rPr>
        <w:t>（a）初始带宽</w:t>
      </w:r>
      <w:r>
        <w:rPr>
          <w:rFonts w:ascii="Times New Roman" w:eastAsia="宋体"/>
          <w:sz w:val="24"/>
          <w:szCs w:val="24"/>
        </w:rPr>
        <w:t xml:space="preserve"> Δω/ω₀=1%</w:t>
      </w:r>
      <w:r>
        <w:rPr>
          <w:rFonts w:hint="eastAsia" w:ascii="Times New Roman" w:eastAsia="宋体"/>
          <w:sz w:val="24"/>
          <w:szCs w:val="24"/>
        </w:rPr>
        <w:t>条件下</w:t>
      </w:r>
      <w:r>
        <w:rPr>
          <w:rFonts w:ascii="Times New Roman" w:eastAsia="宋体"/>
          <w:sz w:val="24"/>
          <w:szCs w:val="24"/>
        </w:rPr>
        <w:t>(Δω &lt; ωₚₑ)</w:t>
      </w:r>
      <w:r>
        <w:rPr>
          <w:rFonts w:hint="eastAsia" w:ascii="Times New Roman" w:eastAsia="宋体"/>
          <w:sz w:val="24"/>
          <w:szCs w:val="24"/>
        </w:rPr>
        <w:t>，信号光初始谱与调制后最终谱对比；（b）不同初始带宽下调制前后的相干时间对比。</w:t>
      </w:r>
    </w:p>
    <w:p w14:paraId="59FC0441">
      <w:pPr>
        <w:rPr>
          <w:rFonts w:hint="eastAsia"/>
          <w:szCs w:val="21"/>
        </w:rPr>
      </w:pPr>
    </w:p>
    <w:p w14:paraId="59FC0442">
      <w:pPr>
        <w:spacing w:line="520" w:lineRule="exact"/>
        <w:ind w:firstLine="420"/>
        <w:jc w:val="both"/>
        <w:rPr>
          <w:rFonts w:ascii="Times New Roman" w:hAnsi="Times New Roman" w:eastAsia="宋体" w:cs="Times New Roman"/>
          <w:sz w:val="28"/>
          <w:szCs w:val="28"/>
        </w:rPr>
      </w:pPr>
      <w:r>
        <w:rPr>
          <w:rFonts w:hint="eastAsia" w:ascii="Times New Roman" w:hAnsi="Times New Roman" w:eastAsia="宋体" w:cs="Times New Roman"/>
          <w:sz w:val="28"/>
          <w:szCs w:val="28"/>
        </w:rPr>
        <w:t>本工作还讨论了更接近现有大能量激光系统实际参数的情况，当前ICF相关高能激光系统的初始带宽通常只有约 1%。如图</w:t>
      </w:r>
      <w:r>
        <w:rPr>
          <w:rFonts w:ascii="Times New Roman" w:hAnsi="Times New Roman" w:eastAsia="宋体" w:cs="Times New Roman"/>
          <w:sz w:val="28"/>
          <w:szCs w:val="28"/>
        </w:rPr>
        <w:t>19(a)</w:t>
      </w:r>
      <w:r>
        <w:rPr>
          <w:rFonts w:hint="eastAsia" w:ascii="Times New Roman" w:hAnsi="Times New Roman" w:eastAsia="宋体" w:cs="Times New Roman"/>
          <w:sz w:val="28"/>
          <w:szCs w:val="28"/>
        </w:rPr>
        <w:t>所示，在初始带宽小于电子等离子体频率的情况下，虽然输出不再是完全连续谱而会呈现若干离散谱带（间隔约为</w:t>
      </w:r>
      <w:r>
        <w:rPr>
          <w:rFonts w:ascii="Times New Roman" w:hAnsi="Times New Roman" w:eastAsia="宋体" w:cs="Times New Roman"/>
          <w:sz w:val="28"/>
          <w:szCs w:val="28"/>
        </w:rPr>
        <w:t>ωₚₑ-Δω</w:t>
      </w:r>
      <w:r>
        <w:rPr>
          <w:rFonts w:hint="eastAsia" w:ascii="Times New Roman" w:hAnsi="Times New Roman" w:eastAsia="宋体" w:cs="Times New Roman"/>
          <w:sz w:val="28"/>
          <w:szCs w:val="28"/>
        </w:rPr>
        <w:t>），但相干时间仍然可以从</w:t>
      </w:r>
      <w:r>
        <w:rPr>
          <w:rFonts w:ascii="Times New Roman" w:hAnsi="Times New Roman" w:eastAsia="宋体" w:cs="Times New Roman"/>
          <w:sz w:val="28"/>
          <w:szCs w:val="28"/>
        </w:rPr>
        <w:t>212.4</w:t>
      </w:r>
      <w:r>
        <w:rPr>
          <w:rFonts w:hint="eastAsia" w:ascii="Times New Roman" w:hAnsi="Times New Roman" w:eastAsia="宋体" w:cs="Times New Roman"/>
          <w:sz w:val="28"/>
          <w:szCs w:val="28"/>
        </w:rPr>
        <w:t>飞秒显著下降到</w:t>
      </w:r>
      <w:r>
        <w:rPr>
          <w:rFonts w:ascii="Times New Roman" w:hAnsi="Times New Roman" w:eastAsia="宋体" w:cs="Times New Roman"/>
          <w:sz w:val="28"/>
          <w:szCs w:val="28"/>
        </w:rPr>
        <w:t>58.4</w:t>
      </w:r>
      <w:r>
        <w:rPr>
          <w:rFonts w:hint="eastAsia" w:ascii="Times New Roman" w:hAnsi="Times New Roman" w:eastAsia="宋体" w:cs="Times New Roman"/>
          <w:sz w:val="28"/>
          <w:szCs w:val="28"/>
        </w:rPr>
        <w:t>飞秒。图</w:t>
      </w:r>
      <w:r>
        <w:rPr>
          <w:rFonts w:ascii="Times New Roman" w:hAnsi="Times New Roman" w:eastAsia="宋体" w:cs="Times New Roman"/>
          <w:sz w:val="28"/>
          <w:szCs w:val="28"/>
        </w:rPr>
        <w:t>19(b)</w:t>
      </w:r>
      <w:r>
        <w:rPr>
          <w:rFonts w:hint="eastAsia" w:ascii="Times New Roman" w:hAnsi="Times New Roman" w:eastAsia="宋体" w:cs="Times New Roman"/>
          <w:sz w:val="28"/>
          <w:szCs w:val="28"/>
        </w:rPr>
        <w:t>总结了不同初始带宽下调制前后的相干时间变化，即使在</w:t>
      </w:r>
      <w:r>
        <w:rPr>
          <w:rFonts w:ascii="Times New Roman" w:hAnsi="Times New Roman" w:eastAsia="宋体" w:cs="Times New Roman"/>
          <w:sz w:val="28"/>
          <w:szCs w:val="28"/>
        </w:rPr>
        <w:t>Δω &lt; ωₚₑ</w:t>
      </w:r>
      <w:r>
        <w:rPr>
          <w:rFonts w:hint="eastAsia" w:ascii="Times New Roman" w:hAnsi="Times New Roman" w:eastAsia="宋体" w:cs="Times New Roman"/>
          <w:sz w:val="28"/>
          <w:szCs w:val="28"/>
        </w:rPr>
        <w:t>条件下，相干时间仍可降至几十飞秒量级。</w:t>
      </w:r>
    </w:p>
    <w:p w14:paraId="59FC0443">
      <w:pPr>
        <w:spacing w:line="520" w:lineRule="exact"/>
        <w:ind w:firstLine="420"/>
        <w:jc w:val="both"/>
        <w:rPr>
          <w:rFonts w:ascii="Times New Roman" w:hAnsi="Times New Roman" w:eastAsia="宋体" w:cs="Times New Roman"/>
          <w:sz w:val="28"/>
          <w:szCs w:val="28"/>
        </w:rPr>
      </w:pPr>
      <w:r>
        <w:rPr>
          <w:rFonts w:ascii="Times New Roman" w:hAnsi="Times New Roman" w:eastAsia="宋体" w:cs="Times New Roman"/>
          <w:sz w:val="28"/>
          <w:szCs w:val="28"/>
        </w:rPr>
        <w:t>研究还系统考察了驱动光强、信号光强等因素的影响。模拟表明，适当提高驱动光强可增强调制效果</w:t>
      </w:r>
      <w:r>
        <w:rPr>
          <w:rFonts w:hint="eastAsia" w:ascii="Times New Roman" w:hAnsi="Times New Roman" w:eastAsia="宋体" w:cs="Times New Roman"/>
          <w:sz w:val="28"/>
          <w:szCs w:val="28"/>
        </w:rPr>
        <w:t>；</w:t>
      </w:r>
      <w:r>
        <w:rPr>
          <w:rFonts w:ascii="Times New Roman" w:hAnsi="Times New Roman" w:eastAsia="宋体" w:cs="Times New Roman"/>
          <w:sz w:val="28"/>
          <w:szCs w:val="28"/>
        </w:rPr>
        <w:t>但</w:t>
      </w:r>
      <w:r>
        <w:rPr>
          <w:rFonts w:hint="eastAsia" w:ascii="Times New Roman" w:hAnsi="Times New Roman" w:eastAsia="宋体" w:cs="Times New Roman"/>
          <w:sz w:val="28"/>
          <w:szCs w:val="28"/>
        </w:rPr>
        <w:t>驱动光强</w:t>
      </w:r>
      <w:r>
        <w:rPr>
          <w:rFonts w:ascii="Times New Roman" w:hAnsi="Times New Roman" w:eastAsia="宋体" w:cs="Times New Roman"/>
          <w:sz w:val="28"/>
          <w:szCs w:val="28"/>
        </w:rPr>
        <w:t>过</w:t>
      </w:r>
      <w:r>
        <w:rPr>
          <w:rFonts w:hint="eastAsia" w:ascii="Times New Roman" w:hAnsi="Times New Roman" w:eastAsia="宋体" w:cs="Times New Roman"/>
          <w:sz w:val="28"/>
          <w:szCs w:val="28"/>
        </w:rPr>
        <w:t>高时，</w:t>
      </w:r>
      <w:r>
        <w:rPr>
          <w:rFonts w:ascii="Times New Roman" w:hAnsi="Times New Roman" w:eastAsia="宋体" w:cs="Times New Roman"/>
          <w:sz w:val="28"/>
          <w:szCs w:val="28"/>
        </w:rPr>
        <w:t>电子等离子体波</w:t>
      </w:r>
      <w:r>
        <w:rPr>
          <w:rFonts w:hint="eastAsia" w:ascii="Times New Roman" w:hAnsi="Times New Roman" w:eastAsia="宋体" w:cs="Times New Roman"/>
          <w:sz w:val="28"/>
          <w:szCs w:val="28"/>
        </w:rPr>
        <w:t>容易</w:t>
      </w:r>
      <w:r>
        <w:rPr>
          <w:rFonts w:ascii="Times New Roman" w:hAnsi="Times New Roman" w:eastAsia="宋体" w:cs="Times New Roman"/>
          <w:sz w:val="28"/>
          <w:szCs w:val="28"/>
        </w:rPr>
        <w:t>发生波坍缩，反而降低调制效率。</w:t>
      </w:r>
      <w:r>
        <w:rPr>
          <w:rFonts w:hint="eastAsia" w:ascii="Times New Roman" w:hAnsi="Times New Roman" w:eastAsia="宋体" w:cs="Times New Roman"/>
          <w:sz w:val="28"/>
          <w:szCs w:val="28"/>
        </w:rPr>
        <w:t>而</w:t>
      </w:r>
      <w:r>
        <w:rPr>
          <w:rFonts w:ascii="Times New Roman" w:hAnsi="Times New Roman" w:eastAsia="宋体" w:cs="Times New Roman"/>
          <w:sz w:val="28"/>
          <w:szCs w:val="28"/>
        </w:rPr>
        <w:t>信号光强在4×10¹⁵~1×10¹⁷ W/cm²</w:t>
      </w:r>
      <w:r>
        <w:rPr>
          <w:rFonts w:hint="eastAsia" w:ascii="Times New Roman" w:hAnsi="Times New Roman" w:eastAsia="宋体" w:cs="Times New Roman"/>
          <w:sz w:val="28"/>
          <w:szCs w:val="28"/>
        </w:rPr>
        <w:t>的</w:t>
      </w:r>
      <w:r>
        <w:rPr>
          <w:rFonts w:ascii="Times New Roman" w:hAnsi="Times New Roman" w:eastAsia="宋体" w:cs="Times New Roman"/>
          <w:sz w:val="28"/>
          <w:szCs w:val="28"/>
        </w:rPr>
        <w:t>范围内，调制后</w:t>
      </w:r>
      <w:r>
        <w:rPr>
          <w:rFonts w:hint="eastAsia" w:ascii="Times New Roman" w:hAnsi="Times New Roman" w:eastAsia="宋体" w:cs="Times New Roman"/>
          <w:sz w:val="28"/>
          <w:szCs w:val="28"/>
        </w:rPr>
        <w:t>的</w:t>
      </w:r>
      <w:r>
        <w:rPr>
          <w:rFonts w:ascii="Times New Roman" w:hAnsi="Times New Roman" w:eastAsia="宋体" w:cs="Times New Roman"/>
          <w:sz w:val="28"/>
          <w:szCs w:val="28"/>
        </w:rPr>
        <w:t>相干时间</w:t>
      </w:r>
      <w:r>
        <w:rPr>
          <w:rFonts w:hint="eastAsia" w:ascii="Times New Roman" w:hAnsi="Times New Roman" w:eastAsia="宋体" w:cs="Times New Roman"/>
          <w:sz w:val="28"/>
          <w:szCs w:val="28"/>
        </w:rPr>
        <w:t>均</w:t>
      </w:r>
      <w:r>
        <w:rPr>
          <w:rFonts w:ascii="Times New Roman" w:hAnsi="Times New Roman" w:eastAsia="宋体" w:cs="Times New Roman"/>
          <w:sz w:val="28"/>
          <w:szCs w:val="28"/>
        </w:rPr>
        <w:t>可稳定在30飞秒左右，说明该方案对信号光强变化不敏感，有利于与实际中具有散斑结构的激光束兼容。</w:t>
      </w:r>
      <w:r>
        <w:rPr>
          <w:rFonts w:hint="eastAsia" w:ascii="Times New Roman" w:hAnsi="Times New Roman" w:eastAsia="宋体" w:cs="Times New Roman"/>
          <w:sz w:val="28"/>
          <w:szCs w:val="28"/>
        </w:rPr>
        <w:t>针对ICF中常使用倍频或三倍频激光这一现实，本文还验证了该方案对二倍频激光的适用性。结果表明，倍频信号光同样可以在该等离子体调制方案中实现高效的光谱展宽和相干时间缩短。</w:t>
      </w:r>
    </w:p>
    <w:p w14:paraId="59FC0444">
      <w:pPr>
        <w:spacing w:line="520" w:lineRule="exact"/>
        <w:ind w:firstLine="420"/>
        <w:jc w:val="both"/>
        <w:rPr>
          <w:rFonts w:ascii="Times New Roman" w:hAnsi="Times New Roman" w:eastAsia="宋体" w:cs="Times New Roman"/>
          <w:sz w:val="28"/>
          <w:szCs w:val="28"/>
        </w:rPr>
      </w:pPr>
      <w:r>
        <w:rPr>
          <w:rFonts w:hint="eastAsia" w:ascii="Times New Roman" w:hAnsi="Times New Roman" w:eastAsia="宋体" w:cs="Times New Roman"/>
          <w:sz w:val="28"/>
          <w:szCs w:val="28"/>
        </w:rPr>
        <w:t>本工作提出并数值验证了一种利用等离子体前向受激拉曼散射实现高功率低相干激光产生的新方法。主要结论如下：第一，该方案可在毫米尺度</w:t>
      </w:r>
      <w:r>
        <w:rPr>
          <w:rFonts w:ascii="Times New Roman" w:hAnsi="Times New Roman" w:eastAsia="宋体" w:cs="Times New Roman"/>
          <w:sz w:val="28"/>
          <w:szCs w:val="28"/>
        </w:rPr>
        <w:t>(约3000 μm)</w:t>
      </w:r>
      <w:r>
        <w:rPr>
          <w:rFonts w:hint="eastAsia" w:ascii="Times New Roman" w:hAnsi="Times New Roman" w:eastAsia="宋体" w:cs="Times New Roman"/>
          <w:sz w:val="28"/>
          <w:szCs w:val="28"/>
        </w:rPr>
        <w:t>等离子体中实现显著频谱展宽；第二，当输入信号光是具有一定初始带宽的连续谱时，不仅输出带宽可得到显著展宽，而且相干时间可显著缩短至3</w:t>
      </w:r>
      <w:r>
        <w:rPr>
          <w:rFonts w:ascii="Times New Roman" w:hAnsi="Times New Roman" w:eastAsia="宋体" w:cs="Times New Roman"/>
          <w:sz w:val="28"/>
          <w:szCs w:val="28"/>
        </w:rPr>
        <w:t>0</w:t>
      </w:r>
      <w:r>
        <w:rPr>
          <w:rFonts w:hint="eastAsia" w:ascii="Times New Roman" w:hAnsi="Times New Roman" w:eastAsia="宋体" w:cs="Times New Roman"/>
          <w:sz w:val="28"/>
          <w:szCs w:val="28"/>
        </w:rPr>
        <w:t>飞秒左右；第三，能量转换效率高</w:t>
      </w:r>
      <w:r>
        <w:rPr>
          <w:rFonts w:ascii="Times New Roman" w:hAnsi="Times New Roman" w:eastAsia="宋体" w:cs="Times New Roman"/>
          <w:sz w:val="28"/>
          <w:szCs w:val="28"/>
        </w:rPr>
        <w:t>(信号光&gt;99%，驱动光损耗~5%)</w:t>
      </w:r>
      <w:r>
        <w:rPr>
          <w:rFonts w:hint="eastAsia" w:ascii="Times New Roman" w:hAnsi="Times New Roman" w:eastAsia="宋体" w:cs="Times New Roman"/>
          <w:sz w:val="28"/>
          <w:szCs w:val="28"/>
        </w:rPr>
        <w:t>；第四，</w:t>
      </w:r>
      <w:r>
        <w:rPr>
          <w:rFonts w:ascii="Times New Roman" w:hAnsi="Times New Roman" w:eastAsia="宋体" w:cs="Times New Roman"/>
          <w:sz w:val="28"/>
          <w:szCs w:val="28"/>
        </w:rPr>
        <w:t>该方法规避了传统光学介质中的增益窄化和倍频带宽限制，</w:t>
      </w:r>
      <w:r>
        <w:rPr>
          <w:rFonts w:hint="eastAsia" w:ascii="Times New Roman" w:hAnsi="Times New Roman" w:eastAsia="宋体" w:cs="Times New Roman"/>
          <w:sz w:val="28"/>
          <w:szCs w:val="28"/>
        </w:rPr>
        <w:t>适用于</w:t>
      </w:r>
      <w:r>
        <w:rPr>
          <w:rFonts w:ascii="Times New Roman" w:hAnsi="Times New Roman" w:eastAsia="宋体" w:cs="Times New Roman"/>
          <w:sz w:val="28"/>
          <w:szCs w:val="28"/>
        </w:rPr>
        <w:t>惯性约束聚变常用的</w:t>
      </w:r>
      <w:r>
        <w:rPr>
          <w:rFonts w:hint="eastAsia" w:ascii="Times New Roman" w:hAnsi="Times New Roman" w:eastAsia="宋体" w:cs="Times New Roman"/>
          <w:sz w:val="28"/>
          <w:szCs w:val="28"/>
        </w:rPr>
        <w:t>倍频及三倍频激光调制；第五，</w:t>
      </w:r>
      <w:r>
        <w:rPr>
          <w:rFonts w:ascii="Times New Roman" w:hAnsi="Times New Roman" w:eastAsia="宋体" w:cs="Times New Roman"/>
          <w:sz w:val="28"/>
          <w:szCs w:val="28"/>
        </w:rPr>
        <w:t>在驱动光与信号光存在小角度(≤5°)非共线时仍能有效工作</w:t>
      </w:r>
      <w:r>
        <w:rPr>
          <w:rFonts w:hint="eastAsia" w:ascii="Times New Roman" w:hAnsi="Times New Roman" w:eastAsia="宋体" w:cs="Times New Roman"/>
          <w:sz w:val="28"/>
          <w:szCs w:val="28"/>
        </w:rPr>
        <w:t>。</w:t>
      </w:r>
    </w:p>
    <w:p w14:paraId="59FC0445">
      <w:pPr>
        <w:spacing w:line="520" w:lineRule="exact"/>
        <w:ind w:firstLine="420"/>
        <w:jc w:val="both"/>
        <w:rPr>
          <w:rFonts w:ascii="Times New Roman" w:hAnsi="Times New Roman" w:eastAsia="宋体" w:cs="Times New Roman"/>
          <w:sz w:val="28"/>
          <w:szCs w:val="28"/>
        </w:rPr>
      </w:pPr>
      <w:r>
        <w:rPr>
          <w:rFonts w:hint="eastAsia" w:ascii="Times New Roman" w:hAnsi="Times New Roman" w:eastAsia="宋体" w:cs="Times New Roman"/>
          <w:sz w:val="28"/>
          <w:szCs w:val="28"/>
        </w:rPr>
        <w:t>这种方案为ICF中发展高功率、宽带、低相干驱动光源提供了新的技术路径。未来，需要在实验上进一步验证该方案，并在更高维度、更接近实际装置条件下优化激光与等离子体参数。</w:t>
      </w:r>
    </w:p>
    <w:p w14:paraId="59FC0446">
      <w:pPr>
        <w:spacing w:line="520" w:lineRule="exact"/>
        <w:rPr>
          <w:rFonts w:hint="eastAsia" w:ascii="宋体" w:hAnsi="宋体" w:eastAsia="宋体"/>
          <w:i/>
          <w:iCs/>
          <w:sz w:val="28"/>
          <w:szCs w:val="28"/>
        </w:rPr>
      </w:pPr>
    </w:p>
    <w:p w14:paraId="59FC0447">
      <w:pPr>
        <w:pStyle w:val="2"/>
        <w:numPr>
          <w:ilvl w:val="0"/>
          <w:numId w:val="2"/>
        </w:numPr>
        <w:rPr>
          <w:rFonts w:hint="eastAsia" w:ascii="微软雅黑" w:hAnsi="微软雅黑" w:eastAsia="微软雅黑"/>
          <w:b/>
          <w:bCs/>
          <w:color w:val="auto"/>
          <w:sz w:val="36"/>
          <w:szCs w:val="36"/>
        </w:rPr>
      </w:pPr>
      <w:bookmarkStart w:id="9" w:name="_Toc239521153"/>
      <w:r>
        <w:rPr>
          <w:rFonts w:ascii="微软雅黑" w:hAnsi="微软雅黑" w:eastAsia="微软雅黑"/>
          <w:b/>
          <w:bCs/>
          <w:color w:val="auto"/>
          <w:sz w:val="36"/>
          <w:szCs w:val="36"/>
        </w:rPr>
        <w:t>经费使用情况</w:t>
      </w:r>
      <w:bookmarkEnd w:id="9"/>
    </w:p>
    <w:p w14:paraId="59FC0448">
      <w:pPr>
        <w:spacing w:line="520" w:lineRule="exact"/>
        <w:ind w:firstLine="420"/>
        <w:rPr>
          <w:rFonts w:hint="eastAsia" w:ascii="宋体" w:hAnsi="宋体" w:eastAsia="宋体"/>
          <w:sz w:val="28"/>
          <w:szCs w:val="28"/>
        </w:rPr>
      </w:pPr>
      <w:r>
        <w:rPr>
          <w:rFonts w:ascii="宋体" w:hAnsi="宋体" w:eastAsia="宋体"/>
          <w:sz w:val="28"/>
          <w:szCs w:val="28"/>
        </w:rPr>
        <w:t>经费使用情况概述：合同总经费</w:t>
      </w:r>
      <w:r>
        <w:rPr>
          <w:rFonts w:ascii="宋体" w:hAnsi="宋体" w:eastAsia="宋体"/>
          <w:i/>
          <w:iCs/>
          <w:sz w:val="28"/>
          <w:szCs w:val="28"/>
        </w:rPr>
        <w:t xml:space="preserve"> 160 </w:t>
      </w:r>
      <w:r>
        <w:rPr>
          <w:rFonts w:ascii="宋体" w:hAnsi="宋体" w:eastAsia="宋体"/>
          <w:sz w:val="28"/>
          <w:szCs w:val="28"/>
        </w:rPr>
        <w:t>万元，截至 2026 年 9 月到账经费</w:t>
      </w:r>
      <w:r>
        <w:rPr>
          <w:rFonts w:ascii="宋体" w:hAnsi="宋体" w:eastAsia="宋体"/>
          <w:i/>
          <w:iCs/>
          <w:sz w:val="28"/>
          <w:szCs w:val="28"/>
        </w:rPr>
        <w:t xml:space="preserve"> 80 </w:t>
      </w:r>
      <w:r>
        <w:rPr>
          <w:rFonts w:ascii="宋体" w:hAnsi="宋体" w:eastAsia="宋体"/>
          <w:sz w:val="28"/>
          <w:szCs w:val="28"/>
        </w:rPr>
        <w:t>万元，经费使用符合国防科技工业科研经费管理要求。</w:t>
      </w:r>
    </w:p>
    <w:p w14:paraId="59FC0449">
      <w:pPr>
        <w:spacing w:after="0" w:line="520" w:lineRule="exact"/>
        <w:jc w:val="center"/>
        <w:rPr>
          <w:rFonts w:hint="eastAsia" w:ascii="宋体" w:hAnsi="宋体" w:eastAsia="宋体"/>
          <w:b/>
          <w:bCs/>
          <w:sz w:val="28"/>
          <w:szCs w:val="28"/>
        </w:rPr>
      </w:pPr>
      <w:r>
        <w:rPr>
          <w:rFonts w:ascii="宋体" w:hAnsi="宋体" w:eastAsia="宋体"/>
          <w:b/>
          <w:bCs/>
          <w:sz w:val="28"/>
          <w:szCs w:val="28"/>
        </w:rPr>
        <w:t>表 3 经费使用情况</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59FC0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9FC044A">
            <w:pPr>
              <w:spacing w:after="0" w:line="240" w:lineRule="auto"/>
              <w:rPr>
                <w:rFonts w:hint="eastAsia" w:ascii="宋体" w:hAnsi="宋体" w:eastAsia="宋体"/>
                <w:sz w:val="21"/>
                <w:szCs w:val="21"/>
              </w:rPr>
            </w:pPr>
          </w:p>
        </w:tc>
        <w:tc>
          <w:tcPr>
            <w:tcW w:w="2074" w:type="dxa"/>
          </w:tcPr>
          <w:p w14:paraId="59FC044B">
            <w:pPr>
              <w:spacing w:after="0" w:line="240" w:lineRule="auto"/>
              <w:rPr>
                <w:rFonts w:hint="eastAsia" w:ascii="宋体" w:hAnsi="宋体" w:eastAsia="宋体"/>
                <w:sz w:val="21"/>
                <w:szCs w:val="21"/>
              </w:rPr>
            </w:pPr>
            <w:r>
              <w:rPr>
                <w:rFonts w:ascii="宋体" w:hAnsi="宋体" w:eastAsia="宋体"/>
                <w:sz w:val="21"/>
                <w:szCs w:val="21"/>
              </w:rPr>
              <w:t>合同经费预算（单位：万元）</w:t>
            </w:r>
          </w:p>
        </w:tc>
        <w:tc>
          <w:tcPr>
            <w:tcW w:w="2074" w:type="dxa"/>
          </w:tcPr>
          <w:p w14:paraId="59FC044C">
            <w:pPr>
              <w:spacing w:after="0" w:line="240" w:lineRule="auto"/>
              <w:rPr>
                <w:rFonts w:hint="eastAsia" w:ascii="宋体" w:hAnsi="宋体" w:eastAsia="宋体"/>
                <w:sz w:val="21"/>
                <w:szCs w:val="21"/>
              </w:rPr>
            </w:pPr>
            <w:r>
              <w:rPr>
                <w:rFonts w:ascii="宋体" w:hAnsi="宋体" w:eastAsia="宋体"/>
                <w:sz w:val="21"/>
                <w:szCs w:val="21"/>
              </w:rPr>
              <w:t>课题支出（单位：万元）</w:t>
            </w:r>
          </w:p>
        </w:tc>
        <w:tc>
          <w:tcPr>
            <w:tcW w:w="2074" w:type="dxa"/>
          </w:tcPr>
          <w:p w14:paraId="59FC044D">
            <w:pPr>
              <w:spacing w:after="0" w:line="240" w:lineRule="auto"/>
              <w:rPr>
                <w:rFonts w:hint="eastAsia" w:ascii="宋体" w:hAnsi="宋体" w:eastAsia="宋体"/>
                <w:sz w:val="21"/>
                <w:szCs w:val="21"/>
              </w:rPr>
            </w:pPr>
            <w:r>
              <w:rPr>
                <w:rFonts w:hint="eastAsia" w:ascii="宋体" w:hAnsi="宋体" w:eastAsia="宋体"/>
                <w:sz w:val="21"/>
                <w:szCs w:val="21"/>
              </w:rPr>
              <w:t>经费使用</w:t>
            </w:r>
            <w:r>
              <w:rPr>
                <w:rFonts w:ascii="宋体" w:hAnsi="宋体" w:eastAsia="宋体"/>
                <w:sz w:val="21"/>
                <w:szCs w:val="21"/>
              </w:rPr>
              <w:t>说明</w:t>
            </w:r>
          </w:p>
        </w:tc>
      </w:tr>
      <w:tr w14:paraId="59FC0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9FC044F">
            <w:pPr>
              <w:spacing w:after="0" w:line="240" w:lineRule="auto"/>
              <w:jc w:val="center"/>
              <w:rPr>
                <w:rFonts w:hint="eastAsia" w:ascii="宋体" w:hAnsi="宋体" w:eastAsia="宋体"/>
                <w:sz w:val="21"/>
                <w:szCs w:val="21"/>
              </w:rPr>
            </w:pPr>
            <w:r>
              <w:rPr>
                <w:rFonts w:ascii="宋体" w:hAnsi="宋体" w:eastAsia="宋体"/>
                <w:sz w:val="21"/>
                <w:szCs w:val="21"/>
              </w:rPr>
              <w:t>支出合计</w:t>
            </w:r>
          </w:p>
        </w:tc>
        <w:tc>
          <w:tcPr>
            <w:tcW w:w="2074" w:type="dxa"/>
          </w:tcPr>
          <w:p w14:paraId="59FC0450">
            <w:pPr>
              <w:spacing w:after="0" w:line="240" w:lineRule="auto"/>
              <w:rPr>
                <w:rFonts w:hint="eastAsia" w:ascii="宋体" w:hAnsi="宋体" w:eastAsia="宋体"/>
                <w:sz w:val="21"/>
                <w:szCs w:val="21"/>
              </w:rPr>
            </w:pPr>
            <w:r>
              <w:rPr>
                <w:rFonts w:ascii="宋体" w:hAnsi="宋体" w:eastAsia="宋体"/>
                <w:sz w:val="21"/>
                <w:szCs w:val="21"/>
              </w:rPr>
              <w:t>160</w:t>
            </w:r>
          </w:p>
        </w:tc>
        <w:tc>
          <w:tcPr>
            <w:tcW w:w="2074" w:type="dxa"/>
          </w:tcPr>
          <w:p w14:paraId="59FC0451">
            <w:pPr>
              <w:spacing w:after="0" w:line="240" w:lineRule="auto"/>
              <w:rPr>
                <w:rFonts w:hint="eastAsia" w:ascii="宋体" w:hAnsi="宋体" w:eastAsia="宋体"/>
                <w:sz w:val="21"/>
                <w:szCs w:val="21"/>
              </w:rPr>
            </w:pPr>
            <w:r>
              <w:rPr>
                <w:rFonts w:ascii="宋体" w:hAnsi="宋体" w:eastAsia="宋体"/>
                <w:sz w:val="21"/>
                <w:szCs w:val="21"/>
              </w:rPr>
              <w:t>49.2759</w:t>
            </w:r>
          </w:p>
        </w:tc>
        <w:tc>
          <w:tcPr>
            <w:tcW w:w="2074" w:type="dxa"/>
          </w:tcPr>
          <w:p w14:paraId="59FC0452">
            <w:pPr>
              <w:spacing w:after="0" w:line="240" w:lineRule="auto"/>
              <w:rPr>
                <w:rFonts w:hint="eastAsia" w:ascii="宋体" w:hAnsi="宋体" w:eastAsia="宋体"/>
                <w:sz w:val="21"/>
                <w:szCs w:val="21"/>
              </w:rPr>
            </w:pPr>
          </w:p>
        </w:tc>
      </w:tr>
      <w:tr w14:paraId="59FC0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14:paraId="59FC0454">
            <w:pPr>
              <w:spacing w:after="0" w:line="240" w:lineRule="auto"/>
              <w:rPr>
                <w:rFonts w:hint="eastAsia" w:ascii="宋体" w:hAnsi="宋体" w:eastAsia="宋体"/>
                <w:sz w:val="21"/>
                <w:szCs w:val="21"/>
              </w:rPr>
            </w:pPr>
            <w:r>
              <w:rPr>
                <w:rFonts w:ascii="宋体" w:hAnsi="宋体" w:eastAsia="宋体"/>
                <w:sz w:val="21"/>
                <w:szCs w:val="21"/>
              </w:rPr>
              <w:t>1. 转拨</w:t>
            </w:r>
          </w:p>
        </w:tc>
        <w:tc>
          <w:tcPr>
            <w:tcW w:w="2074" w:type="dxa"/>
          </w:tcPr>
          <w:p w14:paraId="59FC0455">
            <w:pPr>
              <w:spacing w:after="0" w:line="240" w:lineRule="auto"/>
              <w:rPr>
                <w:rFonts w:hint="eastAsia" w:ascii="宋体" w:hAnsi="宋体" w:eastAsia="宋体"/>
                <w:sz w:val="21"/>
                <w:szCs w:val="21"/>
              </w:rPr>
            </w:pPr>
            <w:r>
              <w:rPr>
                <w:rFonts w:ascii="宋体" w:hAnsi="宋体" w:eastAsia="宋体"/>
                <w:sz w:val="21"/>
                <w:szCs w:val="21"/>
              </w:rPr>
              <w:t>0</w:t>
            </w:r>
          </w:p>
        </w:tc>
        <w:tc>
          <w:tcPr>
            <w:tcW w:w="2074" w:type="dxa"/>
          </w:tcPr>
          <w:p w14:paraId="59FC0456">
            <w:pPr>
              <w:spacing w:after="0" w:line="240" w:lineRule="auto"/>
              <w:rPr>
                <w:rFonts w:hint="eastAsia" w:ascii="宋体" w:hAnsi="宋体" w:eastAsia="宋体"/>
                <w:sz w:val="21"/>
                <w:szCs w:val="21"/>
              </w:rPr>
            </w:pPr>
            <w:r>
              <w:rPr>
                <w:rFonts w:ascii="宋体" w:hAnsi="宋体" w:eastAsia="宋体"/>
                <w:sz w:val="21"/>
                <w:szCs w:val="21"/>
              </w:rPr>
              <w:t>0</w:t>
            </w:r>
          </w:p>
        </w:tc>
        <w:tc>
          <w:tcPr>
            <w:tcW w:w="2074" w:type="dxa"/>
          </w:tcPr>
          <w:p w14:paraId="59FC0457">
            <w:pPr>
              <w:spacing w:after="0" w:line="240" w:lineRule="auto"/>
              <w:rPr>
                <w:rFonts w:hint="eastAsia" w:ascii="宋体" w:hAnsi="宋体" w:eastAsia="宋体"/>
                <w:sz w:val="21"/>
                <w:szCs w:val="21"/>
              </w:rPr>
            </w:pPr>
          </w:p>
        </w:tc>
      </w:tr>
      <w:tr w14:paraId="59FC0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14:paraId="59FC0459">
            <w:pPr>
              <w:spacing w:after="0" w:line="240" w:lineRule="auto"/>
              <w:rPr>
                <w:rFonts w:hint="eastAsia" w:ascii="宋体" w:hAnsi="宋体" w:eastAsia="宋体"/>
                <w:sz w:val="21"/>
                <w:szCs w:val="21"/>
              </w:rPr>
            </w:pPr>
            <w:r>
              <w:rPr>
                <w:rFonts w:ascii="宋体" w:hAnsi="宋体" w:eastAsia="宋体"/>
                <w:sz w:val="21"/>
                <w:szCs w:val="21"/>
              </w:rPr>
              <w:t>2. 材料费</w:t>
            </w:r>
          </w:p>
        </w:tc>
        <w:tc>
          <w:tcPr>
            <w:tcW w:w="2074" w:type="dxa"/>
          </w:tcPr>
          <w:p w14:paraId="59FC045A">
            <w:pPr>
              <w:spacing w:after="0" w:line="240" w:lineRule="auto"/>
              <w:rPr>
                <w:rFonts w:hint="eastAsia" w:ascii="宋体" w:hAnsi="宋体" w:eastAsia="宋体"/>
                <w:sz w:val="21"/>
                <w:szCs w:val="21"/>
              </w:rPr>
            </w:pPr>
            <w:r>
              <w:rPr>
                <w:rFonts w:ascii="宋体" w:hAnsi="宋体" w:eastAsia="宋体"/>
                <w:sz w:val="21"/>
                <w:szCs w:val="21"/>
              </w:rPr>
              <w:t>0</w:t>
            </w:r>
          </w:p>
        </w:tc>
        <w:tc>
          <w:tcPr>
            <w:tcW w:w="2074" w:type="dxa"/>
          </w:tcPr>
          <w:p w14:paraId="59FC045B">
            <w:pPr>
              <w:spacing w:after="0" w:line="240" w:lineRule="auto"/>
              <w:rPr>
                <w:rFonts w:hint="eastAsia" w:ascii="宋体" w:hAnsi="宋体" w:eastAsia="宋体"/>
                <w:sz w:val="21"/>
                <w:szCs w:val="21"/>
              </w:rPr>
            </w:pPr>
            <w:r>
              <w:rPr>
                <w:rFonts w:ascii="宋体" w:hAnsi="宋体" w:eastAsia="宋体"/>
                <w:sz w:val="21"/>
                <w:szCs w:val="21"/>
              </w:rPr>
              <w:t>0</w:t>
            </w:r>
          </w:p>
        </w:tc>
        <w:tc>
          <w:tcPr>
            <w:tcW w:w="2074" w:type="dxa"/>
          </w:tcPr>
          <w:p w14:paraId="59FC045C">
            <w:pPr>
              <w:spacing w:after="0" w:line="240" w:lineRule="auto"/>
              <w:rPr>
                <w:rFonts w:hint="eastAsia" w:ascii="宋体" w:hAnsi="宋体" w:eastAsia="宋体"/>
                <w:sz w:val="21"/>
                <w:szCs w:val="21"/>
              </w:rPr>
            </w:pPr>
          </w:p>
        </w:tc>
      </w:tr>
      <w:tr w14:paraId="59FC0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14:paraId="59FC045E">
            <w:pPr>
              <w:spacing w:after="0" w:line="240" w:lineRule="auto"/>
              <w:rPr>
                <w:rFonts w:hint="eastAsia" w:ascii="宋体" w:hAnsi="宋体" w:eastAsia="宋体"/>
                <w:sz w:val="21"/>
                <w:szCs w:val="21"/>
              </w:rPr>
            </w:pPr>
            <w:r>
              <w:rPr>
                <w:rFonts w:ascii="宋体" w:hAnsi="宋体" w:eastAsia="宋体"/>
                <w:sz w:val="21"/>
                <w:szCs w:val="21"/>
              </w:rPr>
              <w:t>3. 外协费</w:t>
            </w:r>
          </w:p>
        </w:tc>
        <w:tc>
          <w:tcPr>
            <w:tcW w:w="2074" w:type="dxa"/>
          </w:tcPr>
          <w:p w14:paraId="59FC045F">
            <w:pPr>
              <w:spacing w:after="0" w:line="240" w:lineRule="auto"/>
              <w:rPr>
                <w:rFonts w:hint="eastAsia" w:ascii="宋体" w:hAnsi="宋体" w:eastAsia="宋体"/>
                <w:sz w:val="21"/>
                <w:szCs w:val="21"/>
              </w:rPr>
            </w:pPr>
            <w:r>
              <w:rPr>
                <w:rFonts w:ascii="宋体" w:hAnsi="宋体" w:eastAsia="宋体"/>
                <w:sz w:val="21"/>
                <w:szCs w:val="21"/>
              </w:rPr>
              <w:t>40</w:t>
            </w:r>
          </w:p>
        </w:tc>
        <w:tc>
          <w:tcPr>
            <w:tcW w:w="2074" w:type="dxa"/>
          </w:tcPr>
          <w:p w14:paraId="59FC0460">
            <w:pPr>
              <w:spacing w:after="0" w:line="240" w:lineRule="auto"/>
              <w:rPr>
                <w:rFonts w:hint="eastAsia" w:ascii="宋体" w:hAnsi="宋体" w:eastAsia="宋体"/>
                <w:sz w:val="21"/>
                <w:szCs w:val="21"/>
              </w:rPr>
            </w:pPr>
            <w:r>
              <w:rPr>
                <w:rFonts w:ascii="宋体" w:hAnsi="宋体" w:eastAsia="宋体"/>
                <w:sz w:val="21"/>
                <w:szCs w:val="21"/>
              </w:rPr>
              <w:t>20</w:t>
            </w:r>
          </w:p>
        </w:tc>
        <w:tc>
          <w:tcPr>
            <w:tcW w:w="2074" w:type="dxa"/>
          </w:tcPr>
          <w:p w14:paraId="59FC0461">
            <w:pPr>
              <w:spacing w:after="0" w:line="240" w:lineRule="auto"/>
              <w:rPr>
                <w:rFonts w:hint="eastAsia" w:ascii="宋体" w:hAnsi="宋体" w:eastAsia="宋体"/>
                <w:sz w:val="21"/>
                <w:szCs w:val="21"/>
              </w:rPr>
            </w:pPr>
            <w:r>
              <w:rPr>
                <w:rFonts w:hint="eastAsia" w:ascii="宋体" w:hAnsi="宋体" w:eastAsia="宋体"/>
                <w:sz w:val="21"/>
                <w:szCs w:val="21"/>
              </w:rPr>
              <w:t>计算机时费</w:t>
            </w:r>
          </w:p>
        </w:tc>
      </w:tr>
      <w:tr w14:paraId="59FC0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14:paraId="59FC0463">
            <w:pPr>
              <w:spacing w:after="0" w:line="240" w:lineRule="auto"/>
              <w:rPr>
                <w:rFonts w:hint="eastAsia" w:ascii="宋体" w:hAnsi="宋体" w:eastAsia="宋体"/>
                <w:sz w:val="21"/>
                <w:szCs w:val="21"/>
              </w:rPr>
            </w:pPr>
            <w:r>
              <w:rPr>
                <w:rFonts w:ascii="宋体" w:hAnsi="宋体" w:eastAsia="宋体"/>
                <w:sz w:val="21"/>
                <w:szCs w:val="21"/>
              </w:rPr>
              <w:t>4. 事务费</w:t>
            </w:r>
          </w:p>
        </w:tc>
        <w:tc>
          <w:tcPr>
            <w:tcW w:w="2074" w:type="dxa"/>
          </w:tcPr>
          <w:p w14:paraId="59FC0464">
            <w:pPr>
              <w:spacing w:after="0" w:line="240" w:lineRule="auto"/>
              <w:rPr>
                <w:rFonts w:hint="eastAsia" w:ascii="宋体" w:hAnsi="宋体" w:eastAsia="宋体"/>
                <w:sz w:val="21"/>
                <w:szCs w:val="21"/>
              </w:rPr>
            </w:pPr>
            <w:r>
              <w:rPr>
                <w:rFonts w:ascii="宋体" w:hAnsi="宋体" w:eastAsia="宋体"/>
                <w:sz w:val="21"/>
                <w:szCs w:val="21"/>
              </w:rPr>
              <w:t>27</w:t>
            </w:r>
          </w:p>
        </w:tc>
        <w:tc>
          <w:tcPr>
            <w:tcW w:w="2074" w:type="dxa"/>
          </w:tcPr>
          <w:p w14:paraId="59FC0465">
            <w:pPr>
              <w:spacing w:after="0" w:line="240" w:lineRule="auto"/>
              <w:rPr>
                <w:rFonts w:hint="eastAsia" w:ascii="宋体" w:hAnsi="宋体" w:eastAsia="宋体"/>
                <w:sz w:val="21"/>
                <w:szCs w:val="21"/>
              </w:rPr>
            </w:pPr>
            <w:r>
              <w:rPr>
                <w:rFonts w:ascii="宋体" w:hAnsi="宋体" w:eastAsia="宋体"/>
                <w:sz w:val="21"/>
                <w:szCs w:val="21"/>
              </w:rPr>
              <w:t>2.2209</w:t>
            </w:r>
          </w:p>
        </w:tc>
        <w:tc>
          <w:tcPr>
            <w:tcW w:w="2074" w:type="dxa"/>
          </w:tcPr>
          <w:p w14:paraId="59FC0466">
            <w:pPr>
              <w:spacing w:after="0" w:line="240" w:lineRule="auto"/>
              <w:rPr>
                <w:rFonts w:hint="eastAsia" w:ascii="宋体" w:hAnsi="宋体" w:eastAsia="宋体"/>
                <w:sz w:val="21"/>
                <w:szCs w:val="21"/>
              </w:rPr>
            </w:pPr>
            <w:r>
              <w:rPr>
                <w:rFonts w:hint="eastAsia" w:ascii="宋体" w:hAnsi="宋体" w:eastAsia="宋体"/>
                <w:sz w:val="21"/>
                <w:szCs w:val="21"/>
              </w:rPr>
              <w:t>差旅费等</w:t>
            </w:r>
          </w:p>
        </w:tc>
      </w:tr>
      <w:tr w14:paraId="59FC0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14:paraId="59FC0468">
            <w:pPr>
              <w:spacing w:after="0" w:line="240" w:lineRule="auto"/>
              <w:rPr>
                <w:rFonts w:hint="eastAsia" w:ascii="宋体" w:hAnsi="宋体" w:eastAsia="宋体"/>
                <w:sz w:val="21"/>
                <w:szCs w:val="21"/>
              </w:rPr>
            </w:pPr>
            <w:r>
              <w:rPr>
                <w:rFonts w:ascii="宋体" w:hAnsi="宋体" w:eastAsia="宋体"/>
                <w:sz w:val="21"/>
                <w:szCs w:val="21"/>
              </w:rPr>
              <w:t>5. 燃料动力费</w:t>
            </w:r>
          </w:p>
        </w:tc>
        <w:tc>
          <w:tcPr>
            <w:tcW w:w="2074" w:type="dxa"/>
          </w:tcPr>
          <w:p w14:paraId="59FC0469">
            <w:pPr>
              <w:spacing w:after="0" w:line="240" w:lineRule="auto"/>
              <w:rPr>
                <w:rFonts w:hint="eastAsia" w:ascii="宋体" w:hAnsi="宋体" w:eastAsia="宋体"/>
                <w:sz w:val="21"/>
                <w:szCs w:val="21"/>
              </w:rPr>
            </w:pPr>
            <w:r>
              <w:rPr>
                <w:rFonts w:ascii="宋体" w:hAnsi="宋体" w:eastAsia="宋体"/>
                <w:sz w:val="21"/>
                <w:szCs w:val="21"/>
              </w:rPr>
              <w:t>15</w:t>
            </w:r>
          </w:p>
        </w:tc>
        <w:tc>
          <w:tcPr>
            <w:tcW w:w="2074" w:type="dxa"/>
          </w:tcPr>
          <w:p w14:paraId="59FC046A">
            <w:pPr>
              <w:spacing w:after="0" w:line="240" w:lineRule="auto"/>
              <w:rPr>
                <w:rFonts w:hint="eastAsia" w:ascii="宋体" w:hAnsi="宋体" w:eastAsia="宋体"/>
                <w:sz w:val="21"/>
                <w:szCs w:val="21"/>
              </w:rPr>
            </w:pPr>
            <w:r>
              <w:rPr>
                <w:rFonts w:ascii="宋体" w:hAnsi="宋体" w:eastAsia="宋体"/>
                <w:sz w:val="21"/>
                <w:szCs w:val="21"/>
              </w:rPr>
              <w:t>3.0</w:t>
            </w:r>
          </w:p>
        </w:tc>
        <w:tc>
          <w:tcPr>
            <w:tcW w:w="2074" w:type="dxa"/>
          </w:tcPr>
          <w:p w14:paraId="59FC046B">
            <w:pPr>
              <w:spacing w:after="0" w:line="240" w:lineRule="auto"/>
              <w:rPr>
                <w:rFonts w:hint="eastAsia" w:ascii="宋体" w:hAnsi="宋体" w:eastAsia="宋体"/>
                <w:sz w:val="21"/>
                <w:szCs w:val="21"/>
              </w:rPr>
            </w:pPr>
          </w:p>
        </w:tc>
      </w:tr>
      <w:tr w14:paraId="59FC0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14:paraId="59FC046D">
            <w:pPr>
              <w:spacing w:after="0" w:line="240" w:lineRule="auto"/>
              <w:rPr>
                <w:rFonts w:hint="eastAsia" w:ascii="宋体" w:hAnsi="宋体" w:eastAsia="宋体"/>
                <w:sz w:val="21"/>
                <w:szCs w:val="21"/>
              </w:rPr>
            </w:pPr>
            <w:r>
              <w:rPr>
                <w:rFonts w:ascii="宋体" w:hAnsi="宋体" w:eastAsia="宋体"/>
                <w:sz w:val="21"/>
                <w:szCs w:val="21"/>
              </w:rPr>
              <w:t>6. 固定资产折旧费</w:t>
            </w:r>
          </w:p>
        </w:tc>
        <w:tc>
          <w:tcPr>
            <w:tcW w:w="2074" w:type="dxa"/>
          </w:tcPr>
          <w:p w14:paraId="59FC046E">
            <w:pPr>
              <w:spacing w:after="0" w:line="240" w:lineRule="auto"/>
              <w:rPr>
                <w:rFonts w:hint="eastAsia" w:ascii="宋体" w:hAnsi="宋体" w:eastAsia="宋体"/>
                <w:sz w:val="21"/>
                <w:szCs w:val="21"/>
              </w:rPr>
            </w:pPr>
            <w:r>
              <w:rPr>
                <w:rFonts w:ascii="宋体" w:hAnsi="宋体" w:eastAsia="宋体"/>
                <w:sz w:val="21"/>
                <w:szCs w:val="21"/>
              </w:rPr>
              <w:t>0</w:t>
            </w:r>
          </w:p>
        </w:tc>
        <w:tc>
          <w:tcPr>
            <w:tcW w:w="2074" w:type="dxa"/>
          </w:tcPr>
          <w:p w14:paraId="59FC046F">
            <w:pPr>
              <w:spacing w:after="0" w:line="240" w:lineRule="auto"/>
              <w:rPr>
                <w:rFonts w:hint="eastAsia" w:ascii="宋体" w:hAnsi="宋体" w:eastAsia="宋体"/>
                <w:sz w:val="21"/>
                <w:szCs w:val="21"/>
              </w:rPr>
            </w:pPr>
            <w:r>
              <w:rPr>
                <w:rFonts w:ascii="宋体" w:hAnsi="宋体" w:eastAsia="宋体"/>
                <w:sz w:val="21"/>
                <w:szCs w:val="21"/>
              </w:rPr>
              <w:t>0</w:t>
            </w:r>
          </w:p>
        </w:tc>
        <w:tc>
          <w:tcPr>
            <w:tcW w:w="2074" w:type="dxa"/>
          </w:tcPr>
          <w:p w14:paraId="59FC0470">
            <w:pPr>
              <w:spacing w:after="0" w:line="240" w:lineRule="auto"/>
              <w:rPr>
                <w:rFonts w:hint="eastAsia" w:ascii="宋体" w:hAnsi="宋体" w:eastAsia="宋体"/>
                <w:sz w:val="21"/>
                <w:szCs w:val="21"/>
              </w:rPr>
            </w:pPr>
          </w:p>
        </w:tc>
      </w:tr>
      <w:tr w14:paraId="59FC0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14:paraId="59FC0472">
            <w:pPr>
              <w:spacing w:after="0" w:line="240" w:lineRule="auto"/>
              <w:rPr>
                <w:rFonts w:hint="eastAsia" w:ascii="宋体" w:hAnsi="宋体" w:eastAsia="宋体"/>
                <w:sz w:val="21"/>
                <w:szCs w:val="21"/>
              </w:rPr>
            </w:pPr>
            <w:r>
              <w:rPr>
                <w:rFonts w:ascii="宋体" w:hAnsi="宋体" w:eastAsia="宋体"/>
                <w:sz w:val="21"/>
                <w:szCs w:val="21"/>
              </w:rPr>
              <w:t>7. 工资及劳务费</w:t>
            </w:r>
          </w:p>
        </w:tc>
        <w:tc>
          <w:tcPr>
            <w:tcW w:w="2074" w:type="dxa"/>
          </w:tcPr>
          <w:p w14:paraId="59FC0473">
            <w:pPr>
              <w:spacing w:after="0" w:line="240" w:lineRule="auto"/>
              <w:rPr>
                <w:rFonts w:hint="eastAsia" w:ascii="宋体" w:hAnsi="宋体" w:eastAsia="宋体"/>
                <w:sz w:val="21"/>
                <w:szCs w:val="21"/>
              </w:rPr>
            </w:pPr>
            <w:r>
              <w:rPr>
                <w:rFonts w:ascii="宋体" w:hAnsi="宋体" w:eastAsia="宋体"/>
                <w:sz w:val="21"/>
                <w:szCs w:val="21"/>
              </w:rPr>
              <w:t>62</w:t>
            </w:r>
          </w:p>
        </w:tc>
        <w:tc>
          <w:tcPr>
            <w:tcW w:w="2074" w:type="dxa"/>
          </w:tcPr>
          <w:p w14:paraId="59FC0474">
            <w:pPr>
              <w:spacing w:after="0" w:line="240" w:lineRule="auto"/>
              <w:rPr>
                <w:rFonts w:hint="eastAsia" w:ascii="宋体" w:hAnsi="宋体" w:eastAsia="宋体"/>
                <w:sz w:val="21"/>
                <w:szCs w:val="21"/>
              </w:rPr>
            </w:pPr>
            <w:r>
              <w:rPr>
                <w:rFonts w:ascii="宋体" w:hAnsi="宋体" w:eastAsia="宋体"/>
                <w:sz w:val="21"/>
                <w:szCs w:val="21"/>
              </w:rPr>
              <w:t>16.055</w:t>
            </w:r>
          </w:p>
        </w:tc>
        <w:tc>
          <w:tcPr>
            <w:tcW w:w="2074" w:type="dxa"/>
          </w:tcPr>
          <w:p w14:paraId="59FC0475">
            <w:pPr>
              <w:spacing w:after="0" w:line="240" w:lineRule="auto"/>
              <w:rPr>
                <w:rFonts w:hint="eastAsia" w:ascii="宋体" w:hAnsi="宋体" w:eastAsia="宋体"/>
                <w:sz w:val="21"/>
                <w:szCs w:val="21"/>
              </w:rPr>
            </w:pPr>
            <w:r>
              <w:rPr>
                <w:rFonts w:hint="eastAsia" w:ascii="宋体" w:hAnsi="宋体" w:eastAsia="宋体"/>
                <w:sz w:val="21"/>
                <w:szCs w:val="21"/>
              </w:rPr>
              <w:t>参研人员绩效与学生劳务费</w:t>
            </w:r>
          </w:p>
        </w:tc>
      </w:tr>
      <w:tr w14:paraId="59FC0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14:paraId="59FC0477">
            <w:pPr>
              <w:spacing w:after="0" w:line="240" w:lineRule="auto"/>
              <w:rPr>
                <w:rFonts w:hint="eastAsia" w:ascii="宋体" w:hAnsi="宋体" w:eastAsia="宋体"/>
                <w:sz w:val="21"/>
                <w:szCs w:val="21"/>
              </w:rPr>
            </w:pPr>
            <w:r>
              <w:rPr>
                <w:rFonts w:ascii="宋体" w:hAnsi="宋体" w:eastAsia="宋体"/>
                <w:sz w:val="21"/>
                <w:szCs w:val="21"/>
              </w:rPr>
              <w:t>8. 管理费</w:t>
            </w:r>
          </w:p>
        </w:tc>
        <w:tc>
          <w:tcPr>
            <w:tcW w:w="2074" w:type="dxa"/>
          </w:tcPr>
          <w:p w14:paraId="59FC0478">
            <w:pPr>
              <w:spacing w:after="0" w:line="240" w:lineRule="auto"/>
              <w:rPr>
                <w:rFonts w:hint="eastAsia" w:ascii="宋体" w:hAnsi="宋体" w:eastAsia="宋体"/>
                <w:sz w:val="21"/>
                <w:szCs w:val="21"/>
              </w:rPr>
            </w:pPr>
            <w:r>
              <w:rPr>
                <w:rFonts w:ascii="宋体" w:hAnsi="宋体" w:eastAsia="宋体"/>
                <w:sz w:val="21"/>
                <w:szCs w:val="21"/>
              </w:rPr>
              <w:t>16</w:t>
            </w:r>
          </w:p>
        </w:tc>
        <w:tc>
          <w:tcPr>
            <w:tcW w:w="2074" w:type="dxa"/>
          </w:tcPr>
          <w:p w14:paraId="59FC0479">
            <w:pPr>
              <w:spacing w:after="0" w:line="240" w:lineRule="auto"/>
              <w:rPr>
                <w:rFonts w:hint="eastAsia" w:ascii="宋体" w:hAnsi="宋体" w:eastAsia="宋体"/>
                <w:sz w:val="21"/>
                <w:szCs w:val="21"/>
              </w:rPr>
            </w:pPr>
            <w:r>
              <w:rPr>
                <w:rFonts w:ascii="宋体" w:hAnsi="宋体" w:eastAsia="宋体"/>
                <w:sz w:val="21"/>
                <w:szCs w:val="21"/>
              </w:rPr>
              <w:t>8.0</w:t>
            </w:r>
          </w:p>
        </w:tc>
        <w:tc>
          <w:tcPr>
            <w:tcW w:w="2074" w:type="dxa"/>
          </w:tcPr>
          <w:p w14:paraId="59FC047A">
            <w:pPr>
              <w:spacing w:after="0" w:line="240" w:lineRule="auto"/>
              <w:rPr>
                <w:rFonts w:hint="eastAsia" w:ascii="宋体" w:hAnsi="宋体" w:eastAsia="宋体"/>
                <w:sz w:val="21"/>
                <w:szCs w:val="21"/>
              </w:rPr>
            </w:pPr>
          </w:p>
        </w:tc>
      </w:tr>
      <w:tr w14:paraId="59FC0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14:paraId="59FC047C">
            <w:pPr>
              <w:spacing w:after="0" w:line="240" w:lineRule="auto"/>
              <w:rPr>
                <w:rFonts w:hint="eastAsia" w:ascii="宋体" w:hAnsi="宋体" w:eastAsia="宋体"/>
                <w:sz w:val="21"/>
                <w:szCs w:val="21"/>
              </w:rPr>
            </w:pPr>
            <w:r>
              <w:rPr>
                <w:rFonts w:ascii="宋体" w:hAnsi="宋体" w:eastAsia="宋体"/>
                <w:sz w:val="21"/>
                <w:szCs w:val="21"/>
              </w:rPr>
              <w:t>9. 收益</w:t>
            </w:r>
          </w:p>
        </w:tc>
        <w:tc>
          <w:tcPr>
            <w:tcW w:w="2074" w:type="dxa"/>
          </w:tcPr>
          <w:p w14:paraId="59FC047D">
            <w:pPr>
              <w:spacing w:after="0" w:line="240" w:lineRule="auto"/>
              <w:rPr>
                <w:rFonts w:hint="eastAsia" w:ascii="宋体" w:hAnsi="宋体" w:eastAsia="宋体"/>
                <w:sz w:val="21"/>
                <w:szCs w:val="21"/>
              </w:rPr>
            </w:pPr>
            <w:r>
              <w:rPr>
                <w:rFonts w:ascii="宋体" w:hAnsi="宋体" w:eastAsia="宋体"/>
                <w:sz w:val="21"/>
                <w:szCs w:val="21"/>
              </w:rPr>
              <w:t>0</w:t>
            </w:r>
          </w:p>
        </w:tc>
        <w:tc>
          <w:tcPr>
            <w:tcW w:w="2074" w:type="dxa"/>
          </w:tcPr>
          <w:p w14:paraId="59FC047E">
            <w:pPr>
              <w:spacing w:after="0" w:line="240" w:lineRule="auto"/>
              <w:rPr>
                <w:rFonts w:hint="eastAsia" w:ascii="宋体" w:hAnsi="宋体" w:eastAsia="宋体"/>
                <w:sz w:val="21"/>
                <w:szCs w:val="21"/>
              </w:rPr>
            </w:pPr>
            <w:r>
              <w:rPr>
                <w:rFonts w:ascii="宋体" w:hAnsi="宋体" w:eastAsia="宋体"/>
                <w:sz w:val="21"/>
                <w:szCs w:val="21"/>
              </w:rPr>
              <w:t>0</w:t>
            </w:r>
          </w:p>
        </w:tc>
        <w:tc>
          <w:tcPr>
            <w:tcW w:w="2074" w:type="dxa"/>
          </w:tcPr>
          <w:p w14:paraId="59FC047F">
            <w:pPr>
              <w:spacing w:after="0" w:line="240" w:lineRule="auto"/>
              <w:rPr>
                <w:rFonts w:hint="eastAsia" w:ascii="宋体" w:hAnsi="宋体" w:eastAsia="宋体"/>
                <w:sz w:val="21"/>
                <w:szCs w:val="21"/>
              </w:rPr>
            </w:pPr>
          </w:p>
        </w:tc>
      </w:tr>
    </w:tbl>
    <w:p w14:paraId="59FC0481">
      <w:pPr>
        <w:pStyle w:val="2"/>
        <w:numPr>
          <w:ilvl w:val="0"/>
          <w:numId w:val="2"/>
        </w:numPr>
        <w:rPr>
          <w:rFonts w:hint="eastAsia" w:ascii="微软雅黑" w:hAnsi="微软雅黑" w:eastAsia="微软雅黑"/>
          <w:b/>
          <w:bCs/>
          <w:color w:val="auto"/>
          <w:sz w:val="36"/>
          <w:szCs w:val="36"/>
        </w:rPr>
      </w:pPr>
      <w:bookmarkStart w:id="10" w:name="_Toc239521154"/>
      <w:r>
        <w:rPr>
          <w:rFonts w:ascii="微软雅黑" w:hAnsi="微软雅黑" w:eastAsia="微软雅黑"/>
          <w:b/>
          <w:bCs/>
          <w:color w:val="auto"/>
          <w:sz w:val="36"/>
          <w:szCs w:val="36"/>
        </w:rPr>
        <w:t>团队建设与人才培养</w:t>
      </w:r>
      <w:bookmarkEnd w:id="10"/>
    </w:p>
    <w:p w14:paraId="59FC0482">
      <w:pPr>
        <w:pStyle w:val="3"/>
        <w:numPr>
          <w:ilvl w:val="0"/>
          <w:numId w:val="6"/>
        </w:numPr>
        <w:rPr>
          <w:rFonts w:hint="eastAsia" w:ascii="楷体" w:hAnsi="楷体" w:eastAsia="楷体"/>
          <w:b/>
          <w:bCs/>
          <w:color w:val="auto"/>
          <w:sz w:val="28"/>
          <w:szCs w:val="28"/>
        </w:rPr>
      </w:pPr>
      <w:bookmarkStart w:id="11" w:name="_Toc239521155"/>
      <w:r>
        <w:rPr>
          <w:rFonts w:ascii="楷体" w:hAnsi="楷体" w:eastAsia="楷体"/>
          <w:b/>
          <w:bCs/>
          <w:color w:val="auto"/>
          <w:sz w:val="28"/>
          <w:szCs w:val="28"/>
        </w:rPr>
        <w:t>科研团队基本情况</w:t>
      </w:r>
      <w:bookmarkEnd w:id="11"/>
    </w:p>
    <w:p w14:paraId="59FC0483">
      <w:pPr>
        <w:numPr>
          <w:ilvl w:val="0"/>
          <w:numId w:val="7"/>
        </w:numPr>
        <w:spacing w:line="520" w:lineRule="exact"/>
        <w:rPr>
          <w:rFonts w:hint="eastAsia" w:ascii="楷体" w:hAnsi="楷体" w:eastAsia="楷体"/>
          <w:sz w:val="28"/>
          <w:szCs w:val="28"/>
        </w:rPr>
      </w:pPr>
      <w:r>
        <w:rPr>
          <w:rFonts w:ascii="楷体" w:hAnsi="楷体" w:eastAsia="楷体"/>
          <w:sz w:val="28"/>
          <w:szCs w:val="28"/>
        </w:rPr>
        <w:t>研究团队总体情况介绍</w:t>
      </w:r>
    </w:p>
    <w:p w14:paraId="59FC0484">
      <w:pPr>
        <w:tabs>
          <w:tab w:val="left" w:pos="720"/>
        </w:tabs>
        <w:spacing w:line="520" w:lineRule="exact"/>
        <w:jc w:val="both"/>
        <w:rPr>
          <w:rFonts w:hint="eastAsia" w:ascii="楷体" w:hAnsi="楷体" w:eastAsia="楷体"/>
          <w:sz w:val="28"/>
          <w:szCs w:val="28"/>
        </w:rPr>
      </w:pPr>
      <w:r>
        <w:rPr>
          <w:rFonts w:ascii="楷体" w:hAnsi="楷体" w:eastAsia="楷体"/>
          <w:sz w:val="28"/>
          <w:szCs w:val="28"/>
        </w:rPr>
        <w:tab/>
      </w:r>
      <w:r>
        <w:rPr>
          <w:rFonts w:hint="eastAsia" w:ascii="楷体" w:hAnsi="楷体" w:eastAsia="楷体"/>
          <w:sz w:val="28"/>
          <w:szCs w:val="28"/>
        </w:rPr>
        <w:t>目前团队有固定职位人员</w:t>
      </w:r>
      <w:r>
        <w:rPr>
          <w:rFonts w:ascii="楷体" w:hAnsi="楷体" w:eastAsia="楷体"/>
          <w:sz w:val="28"/>
          <w:szCs w:val="28"/>
        </w:rPr>
        <w:t>4人（翁苏明教授、盛政明教授、</w:t>
      </w:r>
      <w:r>
        <w:rPr>
          <w:rFonts w:hint="eastAsia" w:ascii="楷体" w:hAnsi="楷体" w:eastAsia="楷体"/>
          <w:sz w:val="28"/>
          <w:szCs w:val="28"/>
        </w:rPr>
        <w:t>黄芙蓉项目助理</w:t>
      </w:r>
      <w:r>
        <w:rPr>
          <w:rFonts w:ascii="楷体" w:hAnsi="楷体" w:eastAsia="楷体"/>
          <w:sz w:val="28"/>
          <w:szCs w:val="28"/>
        </w:rPr>
        <w:t>、殷超</w:t>
      </w:r>
      <w:r>
        <w:rPr>
          <w:rFonts w:hint="eastAsia" w:ascii="楷体" w:hAnsi="楷体" w:eastAsia="楷体"/>
          <w:sz w:val="28"/>
          <w:szCs w:val="28"/>
        </w:rPr>
        <w:t>项目助理</w:t>
      </w:r>
      <w:r>
        <w:rPr>
          <w:rFonts w:ascii="楷体" w:hAnsi="楷体" w:eastAsia="楷体"/>
          <w:sz w:val="28"/>
          <w:szCs w:val="28"/>
        </w:rPr>
        <w:t>）；博士后1人（</w:t>
      </w:r>
      <w:r>
        <w:rPr>
          <w:rFonts w:hint="eastAsia" w:ascii="楷体" w:hAnsi="楷体" w:eastAsia="楷体"/>
          <w:sz w:val="28"/>
          <w:szCs w:val="28"/>
        </w:rPr>
        <w:t>程先涛</w:t>
      </w:r>
      <w:r>
        <w:rPr>
          <w:rFonts w:ascii="楷体" w:hAnsi="楷体" w:eastAsia="楷体"/>
          <w:sz w:val="28"/>
          <w:szCs w:val="28"/>
        </w:rPr>
        <w:t>）；研究生13人</w:t>
      </w:r>
      <w:r>
        <w:rPr>
          <w:rFonts w:hint="eastAsia" w:ascii="楷体" w:hAnsi="楷体" w:eastAsia="楷体"/>
          <w:sz w:val="28"/>
          <w:szCs w:val="28"/>
        </w:rPr>
        <w:t>（刘垠宏、李镭、陈星宇、郭守嘉、潘浩然、朱仲源、雷智宇、俞林、贾宜杰、李思浩、安吉、俞皓涵、张嘉宁）</w:t>
      </w:r>
      <w:r>
        <w:rPr>
          <w:rFonts w:ascii="楷体" w:hAnsi="楷体" w:eastAsia="楷体"/>
          <w:sz w:val="28"/>
          <w:szCs w:val="28"/>
        </w:rPr>
        <w:t>；合计18人。</w:t>
      </w:r>
    </w:p>
    <w:p w14:paraId="59FC0485">
      <w:pPr>
        <w:numPr>
          <w:ilvl w:val="0"/>
          <w:numId w:val="7"/>
        </w:numPr>
        <w:spacing w:line="520" w:lineRule="exact"/>
        <w:jc w:val="both"/>
        <w:rPr>
          <w:rFonts w:hint="eastAsia" w:ascii="楷体" w:hAnsi="楷体" w:eastAsia="楷体"/>
          <w:sz w:val="28"/>
          <w:szCs w:val="28"/>
        </w:rPr>
      </w:pPr>
      <w:r>
        <w:rPr>
          <w:rFonts w:ascii="楷体" w:hAnsi="楷体" w:eastAsia="楷体"/>
          <w:sz w:val="28"/>
          <w:szCs w:val="28"/>
        </w:rPr>
        <w:t>团队调整情况</w:t>
      </w:r>
    </w:p>
    <w:p w14:paraId="59FC0486">
      <w:pPr>
        <w:tabs>
          <w:tab w:val="left" w:pos="720"/>
        </w:tabs>
        <w:spacing w:line="520" w:lineRule="exact"/>
        <w:jc w:val="both"/>
        <w:rPr>
          <w:rFonts w:hint="eastAsia" w:ascii="楷体" w:hAnsi="楷体" w:eastAsia="楷体"/>
          <w:sz w:val="28"/>
          <w:szCs w:val="28"/>
        </w:rPr>
      </w:pPr>
      <w:r>
        <w:rPr>
          <w:rFonts w:ascii="楷体" w:hAnsi="楷体" w:eastAsia="楷体"/>
          <w:sz w:val="28"/>
          <w:szCs w:val="28"/>
        </w:rPr>
        <w:tab/>
      </w:r>
      <w:r>
        <w:rPr>
          <w:rFonts w:hint="eastAsia" w:ascii="楷体" w:hAnsi="楷体" w:eastAsia="楷体"/>
          <w:sz w:val="28"/>
          <w:szCs w:val="28"/>
        </w:rPr>
        <w:t>在课题执行期间，毕业博士生1名（艾洪）</w:t>
      </w:r>
      <w:r>
        <w:rPr>
          <w:rFonts w:ascii="楷体" w:hAnsi="楷体" w:eastAsia="楷体"/>
          <w:sz w:val="28"/>
          <w:szCs w:val="28"/>
        </w:rPr>
        <w:t>，</w:t>
      </w:r>
      <w:r>
        <w:rPr>
          <w:rFonts w:hint="eastAsia" w:ascii="楷体" w:hAnsi="楷体" w:eastAsia="楷体"/>
          <w:sz w:val="28"/>
          <w:szCs w:val="28"/>
        </w:rPr>
        <w:t>出站博士后</w:t>
      </w:r>
      <w:r>
        <w:rPr>
          <w:rFonts w:ascii="楷体" w:hAnsi="楷体" w:eastAsia="楷体"/>
          <w:sz w:val="28"/>
          <w:szCs w:val="28"/>
        </w:rPr>
        <w:t>2</w:t>
      </w:r>
      <w:r>
        <w:rPr>
          <w:rFonts w:hint="eastAsia" w:ascii="楷体" w:hAnsi="楷体" w:eastAsia="楷体"/>
          <w:sz w:val="28"/>
          <w:szCs w:val="28"/>
        </w:rPr>
        <w:t>名（张小波、马行行），</w:t>
      </w:r>
      <w:r>
        <w:rPr>
          <w:rFonts w:ascii="楷体" w:hAnsi="楷体" w:eastAsia="楷体"/>
          <w:sz w:val="28"/>
          <w:szCs w:val="28"/>
        </w:rPr>
        <w:t>同时</w:t>
      </w:r>
      <w:r>
        <w:rPr>
          <w:rFonts w:hint="eastAsia" w:ascii="楷体" w:hAnsi="楷体" w:eastAsia="楷体"/>
          <w:sz w:val="28"/>
          <w:szCs w:val="28"/>
        </w:rPr>
        <w:t>入学博士生</w:t>
      </w:r>
      <w:r>
        <w:rPr>
          <w:rFonts w:ascii="楷体" w:hAnsi="楷体" w:eastAsia="楷体"/>
          <w:sz w:val="28"/>
          <w:szCs w:val="28"/>
        </w:rPr>
        <w:t>2</w:t>
      </w:r>
      <w:r>
        <w:rPr>
          <w:rFonts w:hint="eastAsia" w:ascii="楷体" w:hAnsi="楷体" w:eastAsia="楷体"/>
          <w:sz w:val="28"/>
          <w:szCs w:val="28"/>
        </w:rPr>
        <w:t>名（俞皓涵、张嘉宁）</w:t>
      </w:r>
      <w:r>
        <w:rPr>
          <w:rFonts w:ascii="楷体" w:hAnsi="楷体" w:eastAsia="楷体"/>
          <w:sz w:val="28"/>
          <w:szCs w:val="28"/>
        </w:rPr>
        <w:t>。</w:t>
      </w:r>
    </w:p>
    <w:p w14:paraId="59FC0487">
      <w:pPr>
        <w:tabs>
          <w:tab w:val="left" w:pos="720"/>
        </w:tabs>
        <w:spacing w:line="520" w:lineRule="exact"/>
        <w:jc w:val="both"/>
        <w:rPr>
          <w:rFonts w:hint="eastAsia" w:ascii="楷体" w:hAnsi="楷体" w:eastAsia="楷体"/>
          <w:sz w:val="28"/>
          <w:szCs w:val="28"/>
        </w:rPr>
      </w:pPr>
      <w:r>
        <w:rPr>
          <w:rFonts w:ascii="楷体" w:hAnsi="楷体" w:eastAsia="楷体"/>
          <w:sz w:val="28"/>
          <w:szCs w:val="28"/>
        </w:rPr>
        <w:tab/>
      </w:r>
      <w:bookmarkStart w:id="12" w:name="_Hlk239495369"/>
      <w:r>
        <w:rPr>
          <w:rFonts w:hint="eastAsia" w:ascii="楷体" w:hAnsi="楷体" w:eastAsia="楷体"/>
          <w:sz w:val="28"/>
          <w:szCs w:val="28"/>
        </w:rPr>
        <w:t>预计本年度，还将毕业博士生2名（刘垠宏、李镭），出站博士后1名（程先涛）；同时，已录取博士生2名（黄锦洋、邵梁滨），预计李镭博士毕业后将留在团队继续从事博士后科研工作</w:t>
      </w:r>
      <w:r>
        <w:rPr>
          <w:rFonts w:ascii="楷体" w:hAnsi="楷体" w:eastAsia="楷体"/>
          <w:sz w:val="28"/>
          <w:szCs w:val="28"/>
        </w:rPr>
        <w:t>。</w:t>
      </w:r>
    </w:p>
    <w:bookmarkEnd w:id="12"/>
    <w:p w14:paraId="59FC0488">
      <w:pPr>
        <w:pStyle w:val="3"/>
        <w:numPr>
          <w:ilvl w:val="0"/>
          <w:numId w:val="6"/>
        </w:numPr>
        <w:rPr>
          <w:rFonts w:hint="eastAsia" w:ascii="楷体" w:hAnsi="楷体" w:eastAsia="楷体"/>
          <w:b/>
          <w:bCs/>
          <w:color w:val="auto"/>
          <w:sz w:val="28"/>
          <w:szCs w:val="28"/>
        </w:rPr>
      </w:pPr>
      <w:bookmarkStart w:id="13" w:name="_Toc239521156"/>
      <w:r>
        <w:rPr>
          <w:rFonts w:ascii="楷体" w:hAnsi="楷体" w:eastAsia="楷体"/>
          <w:b/>
          <w:bCs/>
          <w:color w:val="auto"/>
          <w:sz w:val="28"/>
          <w:szCs w:val="28"/>
        </w:rPr>
        <w:t>团队建设及人才培养情况</w:t>
      </w:r>
      <w:bookmarkEnd w:id="13"/>
    </w:p>
    <w:p w14:paraId="59FC0489">
      <w:pPr>
        <w:tabs>
          <w:tab w:val="left" w:pos="720"/>
        </w:tabs>
        <w:spacing w:line="520" w:lineRule="exact"/>
        <w:jc w:val="both"/>
        <w:rPr>
          <w:rFonts w:ascii="Segoe UI" w:hAnsi="Segoe UI" w:eastAsia="Times New Roman" w:cs="Segoe UI"/>
          <w:color w:val="0F1115"/>
          <w:kern w:val="0"/>
          <w:sz w:val="24"/>
          <w14:ligatures w14:val="none"/>
        </w:rPr>
      </w:pPr>
      <w:r>
        <w:rPr>
          <w:rFonts w:ascii="楷体" w:hAnsi="楷体" w:eastAsia="楷体"/>
          <w:sz w:val="28"/>
          <w:szCs w:val="28"/>
        </w:rPr>
        <w:tab/>
      </w:r>
      <w:r>
        <w:rPr>
          <w:rFonts w:hint="eastAsia" w:ascii="楷体" w:hAnsi="楷体" w:eastAsia="楷体"/>
          <w:sz w:val="28"/>
          <w:szCs w:val="28"/>
        </w:rPr>
        <w:t>通过本课题，在激光等离子体不稳定性（LPI）及非平衡态等离子体诊断等研究领域锻炼了一支小而精的科研团队，团队核心固定成员为翁苏明教授与盛政明教授。</w:t>
      </w:r>
    </w:p>
    <w:p w14:paraId="59FC048A">
      <w:pPr>
        <w:tabs>
          <w:tab w:val="left" w:pos="720"/>
        </w:tabs>
        <w:spacing w:line="520" w:lineRule="exact"/>
        <w:jc w:val="both"/>
        <w:rPr>
          <w:rFonts w:hint="eastAsia" w:ascii="楷体" w:hAnsi="楷体" w:eastAsia="楷体"/>
          <w:sz w:val="28"/>
          <w:szCs w:val="28"/>
        </w:rPr>
      </w:pPr>
      <w:r>
        <w:rPr>
          <w:rFonts w:ascii="楷体" w:hAnsi="楷体" w:eastAsia="楷体"/>
          <w:sz w:val="28"/>
          <w:szCs w:val="28"/>
        </w:rPr>
        <w:tab/>
      </w:r>
      <w:r>
        <w:rPr>
          <w:rFonts w:hint="eastAsia" w:ascii="楷体" w:hAnsi="楷体" w:eastAsia="楷体"/>
          <w:sz w:val="28"/>
          <w:szCs w:val="28"/>
        </w:rPr>
        <w:t>课题执行期间，已培养出站博士后2人（马行行、张小波）。马行行出站后到国防科技大学继续从事激光等离子体不稳定性等方面的研究；张小波为在职博士后，已顺利出站并回到西北师范大学，继续从事多离子组分等离子体物理研究。已培养博士生毕业生1人（艾洪），艾洪毕业后从事与等离子体物理紧密相关的光刻机研发工作。</w:t>
      </w:r>
    </w:p>
    <w:p w14:paraId="59FC048B">
      <w:pPr>
        <w:tabs>
          <w:tab w:val="left" w:pos="720"/>
        </w:tabs>
        <w:spacing w:line="520" w:lineRule="exact"/>
        <w:jc w:val="both"/>
        <w:rPr>
          <w:rFonts w:hint="eastAsia" w:ascii="楷体" w:hAnsi="楷体" w:eastAsia="楷体"/>
          <w:sz w:val="28"/>
          <w:szCs w:val="28"/>
        </w:rPr>
      </w:pPr>
      <w:r>
        <w:rPr>
          <w:rFonts w:ascii="楷体" w:hAnsi="楷体" w:eastAsia="楷体"/>
          <w:sz w:val="28"/>
          <w:szCs w:val="28"/>
        </w:rPr>
        <w:tab/>
      </w:r>
      <w:r>
        <w:rPr>
          <w:rFonts w:hint="eastAsia" w:ascii="楷体" w:hAnsi="楷体" w:eastAsia="楷体"/>
          <w:sz w:val="28"/>
          <w:szCs w:val="28"/>
        </w:rPr>
        <w:t>课题组吸引了众多年轻学生加入激光聚变等研究领域，目前在读博士生</w:t>
      </w:r>
      <w:r>
        <w:rPr>
          <w:rFonts w:ascii="楷体" w:hAnsi="楷体" w:eastAsia="楷体"/>
          <w:sz w:val="28"/>
          <w:szCs w:val="28"/>
        </w:rPr>
        <w:t>13人</w:t>
      </w:r>
      <w:r>
        <w:rPr>
          <w:rFonts w:hint="eastAsia" w:ascii="楷体" w:hAnsi="楷体" w:eastAsia="楷体"/>
          <w:sz w:val="28"/>
          <w:szCs w:val="28"/>
        </w:rPr>
        <w:t>（刘垠宏、李镭、陈星宇、郭守嘉、潘浩然、朱仲源、雷智宇、俞林、贾宜杰、李思浩、安吉、俞皓涵、张嘉宁）；同时，已录取博士生2名（黄锦洋、邵梁滨）；其中</w:t>
      </w:r>
      <w:r>
        <w:rPr>
          <w:rFonts w:ascii="楷体" w:hAnsi="楷体" w:eastAsia="楷体"/>
          <w:sz w:val="28"/>
          <w:szCs w:val="28"/>
        </w:rPr>
        <w:t>郭守嘉、朱仲源、张嘉宁</w:t>
      </w:r>
      <w:r>
        <w:rPr>
          <w:rFonts w:hint="eastAsia" w:ascii="楷体" w:hAnsi="楷体" w:eastAsia="楷体"/>
          <w:sz w:val="28"/>
          <w:szCs w:val="28"/>
        </w:rPr>
        <w:t>等</w:t>
      </w:r>
      <w:r>
        <w:rPr>
          <w:rFonts w:ascii="楷体" w:hAnsi="楷体" w:eastAsia="楷体"/>
          <w:sz w:val="28"/>
          <w:szCs w:val="28"/>
        </w:rPr>
        <w:t>3人为与中物院联合培养学生。</w:t>
      </w:r>
    </w:p>
    <w:p w14:paraId="59FC048C">
      <w:pPr>
        <w:tabs>
          <w:tab w:val="left" w:pos="720"/>
        </w:tabs>
        <w:spacing w:line="520" w:lineRule="exact"/>
        <w:jc w:val="both"/>
        <w:rPr>
          <w:rFonts w:hint="eastAsia" w:ascii="楷体" w:hAnsi="楷体" w:eastAsia="楷体"/>
          <w:sz w:val="28"/>
          <w:szCs w:val="28"/>
        </w:rPr>
      </w:pPr>
      <w:r>
        <w:rPr>
          <w:rFonts w:ascii="楷体" w:hAnsi="楷体" w:eastAsia="楷体"/>
          <w:sz w:val="28"/>
          <w:szCs w:val="28"/>
        </w:rPr>
        <w:tab/>
      </w:r>
      <w:r>
        <w:rPr>
          <w:rFonts w:hint="eastAsia" w:ascii="楷体" w:hAnsi="楷体" w:eastAsia="楷体"/>
          <w:sz w:val="28"/>
          <w:szCs w:val="28"/>
        </w:rPr>
        <w:t>本课题研究还吸引了汪华洋、王峥、王逸伦、张翔宇、</w:t>
      </w:r>
      <w:r>
        <w:rPr>
          <w:rFonts w:ascii="楷体" w:hAnsi="楷体" w:eastAsia="楷体"/>
          <w:sz w:val="28"/>
          <w:szCs w:val="28"/>
        </w:rPr>
        <w:t>俞思成5名本科生参与</w:t>
      </w:r>
      <w:r>
        <w:rPr>
          <w:rFonts w:hint="eastAsia" w:ascii="楷体" w:hAnsi="楷体" w:eastAsia="楷体"/>
          <w:sz w:val="28"/>
          <w:szCs w:val="28"/>
        </w:rPr>
        <w:t>非平衡态等离子体系统的汤姆逊散射模型建模与程序开发工作，这些学生在核心的</w:t>
      </w:r>
      <w:r>
        <w:rPr>
          <w:rFonts w:ascii="楷体" w:hAnsi="楷体" w:eastAsia="楷体"/>
          <w:sz w:val="28"/>
          <w:szCs w:val="28"/>
        </w:rPr>
        <w:t>神经网络</w:t>
      </w:r>
      <w:r>
        <w:rPr>
          <w:rFonts w:hint="eastAsia" w:ascii="楷体" w:hAnsi="楷体" w:eastAsia="楷体"/>
          <w:sz w:val="28"/>
          <w:szCs w:val="28"/>
        </w:rPr>
        <w:t>算法优化及物理建模分析等方面发挥了重要作用。通过本课题的锻炼，他们顺利完成了大学生创新创业项目“光学汤姆逊散射技术在激光聚变中的应用”，项目获评审专家高度评价，成绩为优秀。其中，汪华洋荣获物理与天文学院“春耕奖学金”，王峥荣获上海交通大学“董氏奖学金”，俞思成荣获上海交通大学“三星奖学金”。</w:t>
      </w:r>
    </w:p>
    <w:p w14:paraId="59FC048D">
      <w:pPr>
        <w:tabs>
          <w:tab w:val="left" w:pos="720"/>
        </w:tabs>
        <w:spacing w:line="520" w:lineRule="exact"/>
        <w:jc w:val="both"/>
        <w:rPr>
          <w:rFonts w:hint="eastAsia" w:ascii="楷体" w:hAnsi="楷体" w:eastAsia="楷体"/>
          <w:sz w:val="28"/>
          <w:szCs w:val="28"/>
        </w:rPr>
      </w:pPr>
      <w:r>
        <w:rPr>
          <w:rFonts w:ascii="楷体" w:hAnsi="楷体" w:eastAsia="楷体"/>
          <w:sz w:val="28"/>
          <w:szCs w:val="28"/>
        </w:rPr>
        <w:tab/>
      </w:r>
      <w:r>
        <w:rPr>
          <w:rFonts w:hint="eastAsia" w:ascii="楷体" w:hAnsi="楷体" w:eastAsia="楷体"/>
          <w:sz w:val="28"/>
          <w:szCs w:val="28"/>
        </w:rPr>
        <w:t>课题负责人翁苏明荣获2</w:t>
      </w:r>
      <w:r>
        <w:rPr>
          <w:rFonts w:ascii="楷体" w:hAnsi="楷体" w:eastAsia="楷体"/>
          <w:sz w:val="28"/>
          <w:szCs w:val="28"/>
        </w:rPr>
        <w:t>026</w:t>
      </w:r>
      <w:r>
        <w:rPr>
          <w:rFonts w:hint="eastAsia" w:ascii="楷体" w:hAnsi="楷体" w:eastAsia="楷体"/>
          <w:sz w:val="28"/>
          <w:szCs w:val="28"/>
        </w:rPr>
        <w:t>年度上海交通大学“教书育人奖”三等奖以及2</w:t>
      </w:r>
      <w:r>
        <w:rPr>
          <w:rFonts w:ascii="楷体" w:hAnsi="楷体" w:eastAsia="楷体"/>
          <w:sz w:val="28"/>
          <w:szCs w:val="28"/>
        </w:rPr>
        <w:t>025</w:t>
      </w:r>
      <w:r>
        <w:rPr>
          <w:rFonts w:hint="eastAsia" w:ascii="楷体" w:hAnsi="楷体" w:eastAsia="楷体"/>
          <w:sz w:val="28"/>
          <w:szCs w:val="28"/>
        </w:rPr>
        <w:t>年度上海交通大学</w:t>
      </w:r>
      <w:r>
        <w:rPr>
          <w:rFonts w:ascii="楷体" w:hAnsi="楷体" w:eastAsia="楷体"/>
          <w:sz w:val="28"/>
          <w:szCs w:val="28"/>
        </w:rPr>
        <w:t>物理与天文学院“春耕”教育奖教金。</w:t>
      </w:r>
    </w:p>
    <w:p w14:paraId="59FC048E">
      <w:pPr>
        <w:pStyle w:val="2"/>
        <w:numPr>
          <w:ilvl w:val="0"/>
          <w:numId w:val="2"/>
        </w:numPr>
        <w:rPr>
          <w:rFonts w:hint="eastAsia" w:ascii="微软雅黑" w:hAnsi="微软雅黑" w:eastAsia="微软雅黑"/>
          <w:b/>
          <w:bCs/>
          <w:color w:val="auto"/>
          <w:sz w:val="36"/>
          <w:szCs w:val="36"/>
        </w:rPr>
      </w:pPr>
      <w:bookmarkStart w:id="14" w:name="_Toc239521157"/>
      <w:r>
        <w:rPr>
          <w:rFonts w:ascii="微软雅黑" w:hAnsi="微软雅黑" w:eastAsia="微软雅黑"/>
          <w:b/>
          <w:bCs/>
          <w:color w:val="auto"/>
          <w:sz w:val="36"/>
          <w:szCs w:val="36"/>
        </w:rPr>
        <w:t>协同科研活动开展</w:t>
      </w:r>
      <w:bookmarkEnd w:id="14"/>
    </w:p>
    <w:p w14:paraId="59FC048F">
      <w:pPr>
        <w:pStyle w:val="3"/>
        <w:numPr>
          <w:ilvl w:val="0"/>
          <w:numId w:val="8"/>
        </w:numPr>
        <w:rPr>
          <w:rFonts w:hint="eastAsia" w:ascii="楷体" w:hAnsi="楷体" w:eastAsia="楷体"/>
          <w:b/>
          <w:bCs/>
          <w:color w:val="auto"/>
          <w:sz w:val="28"/>
          <w:szCs w:val="28"/>
        </w:rPr>
      </w:pPr>
      <w:bookmarkStart w:id="15" w:name="_Toc239521158"/>
      <w:r>
        <w:rPr>
          <w:rFonts w:ascii="楷体" w:hAnsi="楷体" w:eastAsia="楷体"/>
          <w:b/>
          <w:bCs/>
          <w:color w:val="auto"/>
          <w:sz w:val="28"/>
          <w:szCs w:val="28"/>
        </w:rPr>
        <w:t>领域学术交流活动</w:t>
      </w:r>
      <w:bookmarkEnd w:id="15"/>
    </w:p>
    <w:p w14:paraId="59FC0490">
      <w:pPr>
        <w:pStyle w:val="38"/>
        <w:spacing w:line="360" w:lineRule="auto"/>
        <w:ind w:left="440"/>
        <w:rPr>
          <w:rFonts w:hint="eastAsia" w:ascii="宋体" w:hAnsi="宋体" w:eastAsia="宋体"/>
          <w:sz w:val="28"/>
          <w:szCs w:val="28"/>
        </w:rPr>
      </w:pPr>
      <w:r>
        <w:rPr>
          <w:rFonts w:hint="eastAsia" w:ascii="宋体" w:hAnsi="宋体" w:eastAsia="宋体"/>
          <w:sz w:val="28"/>
          <w:szCs w:val="28"/>
        </w:rPr>
        <w:t>（</w:t>
      </w:r>
      <w:r>
        <w:rPr>
          <w:rFonts w:hint="eastAsia" w:ascii="宋体" w:hAnsi="宋体" w:eastAsia="宋体"/>
          <w:i/>
          <w:iCs/>
          <w:sz w:val="28"/>
          <w:szCs w:val="28"/>
        </w:rPr>
        <w:t>开展情况以及收效</w:t>
      </w:r>
      <w:r>
        <w:rPr>
          <w:rFonts w:hint="eastAsia" w:ascii="宋体" w:hAnsi="宋体" w:eastAsia="宋体"/>
          <w:sz w:val="28"/>
          <w:szCs w:val="28"/>
        </w:rPr>
        <w:t>）</w:t>
      </w:r>
    </w:p>
    <w:p w14:paraId="59FC0491">
      <w:pPr>
        <w:spacing w:line="360" w:lineRule="auto"/>
        <w:ind w:firstLine="420"/>
        <w:jc w:val="both"/>
        <w:rPr>
          <w:rFonts w:ascii="Times New Roman" w:hAnsi="Times New Roman" w:eastAsia="宋体" w:cs="Times New Roman"/>
          <w:sz w:val="28"/>
          <w:szCs w:val="28"/>
        </w:rPr>
      </w:pPr>
      <w:r>
        <w:rPr>
          <w:rFonts w:ascii="Times New Roman" w:hAnsi="Times New Roman" w:eastAsia="宋体" w:cs="Times New Roman"/>
          <w:sz w:val="28"/>
          <w:szCs w:val="28"/>
        </w:rPr>
        <w:t>2025年7月22日至26日，翁苏明参加了在烟台举办的“第十届全国计算物理会议”并作报告“Vlasov-Fokker-Planck 动理学程序开发及其应用”，听取了与会专家们关于激光聚变领域动理学程序开发与应用方面的建议；同时，学习了同行们在激光等离子体数值模拟技术与程序开发领域以及人工智能领域所取得的最新进展。本次学术交流有助于非平衡态等离子体系统的汤姆逊散射模型以及包含碰撞吸收、碰撞阻尼等效应的LPI动理学模型的建模与程序开发。</w:t>
      </w:r>
    </w:p>
    <w:p w14:paraId="59FC0492">
      <w:pPr>
        <w:spacing w:line="360" w:lineRule="auto"/>
        <w:ind w:firstLine="420"/>
        <w:jc w:val="both"/>
        <w:rPr>
          <w:rFonts w:ascii="Times New Roman" w:hAnsi="Times New Roman" w:eastAsia="宋体" w:cs="Times New Roman"/>
          <w:sz w:val="28"/>
          <w:szCs w:val="28"/>
        </w:rPr>
      </w:pPr>
      <w:r>
        <w:rPr>
          <w:rFonts w:ascii="Times New Roman" w:hAnsi="Times New Roman" w:eastAsia="宋体" w:cs="Times New Roman"/>
          <w:sz w:val="28"/>
          <w:szCs w:val="28"/>
        </w:rPr>
        <w:t>2025年11月21日至23日，翁苏明参加了在深圳举办的“第十一届高能量密度物理青年科学家论坛”；学习了同行们在激光等离子体不稳定性等激光聚变研究领域的最新进展。本次学术交流有助于开展多组份等离子体中碰撞效应对LPI影响的研究工作。</w:t>
      </w:r>
    </w:p>
    <w:p w14:paraId="59FC0493">
      <w:pPr>
        <w:spacing w:line="360" w:lineRule="auto"/>
        <w:ind w:firstLine="420"/>
        <w:jc w:val="both"/>
        <w:rPr>
          <w:rFonts w:ascii="Times New Roman" w:hAnsi="Times New Roman" w:eastAsia="宋体" w:cs="Times New Roman"/>
          <w:sz w:val="28"/>
          <w:szCs w:val="28"/>
        </w:rPr>
      </w:pPr>
      <w:r>
        <w:rPr>
          <w:rFonts w:ascii="Times New Roman" w:hAnsi="Times New Roman" w:eastAsia="宋体" w:cs="Times New Roman"/>
          <w:sz w:val="28"/>
          <w:szCs w:val="28"/>
        </w:rPr>
        <w:t>2025年12月4日至6日，翁苏明参加了在厦门举办的“等离子体光学暨智能光场调控与成像研讨会”并作报告“基于参量过程的等离子体光放大与频谱展宽”，听取了与会专家们关于等离子体参量过程的控制与利用当方面的建议；同时，学习了同行们在等离子体光学以及智能光场控制等方面的最新进展。本次学术交流有助于开展多组分等离子体中的LPI研究工作。</w:t>
      </w:r>
    </w:p>
    <w:p w14:paraId="59FC0494">
      <w:pPr>
        <w:spacing w:line="360" w:lineRule="auto"/>
        <w:ind w:firstLine="420"/>
        <w:jc w:val="both"/>
        <w:rPr>
          <w:rFonts w:ascii="Times New Roman" w:hAnsi="Times New Roman" w:eastAsia="宋体" w:cs="Times New Roman"/>
          <w:sz w:val="28"/>
          <w:szCs w:val="28"/>
        </w:rPr>
      </w:pPr>
      <w:r>
        <w:rPr>
          <w:rFonts w:ascii="Times New Roman" w:hAnsi="Times New Roman" w:eastAsia="宋体" w:cs="Times New Roman"/>
          <w:sz w:val="28"/>
          <w:szCs w:val="28"/>
        </w:rPr>
        <w:t>2026年3月21日至23日，翁苏明参加了在宁波举办的“高能量密度等离子体物理研究项目推进会”并作报告“面向惯性约束聚变的大时空尺度激光等离子体模拟及非平衡态诊断技术”，听取了与会专家们关于大时空尺度LPI数值模拟程序开发以及非平衡态等离子体诊断技术研发方面的建议。本次学术交流有助于发现项目执行中的问题、明确研究目标、规划下一步研究计划等。</w:t>
      </w:r>
    </w:p>
    <w:p w14:paraId="59FC0495">
      <w:pPr>
        <w:spacing w:line="360" w:lineRule="auto"/>
        <w:ind w:firstLine="420"/>
        <w:jc w:val="both"/>
        <w:rPr>
          <w:rFonts w:ascii="Times New Roman" w:hAnsi="Times New Roman" w:eastAsia="宋体" w:cs="Times New Roman"/>
          <w:sz w:val="28"/>
          <w:szCs w:val="28"/>
        </w:rPr>
      </w:pPr>
      <w:r>
        <w:rPr>
          <w:rFonts w:ascii="Times New Roman" w:hAnsi="Times New Roman" w:eastAsia="宋体" w:cs="Times New Roman"/>
          <w:sz w:val="28"/>
          <w:szCs w:val="28"/>
        </w:rPr>
        <w:t>2026年3月27日至29日，翁苏明参加了在武汉举办的“第六届全国强激光与粒子束前沿学术研讨会”并作报告“大时空尺度激光等离子体模拟程序开发与应用”，听取了与会专家们关于LPI数值模拟程序开发及其应用研究方面的建议。本次学术交流有助于开展包含碰撞吸收、碰撞阻尼等效应的大尺度LPI动理学模型的建模与程序开发等工作。</w:t>
      </w:r>
    </w:p>
    <w:p w14:paraId="59FC0496">
      <w:pPr>
        <w:spacing w:line="360" w:lineRule="auto"/>
        <w:ind w:firstLine="420"/>
        <w:jc w:val="both"/>
        <w:rPr>
          <w:rFonts w:ascii="Times New Roman" w:hAnsi="Times New Roman" w:eastAsia="宋体" w:cs="Times New Roman"/>
          <w:sz w:val="28"/>
          <w:szCs w:val="28"/>
        </w:rPr>
      </w:pPr>
      <w:r>
        <w:rPr>
          <w:rFonts w:ascii="Times New Roman" w:hAnsi="Times New Roman" w:eastAsia="宋体" w:cs="Times New Roman"/>
          <w:sz w:val="28"/>
          <w:szCs w:val="28"/>
        </w:rPr>
        <w:t>2026年4月21日至23日，翁苏明、朱仲源、李镭、潘浩然参加了在上海嘉定举办的“2026 年国际直驱聚变研讨会”并作报告“Parametric Processes in Plasmas: From Instabilities to Spectral Broadening and Optical Amplification”，听取了与会专家们关于LPI物理机制及其抑制手段的研究建议。本次学术交流有助于在LPI物理机制及其抑制手段等方向拓展研究思路。</w:t>
      </w:r>
    </w:p>
    <w:p w14:paraId="59FC0497">
      <w:pPr>
        <w:spacing w:line="360" w:lineRule="auto"/>
        <w:ind w:firstLine="420"/>
        <w:jc w:val="both"/>
        <w:rPr>
          <w:rFonts w:ascii="Times New Roman" w:hAnsi="Times New Roman" w:eastAsia="宋体" w:cs="Times New Roman"/>
          <w:sz w:val="28"/>
          <w:szCs w:val="28"/>
        </w:rPr>
      </w:pPr>
      <w:r>
        <w:rPr>
          <w:rFonts w:ascii="Times New Roman" w:hAnsi="Times New Roman" w:eastAsia="宋体" w:cs="Times New Roman"/>
          <w:sz w:val="28"/>
          <w:szCs w:val="28"/>
        </w:rPr>
        <w:t>2026年5月18日至22日，翁苏明与李镭参加了在厦门举办的“The 9 International Conference on Matter and Radiation at Extremes”并分别作了报告“Parametric Processes in Plasmas: From Instabilities to Spectral Broadening and Optical Amplification”与海报展示“Kinetic simulation of laser plasma instabilities including collisional effects on sub-nanosecond timescales”，听取了与会专家们关于LPI物理研究及其数值模拟程序开发等方面的建议。本次学术交流有助于在LPI研究领域凝练物理问题，拓展研究思路。</w:t>
      </w:r>
    </w:p>
    <w:p w14:paraId="59FC0498">
      <w:pPr>
        <w:pStyle w:val="3"/>
        <w:numPr>
          <w:ilvl w:val="0"/>
          <w:numId w:val="8"/>
        </w:numPr>
        <w:rPr>
          <w:rFonts w:hint="eastAsia" w:ascii="楷体" w:hAnsi="楷体" w:eastAsia="楷体"/>
          <w:b/>
          <w:bCs/>
          <w:color w:val="auto"/>
          <w:sz w:val="28"/>
          <w:szCs w:val="28"/>
        </w:rPr>
      </w:pPr>
      <w:bookmarkStart w:id="16" w:name="_Toc239521159"/>
      <w:r>
        <w:rPr>
          <w:rFonts w:ascii="楷体" w:hAnsi="楷体" w:eastAsia="楷体"/>
          <w:b/>
          <w:bCs/>
          <w:color w:val="auto"/>
          <w:sz w:val="28"/>
          <w:szCs w:val="28"/>
        </w:rPr>
        <w:t>集中科研开展情况</w:t>
      </w:r>
      <w:bookmarkEnd w:id="16"/>
    </w:p>
    <w:p w14:paraId="59FC0499">
      <w:pPr>
        <w:pStyle w:val="38"/>
        <w:spacing w:line="360" w:lineRule="auto"/>
        <w:ind w:left="440"/>
        <w:rPr>
          <w:rFonts w:hint="eastAsia" w:ascii="宋体" w:hAnsi="宋体" w:eastAsia="宋体"/>
          <w:sz w:val="28"/>
          <w:szCs w:val="28"/>
        </w:rPr>
      </w:pPr>
      <w:r>
        <w:rPr>
          <w:rFonts w:hint="eastAsia" w:ascii="宋体" w:hAnsi="宋体" w:eastAsia="宋体"/>
          <w:sz w:val="28"/>
          <w:szCs w:val="28"/>
        </w:rPr>
        <w:t>（</w:t>
      </w:r>
      <w:r>
        <w:rPr>
          <w:rFonts w:hint="eastAsia" w:ascii="宋体" w:hAnsi="宋体" w:eastAsia="宋体"/>
          <w:i/>
          <w:iCs/>
          <w:sz w:val="28"/>
          <w:szCs w:val="28"/>
        </w:rPr>
        <w:t>开展情况以及收效</w:t>
      </w:r>
      <w:r>
        <w:rPr>
          <w:rFonts w:hint="eastAsia" w:ascii="宋体" w:hAnsi="宋体" w:eastAsia="宋体"/>
          <w:sz w:val="28"/>
          <w:szCs w:val="28"/>
        </w:rPr>
        <w:t>）</w:t>
      </w:r>
    </w:p>
    <w:p w14:paraId="59FC049A">
      <w:pPr>
        <w:spacing w:line="360" w:lineRule="auto"/>
        <w:ind w:firstLine="420"/>
        <w:jc w:val="both"/>
        <w:rPr>
          <w:rFonts w:hint="eastAsia" w:ascii="宋体" w:hAnsi="宋体" w:eastAsia="宋体" w:cs="宋体"/>
          <w:sz w:val="28"/>
          <w:szCs w:val="28"/>
        </w:rPr>
      </w:pPr>
      <w:r>
        <w:rPr>
          <w:rFonts w:hint="eastAsia" w:ascii="宋体" w:hAnsi="宋体" w:eastAsia="宋体" w:cs="宋体"/>
          <w:sz w:val="28"/>
          <w:szCs w:val="28"/>
        </w:rPr>
        <w:t>20</w:t>
      </w:r>
      <w:r>
        <w:rPr>
          <w:rFonts w:ascii="宋体" w:hAnsi="宋体" w:eastAsia="宋体" w:cs="宋体"/>
          <w:sz w:val="28"/>
          <w:szCs w:val="28"/>
        </w:rPr>
        <w:t>25</w:t>
      </w:r>
      <w:r>
        <w:rPr>
          <w:rFonts w:hint="eastAsia" w:ascii="宋体" w:hAnsi="宋体" w:eastAsia="宋体" w:cs="宋体"/>
          <w:sz w:val="28"/>
          <w:szCs w:val="28"/>
        </w:rPr>
        <w:t>年</w:t>
      </w:r>
      <w:r>
        <w:rPr>
          <w:rFonts w:ascii="宋体" w:hAnsi="宋体" w:eastAsia="宋体" w:cs="宋体"/>
          <w:sz w:val="28"/>
          <w:szCs w:val="28"/>
        </w:rPr>
        <w:t>10月12日</w:t>
      </w:r>
      <w:r>
        <w:rPr>
          <w:rFonts w:hint="eastAsia" w:ascii="宋体" w:hAnsi="宋体" w:eastAsia="宋体" w:cs="宋体"/>
          <w:sz w:val="28"/>
          <w:szCs w:val="28"/>
        </w:rPr>
        <w:t>，程先涛、李镭、翁苏明等人通过腾讯会议与李志超、赵航、刘耀远等人，交流讨论了如何借助人工智能工具从汤姆逊散射光谱反解重建电子速度分布函数，以及理论与数值模拟研究如何与实验诊断测量相结合。</w:t>
      </w:r>
    </w:p>
    <w:p w14:paraId="59FC049B">
      <w:pPr>
        <w:spacing w:line="360" w:lineRule="auto"/>
        <w:ind w:firstLine="420"/>
        <w:jc w:val="both"/>
        <w:rPr>
          <w:rFonts w:hint="eastAsia" w:ascii="宋体" w:hAnsi="宋体" w:eastAsia="宋体" w:cs="宋体"/>
          <w:sz w:val="28"/>
          <w:szCs w:val="28"/>
        </w:rPr>
      </w:pPr>
      <w:r>
        <w:rPr>
          <w:rFonts w:hint="eastAsia" w:ascii="宋体" w:hAnsi="宋体" w:eastAsia="宋体" w:cs="宋体"/>
          <w:sz w:val="28"/>
          <w:szCs w:val="28"/>
        </w:rPr>
        <w:t>20</w:t>
      </w:r>
      <w:r>
        <w:rPr>
          <w:rFonts w:ascii="宋体" w:hAnsi="宋体" w:eastAsia="宋体" w:cs="宋体"/>
          <w:sz w:val="28"/>
          <w:szCs w:val="28"/>
        </w:rPr>
        <w:t>25</w:t>
      </w:r>
      <w:r>
        <w:rPr>
          <w:rFonts w:hint="eastAsia" w:ascii="宋体" w:hAnsi="宋体" w:eastAsia="宋体" w:cs="宋体"/>
          <w:sz w:val="28"/>
          <w:szCs w:val="28"/>
        </w:rPr>
        <w:t>年</w:t>
      </w:r>
      <w:r>
        <w:rPr>
          <w:rFonts w:ascii="宋体" w:hAnsi="宋体" w:eastAsia="宋体" w:cs="宋体"/>
          <w:sz w:val="28"/>
          <w:szCs w:val="28"/>
        </w:rPr>
        <w:t>12月4日</w:t>
      </w:r>
      <w:r>
        <w:rPr>
          <w:rFonts w:hint="eastAsia" w:ascii="宋体" w:hAnsi="宋体" w:eastAsia="宋体" w:cs="宋体"/>
          <w:sz w:val="28"/>
          <w:szCs w:val="28"/>
        </w:rPr>
        <w:t>，程先涛、潘浩然前往绵阳与李志超、赵航、刘耀远等人，交流讨论了如何分析汤姆逊散射诊断实验中测得的光谱，并从中解析出等离子体密度与温度等宏观物理量。</w:t>
      </w:r>
    </w:p>
    <w:p w14:paraId="59FC049C">
      <w:pPr>
        <w:spacing w:line="360" w:lineRule="auto"/>
        <w:ind w:firstLine="560" w:firstLineChars="200"/>
        <w:jc w:val="both"/>
        <w:rPr>
          <w:rFonts w:hint="eastAsia" w:ascii="楷体" w:hAnsi="楷体" w:eastAsia="楷体"/>
          <w:b/>
          <w:bCs/>
          <w:sz w:val="28"/>
          <w:szCs w:val="28"/>
        </w:rPr>
      </w:pPr>
      <w:r>
        <w:rPr>
          <w:rFonts w:hint="eastAsia" w:ascii="宋体" w:hAnsi="宋体" w:eastAsia="宋体" w:cs="宋体"/>
          <w:sz w:val="28"/>
          <w:szCs w:val="28"/>
        </w:rPr>
        <w:t>20</w:t>
      </w:r>
      <w:r>
        <w:rPr>
          <w:rFonts w:ascii="宋体" w:hAnsi="宋体" w:eastAsia="宋体" w:cs="宋体"/>
          <w:sz w:val="28"/>
          <w:szCs w:val="28"/>
        </w:rPr>
        <w:t>26</w:t>
      </w:r>
      <w:r>
        <w:rPr>
          <w:rFonts w:hint="eastAsia" w:ascii="宋体" w:hAnsi="宋体" w:eastAsia="宋体" w:cs="宋体"/>
          <w:sz w:val="28"/>
          <w:szCs w:val="28"/>
        </w:rPr>
        <w:t>年</w:t>
      </w:r>
      <w:r>
        <w:rPr>
          <w:rFonts w:ascii="宋体" w:hAnsi="宋体" w:eastAsia="宋体" w:cs="宋体"/>
          <w:sz w:val="28"/>
          <w:szCs w:val="28"/>
        </w:rPr>
        <w:t>3月22日</w:t>
      </w:r>
      <w:r>
        <w:rPr>
          <w:rFonts w:hint="eastAsia" w:ascii="宋体" w:hAnsi="宋体" w:eastAsia="宋体" w:cs="宋体"/>
          <w:sz w:val="28"/>
          <w:szCs w:val="28"/>
        </w:rPr>
        <w:t>，在参加“高能量密度等离子体物理研究项目推进会”期间，翁苏明与李志超、赵航、肖成卓等人，交流讨论了如何开展高能量密度多组份等离子体状态参数表征、碰撞效应、混合机制及其对关键物理过程影响的理论与实验研究。</w:t>
      </w:r>
    </w:p>
    <w:p w14:paraId="59FC049D">
      <w:pPr>
        <w:pStyle w:val="2"/>
        <w:numPr>
          <w:ilvl w:val="0"/>
          <w:numId w:val="2"/>
        </w:numPr>
        <w:rPr>
          <w:rFonts w:hint="eastAsia" w:ascii="微软雅黑" w:hAnsi="微软雅黑" w:eastAsia="微软雅黑"/>
          <w:b/>
          <w:bCs/>
          <w:color w:val="auto"/>
          <w:sz w:val="36"/>
          <w:szCs w:val="36"/>
        </w:rPr>
      </w:pPr>
      <w:bookmarkStart w:id="17" w:name="_Toc239521160"/>
      <w:r>
        <w:rPr>
          <w:rFonts w:ascii="微软雅黑" w:hAnsi="微软雅黑" w:eastAsia="微软雅黑"/>
          <w:b/>
          <w:bCs/>
          <w:color w:val="auto"/>
          <w:sz w:val="36"/>
          <w:szCs w:val="36"/>
        </w:rPr>
        <w:t>组织管理与创新实践</w:t>
      </w:r>
      <w:bookmarkEnd w:id="17"/>
    </w:p>
    <w:p w14:paraId="59FC049E">
      <w:pPr>
        <w:pStyle w:val="3"/>
        <w:numPr>
          <w:ilvl w:val="0"/>
          <w:numId w:val="9"/>
        </w:numPr>
        <w:rPr>
          <w:rFonts w:hint="eastAsia" w:ascii="楷体" w:hAnsi="楷体" w:eastAsia="楷体"/>
          <w:b/>
          <w:bCs/>
          <w:color w:val="auto"/>
          <w:sz w:val="28"/>
          <w:szCs w:val="28"/>
        </w:rPr>
      </w:pPr>
      <w:bookmarkStart w:id="18" w:name="_Toc239521161"/>
      <w:r>
        <w:rPr>
          <w:rFonts w:ascii="楷体" w:hAnsi="楷体" w:eastAsia="楷体"/>
          <w:b/>
          <w:bCs/>
          <w:color w:val="auto"/>
          <w:sz w:val="28"/>
          <w:szCs w:val="28"/>
        </w:rPr>
        <w:t>组织管理</w:t>
      </w:r>
      <w:bookmarkEnd w:id="18"/>
    </w:p>
    <w:p w14:paraId="59FC049F">
      <w:pPr>
        <w:spacing w:line="360" w:lineRule="auto"/>
        <w:ind w:firstLine="560" w:firstLineChars="200"/>
        <w:jc w:val="both"/>
        <w:rPr>
          <w:rFonts w:hint="eastAsia" w:ascii="宋体" w:hAnsi="宋体" w:eastAsia="宋体" w:cs="宋体"/>
          <w:sz w:val="28"/>
          <w:szCs w:val="28"/>
        </w:rPr>
      </w:pPr>
      <w:r>
        <w:rPr>
          <w:rFonts w:hint="eastAsia" w:ascii="宋体" w:hAnsi="宋体" w:eastAsia="宋体" w:cs="宋体"/>
          <w:sz w:val="28"/>
          <w:szCs w:val="28"/>
        </w:rPr>
        <w:t>为在新形势下进一步完善并加强国防科研项目管理体系建设，上海交通大学修改制订了《上海交通大学国防科研项目管理办法》。我校国防科研项目管理采用“学校－二级单位－项目负责人”的三级管理模式。本项目实施将严格依据学校相关管理办法执行，其中包括《上海交通大学科研经费管理办法》（</w:t>
      </w:r>
      <w:r>
        <w:rPr>
          <w:rFonts w:ascii="宋体" w:hAnsi="宋体" w:eastAsia="宋体" w:cs="宋体"/>
          <w:sz w:val="28"/>
          <w:szCs w:val="28"/>
        </w:rPr>
        <w:t>2022年）。</w:t>
      </w:r>
    </w:p>
    <w:p w14:paraId="59FC04A0">
      <w:pPr>
        <w:pStyle w:val="3"/>
        <w:numPr>
          <w:ilvl w:val="0"/>
          <w:numId w:val="9"/>
        </w:numPr>
        <w:rPr>
          <w:rFonts w:hint="eastAsia" w:ascii="楷体" w:hAnsi="楷体" w:eastAsia="楷体"/>
          <w:b/>
          <w:bCs/>
          <w:color w:val="auto"/>
          <w:sz w:val="28"/>
          <w:szCs w:val="28"/>
        </w:rPr>
      </w:pPr>
      <w:bookmarkStart w:id="19" w:name="_Toc239521162"/>
      <w:r>
        <w:rPr>
          <w:rFonts w:ascii="楷体" w:hAnsi="楷体" w:eastAsia="楷体"/>
          <w:b/>
          <w:bCs/>
          <w:color w:val="auto"/>
          <w:sz w:val="28"/>
          <w:szCs w:val="28"/>
        </w:rPr>
        <w:t>管理创新</w:t>
      </w:r>
      <w:bookmarkEnd w:id="19"/>
    </w:p>
    <w:p w14:paraId="59FC04A1">
      <w:pPr>
        <w:spacing w:line="360" w:lineRule="auto"/>
        <w:ind w:firstLine="560" w:firstLineChars="200"/>
        <w:jc w:val="both"/>
        <w:rPr>
          <w:rFonts w:hint="eastAsia" w:ascii="宋体" w:hAnsi="宋体" w:eastAsia="宋体" w:cs="宋体"/>
          <w:sz w:val="28"/>
          <w:szCs w:val="28"/>
        </w:rPr>
      </w:pPr>
      <w:r>
        <w:rPr>
          <w:rFonts w:hint="eastAsia" w:ascii="宋体" w:hAnsi="宋体" w:eastAsia="宋体" w:cs="宋体"/>
          <w:sz w:val="28"/>
          <w:szCs w:val="28"/>
        </w:rPr>
        <w:t>为保障在既定的时间节点内完成课题研究目标，课题组一方面积极加强与项目管理部门的沟通，重点加强项目管理和风险防范，努力将各类风险降至最低；另一方面，课题组内部每周开展交流讨论，每月进行工作总结。当遇到关键技术难题时，课题负责人将在第一时间召集</w:t>
      </w:r>
      <w:r>
        <w:rPr>
          <w:rFonts w:ascii="宋体" w:hAnsi="宋体" w:eastAsia="宋体" w:cs="宋体"/>
          <w:sz w:val="28"/>
          <w:szCs w:val="28"/>
        </w:rPr>
        <w:t>2～3位相关技术骨干开展攻关讨论。这种快速响应的小规模研讨模式显著提升了工作效率，有效保障了研究计划的按时执行。</w:t>
      </w:r>
    </w:p>
    <w:p w14:paraId="59FC04A2">
      <w:pPr>
        <w:pStyle w:val="2"/>
        <w:numPr>
          <w:ilvl w:val="0"/>
          <w:numId w:val="2"/>
        </w:numPr>
        <w:rPr>
          <w:rFonts w:hint="eastAsia" w:ascii="微软雅黑" w:hAnsi="微软雅黑" w:eastAsia="微软雅黑"/>
          <w:b/>
          <w:bCs/>
          <w:color w:val="auto"/>
          <w:sz w:val="36"/>
          <w:szCs w:val="36"/>
        </w:rPr>
      </w:pPr>
      <w:bookmarkStart w:id="20" w:name="_Toc239521163"/>
      <w:r>
        <w:rPr>
          <w:rFonts w:ascii="微软雅黑" w:hAnsi="微软雅黑" w:eastAsia="微软雅黑"/>
          <w:b/>
          <w:bCs/>
          <w:color w:val="auto"/>
          <w:sz w:val="36"/>
          <w:szCs w:val="36"/>
        </w:rPr>
        <w:t>经验、问题与建议</w:t>
      </w:r>
      <w:bookmarkEnd w:id="20"/>
    </w:p>
    <w:p w14:paraId="59FC04A3">
      <w:pPr>
        <w:pStyle w:val="3"/>
        <w:numPr>
          <w:ilvl w:val="0"/>
          <w:numId w:val="10"/>
        </w:numPr>
        <w:rPr>
          <w:rFonts w:hint="eastAsia" w:ascii="楷体" w:hAnsi="楷体" w:eastAsia="楷体"/>
          <w:b/>
          <w:bCs/>
          <w:color w:val="auto"/>
          <w:sz w:val="28"/>
          <w:szCs w:val="28"/>
        </w:rPr>
      </w:pPr>
      <w:bookmarkStart w:id="21" w:name="_Toc239521164"/>
      <w:r>
        <w:rPr>
          <w:rFonts w:ascii="楷体" w:hAnsi="楷体" w:eastAsia="楷体"/>
          <w:b/>
          <w:bCs/>
          <w:color w:val="auto"/>
          <w:sz w:val="28"/>
          <w:szCs w:val="28"/>
        </w:rPr>
        <w:t>主要经验</w:t>
      </w:r>
      <w:bookmarkEnd w:id="21"/>
    </w:p>
    <w:p w14:paraId="59FC04A4">
      <w:pPr>
        <w:spacing w:line="360" w:lineRule="auto"/>
        <w:ind w:firstLine="560" w:firstLineChars="200"/>
        <w:jc w:val="both"/>
        <w:rPr>
          <w:rFonts w:hint="eastAsia" w:ascii="宋体" w:hAnsi="宋体" w:eastAsia="宋体" w:cs="宋体"/>
          <w:sz w:val="28"/>
          <w:szCs w:val="28"/>
        </w:rPr>
      </w:pPr>
      <w:r>
        <w:rPr>
          <w:rFonts w:hint="eastAsia" w:ascii="宋体" w:hAnsi="宋体" w:eastAsia="宋体" w:cs="宋体"/>
          <w:sz w:val="28"/>
          <w:szCs w:val="28"/>
        </w:rPr>
        <w:t>一是积极学习并应用新技术。在项目初期，我们发现传统光学汤姆逊散射（</w:t>
      </w:r>
      <w:r>
        <w:rPr>
          <w:rFonts w:ascii="宋体" w:hAnsi="宋体" w:eastAsia="宋体" w:cs="宋体"/>
          <w:sz w:val="28"/>
          <w:szCs w:val="28"/>
        </w:rPr>
        <w:t>OTS）诊断大多基于平衡态假设，即采用麦克斯韦电子速度分布函数。然而，非麦克斯韦电子速度分布函数的形态丰富多样，导致从散射光谱反演电子速度分布函数时面临超高维度、超大数据量的难题，传统反演方法难以适用。为此，课题组积极引入深度神经网络、梯度下降法等人工智能技术，最终实现了从OTS散射光谱到任意形态电子速度分布函数的反演，成功开发了面向非平衡态等离子体系统的汤姆逊散射诊断技术。</w:t>
      </w:r>
    </w:p>
    <w:p w14:paraId="59FC04A5">
      <w:pPr>
        <w:spacing w:line="360" w:lineRule="auto"/>
        <w:ind w:firstLine="560" w:firstLineChars="200"/>
        <w:jc w:val="both"/>
        <w:rPr>
          <w:rFonts w:hint="eastAsia" w:ascii="宋体" w:hAnsi="宋体" w:eastAsia="宋体" w:cs="宋体"/>
          <w:sz w:val="28"/>
          <w:szCs w:val="28"/>
        </w:rPr>
      </w:pPr>
      <w:r>
        <w:rPr>
          <w:rFonts w:hint="eastAsia" w:ascii="宋体" w:hAnsi="宋体" w:eastAsia="宋体" w:cs="宋体"/>
          <w:sz w:val="28"/>
          <w:szCs w:val="28"/>
        </w:rPr>
        <w:t>二是充分信任并激发年轻学生的主动性。年轻学生对新技术的学习和应用具有天然优势。课题执行过程中，负责人大胆引入汪华洋、王峥等五名本科生进入研究团队，引导他们从数据处理、模型搭建到参数调优，全程自主推进，显著提升了学生的科研实践能力。这一举措有效保障了深度神经网络等先进</w:t>
      </w:r>
      <w:r>
        <w:rPr>
          <w:rFonts w:ascii="宋体" w:hAnsi="宋体" w:eastAsia="宋体" w:cs="宋体"/>
          <w:sz w:val="28"/>
          <w:szCs w:val="28"/>
        </w:rPr>
        <w:t>AI方法在非平衡态等离子体汤姆逊散射诊断中的成功应用。</w:t>
      </w:r>
    </w:p>
    <w:p w14:paraId="59FC04A6">
      <w:pPr>
        <w:pStyle w:val="3"/>
        <w:numPr>
          <w:ilvl w:val="0"/>
          <w:numId w:val="10"/>
        </w:numPr>
        <w:rPr>
          <w:rFonts w:hint="eastAsia" w:ascii="楷体" w:hAnsi="楷体" w:eastAsia="楷体"/>
          <w:b/>
          <w:bCs/>
          <w:color w:val="auto"/>
          <w:sz w:val="28"/>
          <w:szCs w:val="28"/>
        </w:rPr>
      </w:pPr>
      <w:bookmarkStart w:id="22" w:name="_Toc239521165"/>
      <w:r>
        <w:rPr>
          <w:rFonts w:ascii="楷体" w:hAnsi="楷体" w:eastAsia="楷体"/>
          <w:b/>
          <w:bCs/>
          <w:color w:val="auto"/>
          <w:sz w:val="28"/>
          <w:szCs w:val="28"/>
        </w:rPr>
        <w:t>存在的主要问题</w:t>
      </w:r>
      <w:bookmarkEnd w:id="22"/>
    </w:p>
    <w:p w14:paraId="59FC04A7">
      <w:pPr>
        <w:spacing w:line="360" w:lineRule="auto"/>
        <w:ind w:firstLine="560" w:firstLineChars="200"/>
        <w:jc w:val="both"/>
        <w:rPr>
          <w:rFonts w:hint="eastAsia" w:ascii="宋体" w:hAnsi="宋体" w:eastAsia="宋体" w:cs="宋体"/>
          <w:sz w:val="28"/>
          <w:szCs w:val="28"/>
        </w:rPr>
      </w:pPr>
      <w:r>
        <w:rPr>
          <w:rFonts w:hint="eastAsia" w:ascii="宋体" w:hAnsi="宋体" w:eastAsia="宋体" w:cs="宋体"/>
          <w:sz w:val="28"/>
          <w:szCs w:val="28"/>
        </w:rPr>
        <w:t>一是项目执行周期被显著压缩，节点任务时间紧张，导致部分理论分析和实验验证不够充分。二是受时间所限，对非平衡态等离子体体系中若干关键物理机制的认识仍不够深入，尤其在多参数耦合效应方面的理解有待加强。三是人工智能方法的泛化能力和可解释性仍需结合更多实验数据进一步验证。</w:t>
      </w:r>
    </w:p>
    <w:p w14:paraId="59FC04A8">
      <w:pPr>
        <w:spacing w:line="360" w:lineRule="auto"/>
        <w:ind w:firstLine="560" w:firstLineChars="200"/>
        <w:jc w:val="both"/>
        <w:rPr>
          <w:rFonts w:hint="eastAsia"/>
        </w:rPr>
      </w:pPr>
      <w:r>
        <w:rPr>
          <w:rFonts w:hint="eastAsia" w:ascii="宋体" w:hAnsi="宋体" w:eastAsia="宋体" w:cs="宋体"/>
          <w:sz w:val="28"/>
          <w:szCs w:val="28"/>
        </w:rPr>
        <w:t>后续将加强物理诊断与人工智能的交叉融合，从数据驱动与物理驱动两个层面提升诊断技术的精度与鲁棒性。</w:t>
      </w:r>
    </w:p>
    <w:p w14:paraId="59FC04A9">
      <w:pPr>
        <w:pStyle w:val="2"/>
        <w:numPr>
          <w:ilvl w:val="0"/>
          <w:numId w:val="2"/>
        </w:numPr>
        <w:rPr>
          <w:rFonts w:hint="eastAsia" w:ascii="微软雅黑" w:hAnsi="微软雅黑" w:eastAsia="微软雅黑"/>
          <w:b/>
          <w:bCs/>
          <w:color w:val="auto"/>
          <w:sz w:val="36"/>
          <w:szCs w:val="36"/>
        </w:rPr>
      </w:pPr>
      <w:bookmarkStart w:id="23" w:name="_Toc239521166"/>
      <w:r>
        <w:rPr>
          <w:rFonts w:ascii="微软雅黑" w:hAnsi="微软雅黑" w:eastAsia="微软雅黑"/>
          <w:b/>
          <w:bCs/>
          <w:color w:val="auto"/>
          <w:sz w:val="36"/>
          <w:szCs w:val="36"/>
        </w:rPr>
        <w:t>下一步工作</w:t>
      </w:r>
      <w:r>
        <w:rPr>
          <w:rFonts w:hint="eastAsia" w:ascii="微软雅黑" w:hAnsi="微软雅黑" w:eastAsia="微软雅黑"/>
          <w:b/>
          <w:bCs/>
          <w:color w:val="auto"/>
          <w:sz w:val="36"/>
          <w:szCs w:val="36"/>
        </w:rPr>
        <w:t>计划</w:t>
      </w:r>
      <w:bookmarkEnd w:id="23"/>
    </w:p>
    <w:p w14:paraId="59FC04AA">
      <w:pPr>
        <w:spacing w:line="520" w:lineRule="exact"/>
        <w:rPr>
          <w:rFonts w:hint="eastAsia" w:ascii="宋体" w:hAnsi="宋体" w:eastAsia="宋体"/>
          <w:i/>
          <w:iCs/>
          <w:sz w:val="28"/>
          <w:szCs w:val="28"/>
        </w:rPr>
      </w:pPr>
      <w:r>
        <w:rPr>
          <w:rFonts w:hint="eastAsia" w:ascii="宋体" w:hAnsi="宋体" w:eastAsia="宋体"/>
          <w:i/>
          <w:iCs/>
          <w:sz w:val="28"/>
          <w:szCs w:val="28"/>
        </w:rPr>
        <w:t>（合同以及攻坚计划任务剩余任务梳理以及下一步工作计划）</w:t>
      </w:r>
    </w:p>
    <w:p w14:paraId="59FC04AB">
      <w:pPr>
        <w:spacing w:after="0" w:line="520" w:lineRule="exact"/>
        <w:jc w:val="center"/>
        <w:rPr>
          <w:rFonts w:hint="eastAsia" w:ascii="宋体" w:hAnsi="宋体" w:eastAsia="宋体"/>
          <w:b/>
          <w:bCs/>
          <w:sz w:val="28"/>
          <w:szCs w:val="28"/>
        </w:rPr>
      </w:pPr>
      <w:r>
        <w:rPr>
          <w:rFonts w:hint="eastAsia" w:ascii="宋体" w:hAnsi="宋体" w:eastAsia="宋体"/>
          <w:b/>
          <w:bCs/>
          <w:sz w:val="28"/>
          <w:szCs w:val="28"/>
        </w:rPr>
        <w:t>表4 合同目标待完成内容梳理</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2"/>
        <w:gridCol w:w="1735"/>
        <w:gridCol w:w="1684"/>
        <w:gridCol w:w="1623"/>
        <w:gridCol w:w="1572"/>
      </w:tblGrid>
      <w:tr w14:paraId="59FC0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2" w:type="dxa"/>
          </w:tcPr>
          <w:p w14:paraId="59FC04AC">
            <w:pPr>
              <w:spacing w:after="0" w:line="240" w:lineRule="auto"/>
              <w:jc w:val="center"/>
              <w:rPr>
                <w:rFonts w:hint="eastAsia" w:ascii="宋体" w:hAnsi="宋体" w:eastAsia="宋体"/>
                <w:b/>
                <w:bCs/>
                <w:sz w:val="21"/>
                <w:szCs w:val="21"/>
              </w:rPr>
            </w:pPr>
            <w:r>
              <w:rPr>
                <w:rFonts w:hint="eastAsia" w:ascii="宋体" w:hAnsi="宋体" w:eastAsia="宋体"/>
                <w:b/>
                <w:bCs/>
                <w:sz w:val="21"/>
                <w:szCs w:val="21"/>
              </w:rPr>
              <w:t>合同目标</w:t>
            </w:r>
          </w:p>
        </w:tc>
        <w:tc>
          <w:tcPr>
            <w:tcW w:w="1735" w:type="dxa"/>
          </w:tcPr>
          <w:p w14:paraId="59FC04AD">
            <w:pPr>
              <w:spacing w:after="0" w:line="240" w:lineRule="auto"/>
              <w:jc w:val="center"/>
              <w:rPr>
                <w:rFonts w:hint="eastAsia" w:ascii="宋体" w:hAnsi="宋体" w:eastAsia="宋体"/>
                <w:b/>
                <w:bCs/>
                <w:sz w:val="21"/>
                <w:szCs w:val="21"/>
              </w:rPr>
            </w:pPr>
            <w:r>
              <w:rPr>
                <w:rFonts w:hint="eastAsia" w:ascii="宋体" w:hAnsi="宋体" w:eastAsia="宋体"/>
                <w:b/>
                <w:bCs/>
                <w:sz w:val="21"/>
                <w:szCs w:val="21"/>
              </w:rPr>
              <w:t>完成情况概述</w:t>
            </w:r>
          </w:p>
        </w:tc>
        <w:tc>
          <w:tcPr>
            <w:tcW w:w="1684" w:type="dxa"/>
          </w:tcPr>
          <w:p w14:paraId="59FC04AE">
            <w:pPr>
              <w:spacing w:after="0" w:line="240" w:lineRule="auto"/>
              <w:jc w:val="center"/>
              <w:rPr>
                <w:rFonts w:hint="eastAsia" w:ascii="宋体" w:hAnsi="宋体" w:eastAsia="宋体"/>
                <w:b/>
                <w:bCs/>
                <w:sz w:val="21"/>
                <w:szCs w:val="21"/>
              </w:rPr>
            </w:pPr>
            <w:r>
              <w:rPr>
                <w:rFonts w:hint="eastAsia" w:ascii="宋体" w:hAnsi="宋体" w:eastAsia="宋体"/>
                <w:b/>
                <w:bCs/>
                <w:sz w:val="21"/>
                <w:szCs w:val="21"/>
              </w:rPr>
              <w:t>待完成内容</w:t>
            </w:r>
          </w:p>
        </w:tc>
        <w:tc>
          <w:tcPr>
            <w:tcW w:w="1623" w:type="dxa"/>
          </w:tcPr>
          <w:p w14:paraId="59FC04AF">
            <w:pPr>
              <w:spacing w:after="0" w:line="240" w:lineRule="auto"/>
              <w:jc w:val="center"/>
              <w:rPr>
                <w:rFonts w:hint="eastAsia" w:ascii="宋体" w:hAnsi="宋体" w:eastAsia="宋体"/>
                <w:b/>
                <w:bCs/>
                <w:sz w:val="21"/>
                <w:szCs w:val="21"/>
              </w:rPr>
            </w:pPr>
            <w:r>
              <w:rPr>
                <w:rFonts w:hint="eastAsia" w:ascii="宋体" w:hAnsi="宋体" w:eastAsia="宋体"/>
                <w:b/>
                <w:bCs/>
                <w:sz w:val="21"/>
                <w:szCs w:val="21"/>
              </w:rPr>
              <w:t>预计完成时间</w:t>
            </w:r>
          </w:p>
        </w:tc>
        <w:tc>
          <w:tcPr>
            <w:tcW w:w="1572" w:type="dxa"/>
          </w:tcPr>
          <w:p w14:paraId="59FC04B0">
            <w:pPr>
              <w:spacing w:after="0" w:line="240" w:lineRule="auto"/>
              <w:jc w:val="center"/>
              <w:rPr>
                <w:rFonts w:hint="eastAsia" w:ascii="宋体" w:hAnsi="宋体" w:eastAsia="宋体"/>
                <w:b/>
                <w:bCs/>
                <w:sz w:val="21"/>
                <w:szCs w:val="21"/>
              </w:rPr>
            </w:pPr>
            <w:r>
              <w:rPr>
                <w:rFonts w:hint="eastAsia" w:ascii="宋体" w:hAnsi="宋体" w:eastAsia="宋体"/>
                <w:b/>
                <w:bCs/>
                <w:sz w:val="21"/>
                <w:szCs w:val="21"/>
              </w:rPr>
              <w:t>备注（有无完成风险）</w:t>
            </w:r>
          </w:p>
        </w:tc>
      </w:tr>
      <w:tr w14:paraId="59FC0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2" w:type="dxa"/>
          </w:tcPr>
          <w:p w14:paraId="59FC04B2">
            <w:pPr>
              <w:spacing w:after="0" w:line="240" w:lineRule="auto"/>
              <w:rPr>
                <w:rFonts w:hint="eastAsia" w:ascii="宋体" w:hAnsi="宋体" w:eastAsia="宋体"/>
                <w:sz w:val="21"/>
                <w:szCs w:val="21"/>
              </w:rPr>
            </w:pPr>
            <w:r>
              <w:rPr>
                <w:rFonts w:hint="eastAsia" w:ascii="宋体" w:hAnsi="宋体" w:eastAsia="宋体"/>
                <w:sz w:val="21"/>
                <w:szCs w:val="21"/>
              </w:rPr>
              <w:t>目标1掌握多组份等离子体中碰撞效应对汤姆逊散射谱的影响规律</w:t>
            </w:r>
          </w:p>
        </w:tc>
        <w:tc>
          <w:tcPr>
            <w:tcW w:w="1735" w:type="dxa"/>
          </w:tcPr>
          <w:p w14:paraId="59FC04B3">
            <w:pPr>
              <w:spacing w:after="0" w:line="240" w:lineRule="auto"/>
              <w:rPr>
                <w:rFonts w:hint="eastAsia" w:ascii="宋体" w:hAnsi="宋体" w:eastAsia="宋体"/>
                <w:sz w:val="21"/>
                <w:szCs w:val="21"/>
              </w:rPr>
            </w:pPr>
            <w:r>
              <w:rPr>
                <w:rFonts w:hint="eastAsia" w:ascii="宋体" w:hAnsi="宋体" w:eastAsia="宋体"/>
                <w:sz w:val="21"/>
                <w:szCs w:val="21"/>
              </w:rPr>
              <w:t>已完成多组份等离子体中碰撞效应对LPI过程以及等离子体状态影响的研究；已完成汤姆逊散射谱与等离子体状态之间的映射关系（即散射谱与粒子分布函数的对应关系）研究。</w:t>
            </w:r>
          </w:p>
        </w:tc>
        <w:tc>
          <w:tcPr>
            <w:tcW w:w="1684" w:type="dxa"/>
          </w:tcPr>
          <w:p w14:paraId="59FC04B4">
            <w:pPr>
              <w:spacing w:after="0" w:line="240" w:lineRule="auto"/>
              <w:rPr>
                <w:rFonts w:hint="eastAsia" w:ascii="宋体" w:hAnsi="宋体" w:eastAsia="宋体"/>
                <w:sz w:val="21"/>
                <w:szCs w:val="21"/>
              </w:rPr>
            </w:pPr>
            <w:r>
              <w:rPr>
                <w:rFonts w:hint="eastAsia" w:ascii="宋体" w:hAnsi="宋体" w:eastAsia="宋体"/>
                <w:sz w:val="21"/>
                <w:szCs w:val="21"/>
              </w:rPr>
              <w:t>待研究碰撞效应如何通过影响LPI过程，继而影响汤姆逊散射谱；待研究碰撞效应是否对汤姆逊散射谱有明显的直接影响；待开展实验条件下，多离子组份</w:t>
            </w:r>
            <w:r>
              <w:rPr>
                <w:rFonts w:ascii="宋体" w:hAnsi="宋体" w:eastAsia="宋体"/>
                <w:sz w:val="21"/>
                <w:szCs w:val="21"/>
              </w:rPr>
              <w:t>LPI过程研究</w:t>
            </w:r>
            <w:r>
              <w:rPr>
                <w:rFonts w:hint="eastAsia" w:ascii="宋体" w:hAnsi="宋体" w:eastAsia="宋体"/>
                <w:sz w:val="21"/>
                <w:szCs w:val="21"/>
              </w:rPr>
              <w:t>；待开展实验条件下，多组份非平衡态等离子体系统的汤姆逊散射研究。</w:t>
            </w:r>
          </w:p>
        </w:tc>
        <w:tc>
          <w:tcPr>
            <w:tcW w:w="1623" w:type="dxa"/>
          </w:tcPr>
          <w:p w14:paraId="59FC04B5">
            <w:pPr>
              <w:spacing w:after="0" w:line="240" w:lineRule="auto"/>
              <w:rPr>
                <w:rFonts w:hint="eastAsia" w:ascii="宋体" w:hAnsi="宋体" w:eastAsia="宋体"/>
                <w:sz w:val="21"/>
                <w:szCs w:val="21"/>
              </w:rPr>
            </w:pPr>
            <w:r>
              <w:rPr>
                <w:rFonts w:ascii="宋体" w:hAnsi="宋体" w:eastAsia="宋体"/>
                <w:sz w:val="21"/>
                <w:szCs w:val="21"/>
              </w:rPr>
              <w:t>2027</w:t>
            </w:r>
            <w:r>
              <w:rPr>
                <w:rFonts w:hint="eastAsia" w:ascii="宋体" w:hAnsi="宋体" w:eastAsia="宋体"/>
                <w:sz w:val="21"/>
                <w:szCs w:val="21"/>
              </w:rPr>
              <w:t>年</w:t>
            </w:r>
            <w:r>
              <w:rPr>
                <w:rFonts w:ascii="宋体" w:hAnsi="宋体" w:eastAsia="宋体"/>
                <w:sz w:val="21"/>
                <w:szCs w:val="21"/>
              </w:rPr>
              <w:t>10</w:t>
            </w:r>
            <w:r>
              <w:rPr>
                <w:rFonts w:hint="eastAsia" w:ascii="宋体" w:hAnsi="宋体" w:eastAsia="宋体"/>
                <w:sz w:val="21"/>
                <w:szCs w:val="21"/>
              </w:rPr>
              <w:t>月</w:t>
            </w:r>
          </w:p>
        </w:tc>
        <w:tc>
          <w:tcPr>
            <w:tcW w:w="1572" w:type="dxa"/>
          </w:tcPr>
          <w:p w14:paraId="59FC04B6">
            <w:pPr>
              <w:spacing w:after="0" w:line="240" w:lineRule="auto"/>
              <w:rPr>
                <w:rFonts w:hint="eastAsia" w:ascii="宋体" w:hAnsi="宋体" w:eastAsia="宋体"/>
                <w:sz w:val="21"/>
                <w:szCs w:val="21"/>
              </w:rPr>
            </w:pPr>
            <w:r>
              <w:rPr>
                <w:rFonts w:hint="eastAsia" w:ascii="宋体" w:hAnsi="宋体" w:eastAsia="宋体"/>
                <w:sz w:val="21"/>
                <w:szCs w:val="21"/>
              </w:rPr>
              <w:t>在实验发次的安排以及有效实验数据的获取方面存在一定风险</w:t>
            </w:r>
          </w:p>
        </w:tc>
      </w:tr>
      <w:tr w14:paraId="59FC0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2" w:type="dxa"/>
          </w:tcPr>
          <w:p w14:paraId="59FC04B8">
            <w:pPr>
              <w:spacing w:after="0" w:line="240" w:lineRule="auto"/>
              <w:rPr>
                <w:rFonts w:hint="eastAsia" w:ascii="宋体" w:hAnsi="宋体" w:eastAsia="宋体"/>
                <w:sz w:val="21"/>
                <w:szCs w:val="21"/>
              </w:rPr>
            </w:pPr>
            <w:r>
              <w:rPr>
                <w:rFonts w:hint="eastAsia" w:ascii="宋体" w:hAnsi="宋体" w:eastAsia="宋体"/>
                <w:sz w:val="21"/>
                <w:szCs w:val="21"/>
              </w:rPr>
              <w:t>成果1含碰撞效应的非平衡态等离子体系统的汤姆逊散射模型</w:t>
            </w:r>
          </w:p>
        </w:tc>
        <w:tc>
          <w:tcPr>
            <w:tcW w:w="1735" w:type="dxa"/>
          </w:tcPr>
          <w:p w14:paraId="59FC04B9">
            <w:pPr>
              <w:spacing w:after="0" w:line="240" w:lineRule="auto"/>
              <w:rPr>
                <w:rFonts w:hint="eastAsia" w:ascii="宋体" w:hAnsi="宋体" w:eastAsia="宋体"/>
                <w:sz w:val="21"/>
                <w:szCs w:val="21"/>
              </w:rPr>
            </w:pPr>
            <w:r>
              <w:rPr>
                <w:rFonts w:hint="eastAsia" w:ascii="宋体" w:hAnsi="宋体" w:eastAsia="宋体"/>
                <w:sz w:val="21"/>
                <w:szCs w:val="21"/>
              </w:rPr>
              <w:t>正在进行中</w:t>
            </w:r>
          </w:p>
        </w:tc>
        <w:tc>
          <w:tcPr>
            <w:tcW w:w="1684" w:type="dxa"/>
          </w:tcPr>
          <w:p w14:paraId="59FC04BA">
            <w:pPr>
              <w:spacing w:after="0" w:line="240" w:lineRule="auto"/>
              <w:rPr>
                <w:rFonts w:hint="eastAsia" w:ascii="宋体" w:hAnsi="宋体" w:eastAsia="宋体"/>
                <w:sz w:val="21"/>
                <w:szCs w:val="21"/>
              </w:rPr>
            </w:pPr>
            <w:r>
              <w:rPr>
                <w:rFonts w:hint="eastAsia" w:ascii="宋体" w:hAnsi="宋体" w:eastAsia="宋体"/>
                <w:sz w:val="21"/>
                <w:szCs w:val="21"/>
              </w:rPr>
              <w:t>正在进行中</w:t>
            </w:r>
          </w:p>
        </w:tc>
        <w:tc>
          <w:tcPr>
            <w:tcW w:w="1623" w:type="dxa"/>
          </w:tcPr>
          <w:p w14:paraId="59FC04BB">
            <w:pPr>
              <w:spacing w:after="0" w:line="240" w:lineRule="auto"/>
              <w:rPr>
                <w:rFonts w:hint="eastAsia" w:ascii="宋体" w:hAnsi="宋体" w:eastAsia="宋体"/>
                <w:sz w:val="21"/>
                <w:szCs w:val="21"/>
              </w:rPr>
            </w:pPr>
            <w:r>
              <w:rPr>
                <w:rFonts w:ascii="宋体" w:hAnsi="宋体" w:eastAsia="宋体"/>
                <w:sz w:val="21"/>
                <w:szCs w:val="21"/>
              </w:rPr>
              <w:t>2027</w:t>
            </w:r>
            <w:r>
              <w:rPr>
                <w:rFonts w:hint="eastAsia" w:ascii="宋体" w:hAnsi="宋体" w:eastAsia="宋体"/>
                <w:sz w:val="21"/>
                <w:szCs w:val="21"/>
              </w:rPr>
              <w:t>年6月</w:t>
            </w:r>
          </w:p>
        </w:tc>
        <w:tc>
          <w:tcPr>
            <w:tcW w:w="1572" w:type="dxa"/>
          </w:tcPr>
          <w:p w14:paraId="59FC04BC">
            <w:pPr>
              <w:spacing w:after="0" w:line="240" w:lineRule="auto"/>
              <w:rPr>
                <w:rFonts w:hint="eastAsia" w:ascii="宋体" w:hAnsi="宋体" w:eastAsia="宋体"/>
                <w:sz w:val="21"/>
                <w:szCs w:val="21"/>
              </w:rPr>
            </w:pPr>
            <w:r>
              <w:rPr>
                <w:rFonts w:hint="eastAsia" w:ascii="宋体" w:hAnsi="宋体" w:eastAsia="宋体"/>
                <w:sz w:val="21"/>
                <w:szCs w:val="21"/>
              </w:rPr>
              <w:t>无</w:t>
            </w:r>
          </w:p>
        </w:tc>
      </w:tr>
      <w:tr w14:paraId="59FC0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2" w:type="dxa"/>
          </w:tcPr>
          <w:p w14:paraId="59FC04BE">
            <w:pPr>
              <w:spacing w:after="0" w:line="240" w:lineRule="auto"/>
              <w:rPr>
                <w:rFonts w:hint="eastAsia" w:ascii="宋体" w:hAnsi="宋体" w:eastAsia="宋体"/>
                <w:sz w:val="21"/>
                <w:szCs w:val="21"/>
              </w:rPr>
            </w:pPr>
            <w:r>
              <w:rPr>
                <w:rFonts w:hint="eastAsia" w:ascii="宋体" w:hAnsi="宋体" w:eastAsia="宋体"/>
                <w:sz w:val="21"/>
                <w:szCs w:val="21"/>
              </w:rPr>
              <w:t>成果2由非平衡态汤姆逊散射模型获得的等离子体状态数据</w:t>
            </w:r>
          </w:p>
        </w:tc>
        <w:tc>
          <w:tcPr>
            <w:tcW w:w="1735" w:type="dxa"/>
          </w:tcPr>
          <w:p w14:paraId="59FC04BF">
            <w:pPr>
              <w:spacing w:after="0" w:line="240" w:lineRule="auto"/>
              <w:rPr>
                <w:rFonts w:hint="eastAsia" w:ascii="宋体" w:hAnsi="宋体" w:eastAsia="宋体"/>
                <w:sz w:val="21"/>
                <w:szCs w:val="21"/>
              </w:rPr>
            </w:pPr>
            <w:r>
              <w:rPr>
                <w:rFonts w:hint="eastAsia" w:ascii="宋体" w:hAnsi="宋体" w:eastAsia="宋体"/>
                <w:sz w:val="21"/>
                <w:szCs w:val="21"/>
              </w:rPr>
              <w:t>正在进行中</w:t>
            </w:r>
          </w:p>
        </w:tc>
        <w:tc>
          <w:tcPr>
            <w:tcW w:w="1684" w:type="dxa"/>
          </w:tcPr>
          <w:p w14:paraId="59FC04C0">
            <w:pPr>
              <w:spacing w:after="0" w:line="240" w:lineRule="auto"/>
              <w:rPr>
                <w:rFonts w:hint="eastAsia" w:ascii="宋体" w:hAnsi="宋体" w:eastAsia="宋体"/>
                <w:sz w:val="21"/>
                <w:szCs w:val="21"/>
              </w:rPr>
            </w:pPr>
            <w:r>
              <w:rPr>
                <w:rFonts w:hint="eastAsia" w:ascii="宋体" w:hAnsi="宋体" w:eastAsia="宋体"/>
                <w:sz w:val="21"/>
                <w:szCs w:val="21"/>
              </w:rPr>
              <w:t>正在进行中</w:t>
            </w:r>
          </w:p>
        </w:tc>
        <w:tc>
          <w:tcPr>
            <w:tcW w:w="1623" w:type="dxa"/>
          </w:tcPr>
          <w:p w14:paraId="59FC04C1">
            <w:pPr>
              <w:spacing w:after="0" w:line="240" w:lineRule="auto"/>
              <w:rPr>
                <w:rFonts w:hint="eastAsia" w:ascii="宋体" w:hAnsi="宋体" w:eastAsia="宋体"/>
                <w:sz w:val="21"/>
                <w:szCs w:val="21"/>
              </w:rPr>
            </w:pPr>
            <w:r>
              <w:rPr>
                <w:rFonts w:ascii="宋体" w:hAnsi="宋体" w:eastAsia="宋体"/>
                <w:sz w:val="21"/>
                <w:szCs w:val="21"/>
              </w:rPr>
              <w:t>2027</w:t>
            </w:r>
            <w:r>
              <w:rPr>
                <w:rFonts w:hint="eastAsia" w:ascii="宋体" w:hAnsi="宋体" w:eastAsia="宋体"/>
                <w:sz w:val="21"/>
                <w:szCs w:val="21"/>
              </w:rPr>
              <w:t>年</w:t>
            </w:r>
            <w:r>
              <w:rPr>
                <w:rFonts w:ascii="宋体" w:hAnsi="宋体" w:eastAsia="宋体"/>
                <w:sz w:val="21"/>
                <w:szCs w:val="21"/>
              </w:rPr>
              <w:t>10</w:t>
            </w:r>
            <w:r>
              <w:rPr>
                <w:rFonts w:hint="eastAsia" w:ascii="宋体" w:hAnsi="宋体" w:eastAsia="宋体"/>
                <w:sz w:val="21"/>
                <w:szCs w:val="21"/>
              </w:rPr>
              <w:t>月</w:t>
            </w:r>
          </w:p>
        </w:tc>
        <w:tc>
          <w:tcPr>
            <w:tcW w:w="1572" w:type="dxa"/>
          </w:tcPr>
          <w:p w14:paraId="59FC04C2">
            <w:pPr>
              <w:spacing w:after="0" w:line="240" w:lineRule="auto"/>
              <w:rPr>
                <w:rFonts w:hint="eastAsia" w:ascii="宋体" w:hAnsi="宋体" w:eastAsia="宋体"/>
                <w:sz w:val="21"/>
                <w:szCs w:val="21"/>
              </w:rPr>
            </w:pPr>
            <w:r>
              <w:rPr>
                <w:rFonts w:hint="eastAsia" w:ascii="宋体" w:hAnsi="宋体" w:eastAsia="宋体"/>
                <w:sz w:val="21"/>
                <w:szCs w:val="21"/>
              </w:rPr>
              <w:t>无</w:t>
            </w:r>
          </w:p>
        </w:tc>
      </w:tr>
      <w:tr w14:paraId="59FC0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2" w:type="dxa"/>
          </w:tcPr>
          <w:p w14:paraId="59FC04C4">
            <w:pPr>
              <w:spacing w:after="0" w:line="240" w:lineRule="auto"/>
              <w:rPr>
                <w:rFonts w:hint="eastAsia" w:ascii="宋体" w:hAnsi="宋体" w:eastAsia="宋体"/>
                <w:sz w:val="21"/>
                <w:szCs w:val="21"/>
              </w:rPr>
            </w:pPr>
            <w:r>
              <w:rPr>
                <w:rFonts w:hint="eastAsia" w:ascii="宋体" w:hAnsi="宋体" w:eastAsia="宋体"/>
                <w:sz w:val="21"/>
                <w:szCs w:val="21"/>
              </w:rPr>
              <w:t>成果3非平衡态等离子体系统的汤姆逊散射理论研究报告</w:t>
            </w:r>
          </w:p>
        </w:tc>
        <w:tc>
          <w:tcPr>
            <w:tcW w:w="1735" w:type="dxa"/>
          </w:tcPr>
          <w:p w14:paraId="59FC04C5">
            <w:pPr>
              <w:spacing w:after="0" w:line="240" w:lineRule="auto"/>
              <w:rPr>
                <w:rFonts w:hint="eastAsia" w:ascii="宋体" w:hAnsi="宋体" w:eastAsia="宋体"/>
                <w:sz w:val="21"/>
                <w:szCs w:val="21"/>
              </w:rPr>
            </w:pPr>
            <w:r>
              <w:rPr>
                <w:rFonts w:hint="eastAsia" w:ascii="宋体" w:hAnsi="宋体" w:eastAsia="宋体"/>
                <w:sz w:val="21"/>
                <w:szCs w:val="21"/>
              </w:rPr>
              <w:t>正在进行中</w:t>
            </w:r>
          </w:p>
        </w:tc>
        <w:tc>
          <w:tcPr>
            <w:tcW w:w="1684" w:type="dxa"/>
          </w:tcPr>
          <w:p w14:paraId="59FC04C6">
            <w:pPr>
              <w:spacing w:after="0" w:line="240" w:lineRule="auto"/>
              <w:rPr>
                <w:rFonts w:hint="eastAsia" w:ascii="宋体" w:hAnsi="宋体" w:eastAsia="宋体"/>
                <w:sz w:val="21"/>
                <w:szCs w:val="21"/>
              </w:rPr>
            </w:pPr>
            <w:r>
              <w:rPr>
                <w:rFonts w:hint="eastAsia" w:ascii="宋体" w:hAnsi="宋体" w:eastAsia="宋体"/>
                <w:sz w:val="21"/>
                <w:szCs w:val="21"/>
              </w:rPr>
              <w:t>正在进行中</w:t>
            </w:r>
          </w:p>
        </w:tc>
        <w:tc>
          <w:tcPr>
            <w:tcW w:w="1623" w:type="dxa"/>
          </w:tcPr>
          <w:p w14:paraId="59FC04C7">
            <w:pPr>
              <w:spacing w:after="0" w:line="240" w:lineRule="auto"/>
              <w:rPr>
                <w:rFonts w:hint="eastAsia" w:ascii="宋体" w:hAnsi="宋体" w:eastAsia="宋体"/>
                <w:sz w:val="21"/>
                <w:szCs w:val="21"/>
              </w:rPr>
            </w:pPr>
            <w:r>
              <w:rPr>
                <w:rFonts w:ascii="宋体" w:hAnsi="宋体" w:eastAsia="宋体"/>
                <w:sz w:val="21"/>
                <w:szCs w:val="21"/>
              </w:rPr>
              <w:t>2027</w:t>
            </w:r>
            <w:r>
              <w:rPr>
                <w:rFonts w:hint="eastAsia" w:ascii="宋体" w:hAnsi="宋体" w:eastAsia="宋体"/>
                <w:sz w:val="21"/>
                <w:szCs w:val="21"/>
              </w:rPr>
              <w:t>年</w:t>
            </w:r>
            <w:r>
              <w:rPr>
                <w:rFonts w:ascii="宋体" w:hAnsi="宋体" w:eastAsia="宋体"/>
                <w:sz w:val="21"/>
                <w:szCs w:val="21"/>
              </w:rPr>
              <w:t>12</w:t>
            </w:r>
            <w:r>
              <w:rPr>
                <w:rFonts w:hint="eastAsia" w:ascii="宋体" w:hAnsi="宋体" w:eastAsia="宋体"/>
                <w:sz w:val="21"/>
                <w:szCs w:val="21"/>
              </w:rPr>
              <w:t>月</w:t>
            </w:r>
          </w:p>
        </w:tc>
        <w:tc>
          <w:tcPr>
            <w:tcW w:w="1572" w:type="dxa"/>
          </w:tcPr>
          <w:p w14:paraId="59FC04C8">
            <w:pPr>
              <w:spacing w:after="0" w:line="240" w:lineRule="auto"/>
              <w:rPr>
                <w:rFonts w:hint="eastAsia" w:ascii="宋体" w:hAnsi="宋体" w:eastAsia="宋体"/>
                <w:sz w:val="21"/>
                <w:szCs w:val="21"/>
              </w:rPr>
            </w:pPr>
            <w:r>
              <w:rPr>
                <w:rFonts w:hint="eastAsia" w:ascii="宋体" w:hAnsi="宋体" w:eastAsia="宋体"/>
                <w:sz w:val="21"/>
                <w:szCs w:val="21"/>
              </w:rPr>
              <w:t>无</w:t>
            </w:r>
          </w:p>
        </w:tc>
      </w:tr>
      <w:tr w14:paraId="59FC0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2" w:type="dxa"/>
          </w:tcPr>
          <w:p w14:paraId="59FC04CA">
            <w:pPr>
              <w:spacing w:after="0" w:line="240" w:lineRule="auto"/>
              <w:rPr>
                <w:rFonts w:hint="eastAsia" w:ascii="宋体" w:hAnsi="宋体" w:eastAsia="宋体"/>
                <w:sz w:val="21"/>
                <w:szCs w:val="21"/>
              </w:rPr>
            </w:pPr>
            <w:r>
              <w:rPr>
                <w:rFonts w:hint="eastAsia" w:ascii="宋体" w:hAnsi="宋体" w:eastAsia="宋体"/>
                <w:sz w:val="21"/>
                <w:szCs w:val="21"/>
              </w:rPr>
              <w:t>成果4研究论文发表</w:t>
            </w:r>
          </w:p>
        </w:tc>
        <w:tc>
          <w:tcPr>
            <w:tcW w:w="1735" w:type="dxa"/>
          </w:tcPr>
          <w:p w14:paraId="59FC04CB">
            <w:pPr>
              <w:spacing w:after="0" w:line="240" w:lineRule="auto"/>
              <w:rPr>
                <w:rFonts w:hint="eastAsia" w:ascii="宋体" w:hAnsi="宋体" w:eastAsia="宋体"/>
                <w:sz w:val="21"/>
                <w:szCs w:val="21"/>
              </w:rPr>
            </w:pPr>
            <w:r>
              <w:rPr>
                <w:rFonts w:hint="eastAsia" w:ascii="宋体" w:hAnsi="宋体" w:eastAsia="宋体"/>
                <w:sz w:val="21"/>
                <w:szCs w:val="21"/>
              </w:rPr>
              <w:t>正在进行中</w:t>
            </w:r>
          </w:p>
        </w:tc>
        <w:tc>
          <w:tcPr>
            <w:tcW w:w="1684" w:type="dxa"/>
          </w:tcPr>
          <w:p w14:paraId="59FC04CC">
            <w:pPr>
              <w:spacing w:after="0" w:line="240" w:lineRule="auto"/>
              <w:rPr>
                <w:rFonts w:hint="eastAsia" w:ascii="宋体" w:hAnsi="宋体" w:eastAsia="宋体"/>
                <w:sz w:val="21"/>
                <w:szCs w:val="21"/>
              </w:rPr>
            </w:pPr>
            <w:r>
              <w:rPr>
                <w:rFonts w:hint="eastAsia" w:ascii="宋体" w:hAnsi="宋体" w:eastAsia="宋体"/>
                <w:sz w:val="21"/>
                <w:szCs w:val="21"/>
              </w:rPr>
              <w:t>正在进行中</w:t>
            </w:r>
          </w:p>
        </w:tc>
        <w:tc>
          <w:tcPr>
            <w:tcW w:w="1623" w:type="dxa"/>
          </w:tcPr>
          <w:p w14:paraId="59FC04CD">
            <w:pPr>
              <w:spacing w:after="0" w:line="240" w:lineRule="auto"/>
              <w:rPr>
                <w:rFonts w:hint="eastAsia" w:ascii="宋体" w:hAnsi="宋体" w:eastAsia="宋体"/>
                <w:sz w:val="21"/>
                <w:szCs w:val="21"/>
              </w:rPr>
            </w:pPr>
            <w:r>
              <w:rPr>
                <w:rFonts w:ascii="宋体" w:hAnsi="宋体" w:eastAsia="宋体"/>
                <w:sz w:val="21"/>
                <w:szCs w:val="21"/>
              </w:rPr>
              <w:t>2027</w:t>
            </w:r>
            <w:r>
              <w:rPr>
                <w:rFonts w:hint="eastAsia" w:ascii="宋体" w:hAnsi="宋体" w:eastAsia="宋体"/>
                <w:sz w:val="21"/>
                <w:szCs w:val="21"/>
              </w:rPr>
              <w:t>年</w:t>
            </w:r>
            <w:r>
              <w:rPr>
                <w:rFonts w:ascii="宋体" w:hAnsi="宋体" w:eastAsia="宋体"/>
                <w:sz w:val="21"/>
                <w:szCs w:val="21"/>
              </w:rPr>
              <w:t>12</w:t>
            </w:r>
            <w:r>
              <w:rPr>
                <w:rFonts w:hint="eastAsia" w:ascii="宋体" w:hAnsi="宋体" w:eastAsia="宋体"/>
                <w:sz w:val="21"/>
                <w:szCs w:val="21"/>
              </w:rPr>
              <w:t>月</w:t>
            </w:r>
          </w:p>
        </w:tc>
        <w:tc>
          <w:tcPr>
            <w:tcW w:w="1572" w:type="dxa"/>
          </w:tcPr>
          <w:p w14:paraId="59FC04CE">
            <w:pPr>
              <w:spacing w:after="0" w:line="240" w:lineRule="auto"/>
              <w:rPr>
                <w:rFonts w:hint="eastAsia" w:ascii="宋体" w:hAnsi="宋体" w:eastAsia="宋体"/>
                <w:sz w:val="21"/>
                <w:szCs w:val="21"/>
              </w:rPr>
            </w:pPr>
            <w:r>
              <w:rPr>
                <w:rFonts w:hint="eastAsia" w:ascii="宋体" w:hAnsi="宋体" w:eastAsia="宋体"/>
                <w:sz w:val="21"/>
                <w:szCs w:val="21"/>
              </w:rPr>
              <w:t>无</w:t>
            </w:r>
          </w:p>
        </w:tc>
      </w:tr>
      <w:tr w14:paraId="59FC0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2" w:type="dxa"/>
          </w:tcPr>
          <w:p w14:paraId="59FC04D0">
            <w:pPr>
              <w:spacing w:after="0" w:line="240" w:lineRule="auto"/>
              <w:rPr>
                <w:rFonts w:hint="eastAsia" w:ascii="宋体" w:hAnsi="宋体" w:eastAsia="宋体"/>
                <w:sz w:val="21"/>
                <w:szCs w:val="21"/>
              </w:rPr>
            </w:pPr>
            <w:r>
              <w:rPr>
                <w:rFonts w:hint="eastAsia" w:ascii="宋体" w:hAnsi="宋体" w:eastAsia="宋体"/>
                <w:sz w:val="21"/>
                <w:szCs w:val="21"/>
              </w:rPr>
              <w:t>成果5</w:t>
            </w:r>
            <w:r>
              <w:rPr>
                <w:rFonts w:ascii="宋体" w:hAnsi="宋体" w:eastAsia="宋体"/>
                <w:sz w:val="21"/>
                <w:szCs w:val="21"/>
              </w:rPr>
              <w:t xml:space="preserve"> 2026年度进展报告</w:t>
            </w:r>
          </w:p>
        </w:tc>
        <w:tc>
          <w:tcPr>
            <w:tcW w:w="1735" w:type="dxa"/>
          </w:tcPr>
          <w:p w14:paraId="59FC04D1">
            <w:pPr>
              <w:spacing w:after="0" w:line="240" w:lineRule="auto"/>
              <w:rPr>
                <w:rFonts w:hint="eastAsia" w:ascii="宋体" w:hAnsi="宋体" w:eastAsia="宋体"/>
                <w:sz w:val="21"/>
                <w:szCs w:val="21"/>
              </w:rPr>
            </w:pPr>
            <w:r>
              <w:rPr>
                <w:rFonts w:hint="eastAsia" w:ascii="宋体" w:hAnsi="宋体" w:eastAsia="宋体"/>
                <w:sz w:val="21"/>
                <w:szCs w:val="21"/>
              </w:rPr>
              <w:t>正在进行中</w:t>
            </w:r>
          </w:p>
        </w:tc>
        <w:tc>
          <w:tcPr>
            <w:tcW w:w="1684" w:type="dxa"/>
          </w:tcPr>
          <w:p w14:paraId="59FC04D2">
            <w:pPr>
              <w:spacing w:after="0" w:line="240" w:lineRule="auto"/>
              <w:rPr>
                <w:rFonts w:hint="eastAsia" w:ascii="宋体" w:hAnsi="宋体" w:eastAsia="宋体"/>
                <w:sz w:val="21"/>
                <w:szCs w:val="21"/>
              </w:rPr>
            </w:pPr>
            <w:r>
              <w:rPr>
                <w:rFonts w:hint="eastAsia" w:ascii="宋体" w:hAnsi="宋体" w:eastAsia="宋体"/>
                <w:sz w:val="21"/>
                <w:szCs w:val="21"/>
              </w:rPr>
              <w:t>正在进行中</w:t>
            </w:r>
          </w:p>
        </w:tc>
        <w:tc>
          <w:tcPr>
            <w:tcW w:w="1623" w:type="dxa"/>
          </w:tcPr>
          <w:p w14:paraId="59FC04D3">
            <w:pPr>
              <w:spacing w:after="0" w:line="240" w:lineRule="auto"/>
              <w:rPr>
                <w:rFonts w:hint="eastAsia" w:ascii="宋体" w:hAnsi="宋体" w:eastAsia="宋体"/>
                <w:sz w:val="21"/>
                <w:szCs w:val="21"/>
              </w:rPr>
            </w:pPr>
            <w:r>
              <w:rPr>
                <w:rFonts w:ascii="宋体" w:hAnsi="宋体" w:eastAsia="宋体"/>
                <w:sz w:val="21"/>
                <w:szCs w:val="21"/>
              </w:rPr>
              <w:t>2026</w:t>
            </w:r>
            <w:r>
              <w:rPr>
                <w:rFonts w:hint="eastAsia" w:ascii="宋体" w:hAnsi="宋体" w:eastAsia="宋体"/>
                <w:sz w:val="21"/>
                <w:szCs w:val="21"/>
              </w:rPr>
              <w:t>年</w:t>
            </w:r>
            <w:r>
              <w:rPr>
                <w:rFonts w:ascii="宋体" w:hAnsi="宋体" w:eastAsia="宋体"/>
                <w:sz w:val="21"/>
                <w:szCs w:val="21"/>
              </w:rPr>
              <w:t>12</w:t>
            </w:r>
            <w:r>
              <w:rPr>
                <w:rFonts w:hint="eastAsia" w:ascii="宋体" w:hAnsi="宋体" w:eastAsia="宋体"/>
                <w:sz w:val="21"/>
                <w:szCs w:val="21"/>
              </w:rPr>
              <w:t>月</w:t>
            </w:r>
          </w:p>
        </w:tc>
        <w:tc>
          <w:tcPr>
            <w:tcW w:w="1572" w:type="dxa"/>
          </w:tcPr>
          <w:p w14:paraId="59FC04D4">
            <w:pPr>
              <w:spacing w:after="0" w:line="240" w:lineRule="auto"/>
              <w:rPr>
                <w:rFonts w:hint="eastAsia" w:ascii="宋体" w:hAnsi="宋体" w:eastAsia="宋体"/>
                <w:sz w:val="21"/>
                <w:szCs w:val="21"/>
              </w:rPr>
            </w:pPr>
            <w:r>
              <w:rPr>
                <w:rFonts w:hint="eastAsia" w:ascii="宋体" w:hAnsi="宋体" w:eastAsia="宋体"/>
                <w:sz w:val="21"/>
                <w:szCs w:val="21"/>
              </w:rPr>
              <w:t>无</w:t>
            </w:r>
          </w:p>
        </w:tc>
      </w:tr>
      <w:tr w14:paraId="59FC0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2" w:type="dxa"/>
          </w:tcPr>
          <w:p w14:paraId="59FC04D6">
            <w:pPr>
              <w:spacing w:after="0" w:line="240" w:lineRule="auto"/>
              <w:rPr>
                <w:rFonts w:hint="eastAsia" w:ascii="宋体" w:hAnsi="宋体" w:eastAsia="宋体"/>
                <w:sz w:val="21"/>
                <w:szCs w:val="21"/>
              </w:rPr>
            </w:pPr>
            <w:r>
              <w:rPr>
                <w:rFonts w:hint="eastAsia" w:ascii="宋体" w:hAnsi="宋体" w:eastAsia="宋体"/>
                <w:sz w:val="21"/>
                <w:szCs w:val="21"/>
              </w:rPr>
              <w:t>成果6</w:t>
            </w:r>
            <w:r>
              <w:rPr>
                <w:rFonts w:ascii="宋体" w:hAnsi="宋体" w:eastAsia="宋体"/>
                <w:sz w:val="21"/>
                <w:szCs w:val="21"/>
              </w:rPr>
              <w:t xml:space="preserve"> 2027年度进展报告</w:t>
            </w:r>
          </w:p>
        </w:tc>
        <w:tc>
          <w:tcPr>
            <w:tcW w:w="1735" w:type="dxa"/>
          </w:tcPr>
          <w:p w14:paraId="59FC04D7">
            <w:pPr>
              <w:spacing w:after="0" w:line="240" w:lineRule="auto"/>
              <w:rPr>
                <w:rFonts w:hint="eastAsia" w:ascii="宋体" w:hAnsi="宋体" w:eastAsia="宋体"/>
                <w:sz w:val="21"/>
                <w:szCs w:val="21"/>
              </w:rPr>
            </w:pPr>
            <w:r>
              <w:rPr>
                <w:rFonts w:hint="eastAsia" w:ascii="宋体" w:hAnsi="宋体" w:eastAsia="宋体"/>
                <w:sz w:val="21"/>
                <w:szCs w:val="21"/>
              </w:rPr>
              <w:t>正在进行中</w:t>
            </w:r>
          </w:p>
        </w:tc>
        <w:tc>
          <w:tcPr>
            <w:tcW w:w="1684" w:type="dxa"/>
          </w:tcPr>
          <w:p w14:paraId="59FC04D8">
            <w:pPr>
              <w:spacing w:after="0" w:line="240" w:lineRule="auto"/>
              <w:rPr>
                <w:rFonts w:hint="eastAsia" w:ascii="宋体" w:hAnsi="宋体" w:eastAsia="宋体"/>
                <w:sz w:val="21"/>
                <w:szCs w:val="21"/>
              </w:rPr>
            </w:pPr>
            <w:r>
              <w:rPr>
                <w:rFonts w:hint="eastAsia" w:ascii="宋体" w:hAnsi="宋体" w:eastAsia="宋体"/>
                <w:sz w:val="21"/>
                <w:szCs w:val="21"/>
              </w:rPr>
              <w:t>正在进行中</w:t>
            </w:r>
          </w:p>
        </w:tc>
        <w:tc>
          <w:tcPr>
            <w:tcW w:w="1623" w:type="dxa"/>
          </w:tcPr>
          <w:p w14:paraId="59FC04D9">
            <w:pPr>
              <w:spacing w:after="0" w:line="240" w:lineRule="auto"/>
              <w:rPr>
                <w:rFonts w:hint="eastAsia" w:ascii="宋体" w:hAnsi="宋体" w:eastAsia="宋体"/>
                <w:sz w:val="21"/>
                <w:szCs w:val="21"/>
              </w:rPr>
            </w:pPr>
            <w:r>
              <w:rPr>
                <w:rFonts w:ascii="宋体" w:hAnsi="宋体" w:eastAsia="宋体"/>
                <w:sz w:val="21"/>
                <w:szCs w:val="21"/>
              </w:rPr>
              <w:t>2027</w:t>
            </w:r>
            <w:r>
              <w:rPr>
                <w:rFonts w:hint="eastAsia" w:ascii="宋体" w:hAnsi="宋体" w:eastAsia="宋体"/>
                <w:sz w:val="21"/>
                <w:szCs w:val="21"/>
              </w:rPr>
              <w:t>年</w:t>
            </w:r>
            <w:r>
              <w:rPr>
                <w:rFonts w:ascii="宋体" w:hAnsi="宋体" w:eastAsia="宋体"/>
                <w:sz w:val="21"/>
                <w:szCs w:val="21"/>
              </w:rPr>
              <w:t>12</w:t>
            </w:r>
            <w:r>
              <w:rPr>
                <w:rFonts w:hint="eastAsia" w:ascii="宋体" w:hAnsi="宋体" w:eastAsia="宋体"/>
                <w:sz w:val="21"/>
                <w:szCs w:val="21"/>
              </w:rPr>
              <w:t>月</w:t>
            </w:r>
          </w:p>
        </w:tc>
        <w:tc>
          <w:tcPr>
            <w:tcW w:w="1572" w:type="dxa"/>
          </w:tcPr>
          <w:p w14:paraId="59FC04DA">
            <w:pPr>
              <w:spacing w:after="0" w:line="240" w:lineRule="auto"/>
              <w:rPr>
                <w:rFonts w:hint="eastAsia" w:ascii="宋体" w:hAnsi="宋体" w:eastAsia="宋体"/>
                <w:sz w:val="21"/>
                <w:szCs w:val="21"/>
              </w:rPr>
            </w:pPr>
            <w:r>
              <w:rPr>
                <w:rFonts w:hint="eastAsia" w:ascii="宋体" w:hAnsi="宋体" w:eastAsia="宋体"/>
                <w:sz w:val="21"/>
                <w:szCs w:val="21"/>
              </w:rPr>
              <w:t>无</w:t>
            </w:r>
          </w:p>
        </w:tc>
      </w:tr>
    </w:tbl>
    <w:p w14:paraId="59FC04DC">
      <w:pPr>
        <w:spacing w:line="520" w:lineRule="exact"/>
        <w:rPr>
          <w:rFonts w:hint="eastAsia" w:ascii="宋体" w:hAnsi="宋体" w:eastAsia="宋体"/>
          <w:sz w:val="28"/>
          <w:szCs w:val="28"/>
        </w:rPr>
      </w:pPr>
    </w:p>
    <w:p w14:paraId="59FC04DD">
      <w:pPr>
        <w:spacing w:after="0" w:line="520" w:lineRule="exact"/>
        <w:jc w:val="center"/>
        <w:rPr>
          <w:rFonts w:hint="eastAsia" w:ascii="宋体" w:hAnsi="宋体" w:eastAsia="宋体"/>
          <w:b/>
          <w:bCs/>
          <w:sz w:val="28"/>
          <w:szCs w:val="28"/>
        </w:rPr>
      </w:pPr>
      <w:r>
        <w:rPr>
          <w:rFonts w:hint="eastAsia" w:ascii="宋体" w:hAnsi="宋体" w:eastAsia="宋体"/>
          <w:b/>
          <w:bCs/>
          <w:sz w:val="28"/>
          <w:szCs w:val="28"/>
        </w:rPr>
        <w:t>表5 攻坚计划待完成内容梳理</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2094"/>
        <w:gridCol w:w="2095"/>
        <w:gridCol w:w="2014"/>
      </w:tblGrid>
      <w:tr w14:paraId="59FC0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59FC04DE">
            <w:pPr>
              <w:spacing w:after="0" w:line="240" w:lineRule="auto"/>
              <w:jc w:val="center"/>
              <w:rPr>
                <w:rFonts w:hint="eastAsia" w:ascii="宋体" w:hAnsi="宋体" w:eastAsia="宋体"/>
                <w:b/>
                <w:bCs/>
                <w:sz w:val="21"/>
                <w:szCs w:val="21"/>
              </w:rPr>
            </w:pPr>
            <w:r>
              <w:rPr>
                <w:rFonts w:hint="eastAsia" w:ascii="宋体" w:hAnsi="宋体" w:eastAsia="宋体"/>
                <w:b/>
                <w:bCs/>
                <w:sz w:val="21"/>
                <w:szCs w:val="21"/>
              </w:rPr>
              <w:t>待完成</w:t>
            </w:r>
            <w:r>
              <w:rPr>
                <w:rFonts w:ascii="宋体" w:hAnsi="宋体" w:eastAsia="宋体"/>
                <w:b/>
                <w:bCs/>
                <w:sz w:val="21"/>
                <w:szCs w:val="21"/>
              </w:rPr>
              <w:t>攻坚计划</w:t>
            </w:r>
          </w:p>
        </w:tc>
        <w:tc>
          <w:tcPr>
            <w:tcW w:w="2094" w:type="dxa"/>
          </w:tcPr>
          <w:p w14:paraId="59FC04DF">
            <w:pPr>
              <w:spacing w:after="0" w:line="240" w:lineRule="auto"/>
              <w:jc w:val="center"/>
              <w:rPr>
                <w:rFonts w:hint="eastAsia" w:ascii="宋体" w:hAnsi="宋体" w:eastAsia="宋体"/>
                <w:b/>
                <w:bCs/>
                <w:sz w:val="21"/>
                <w:szCs w:val="21"/>
              </w:rPr>
            </w:pPr>
            <w:r>
              <w:rPr>
                <w:rFonts w:hint="eastAsia" w:ascii="宋体" w:hAnsi="宋体" w:eastAsia="宋体"/>
                <w:b/>
                <w:bCs/>
                <w:sz w:val="21"/>
                <w:szCs w:val="21"/>
              </w:rPr>
              <w:t>当前主要进展</w:t>
            </w:r>
          </w:p>
        </w:tc>
        <w:tc>
          <w:tcPr>
            <w:tcW w:w="2095" w:type="dxa"/>
          </w:tcPr>
          <w:p w14:paraId="59FC04E0">
            <w:pPr>
              <w:spacing w:after="0" w:line="240" w:lineRule="auto"/>
              <w:jc w:val="center"/>
              <w:rPr>
                <w:rFonts w:hint="eastAsia" w:ascii="宋体" w:hAnsi="宋体" w:eastAsia="宋体"/>
                <w:b/>
                <w:bCs/>
                <w:sz w:val="21"/>
                <w:szCs w:val="21"/>
              </w:rPr>
            </w:pPr>
            <w:r>
              <w:rPr>
                <w:rFonts w:hint="eastAsia" w:ascii="宋体" w:hAnsi="宋体" w:eastAsia="宋体"/>
                <w:b/>
                <w:bCs/>
                <w:sz w:val="21"/>
                <w:szCs w:val="21"/>
              </w:rPr>
              <w:t>预计完成时间</w:t>
            </w:r>
          </w:p>
        </w:tc>
        <w:tc>
          <w:tcPr>
            <w:tcW w:w="2014" w:type="dxa"/>
          </w:tcPr>
          <w:p w14:paraId="59FC04E1">
            <w:pPr>
              <w:spacing w:after="0" w:line="240" w:lineRule="auto"/>
              <w:jc w:val="center"/>
              <w:rPr>
                <w:rFonts w:hint="eastAsia" w:ascii="宋体" w:hAnsi="宋体" w:eastAsia="宋体"/>
                <w:b/>
                <w:bCs/>
                <w:sz w:val="21"/>
                <w:szCs w:val="21"/>
              </w:rPr>
            </w:pPr>
            <w:r>
              <w:rPr>
                <w:rFonts w:hint="eastAsia" w:ascii="宋体" w:hAnsi="宋体" w:eastAsia="宋体"/>
                <w:b/>
                <w:bCs/>
                <w:sz w:val="21"/>
                <w:szCs w:val="21"/>
              </w:rPr>
              <w:t>备注（有无完成风险）</w:t>
            </w:r>
          </w:p>
        </w:tc>
      </w:tr>
      <w:tr w14:paraId="59FC0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59FC04E3">
            <w:pPr>
              <w:spacing w:after="0" w:line="240" w:lineRule="auto"/>
              <w:rPr>
                <w:rFonts w:hint="eastAsia" w:ascii="宋体" w:hAnsi="宋体" w:eastAsia="宋体"/>
                <w:sz w:val="21"/>
                <w:szCs w:val="21"/>
              </w:rPr>
            </w:pPr>
            <w:r>
              <w:rPr>
                <w:rFonts w:hint="eastAsia" w:ascii="宋体" w:hAnsi="宋体" w:eastAsia="宋体"/>
                <w:sz w:val="21"/>
                <w:szCs w:val="21"/>
              </w:rPr>
              <w:t>目标1建立基于机器学习的多组份等离子体混合精细状态的汤姆逊散射实验数据分析方法</w:t>
            </w:r>
          </w:p>
        </w:tc>
        <w:tc>
          <w:tcPr>
            <w:tcW w:w="2094" w:type="dxa"/>
          </w:tcPr>
          <w:p w14:paraId="59FC04E4">
            <w:pPr>
              <w:spacing w:after="0" w:line="240" w:lineRule="auto"/>
              <w:rPr>
                <w:rFonts w:hint="eastAsia" w:ascii="宋体" w:hAnsi="宋体" w:eastAsia="宋体"/>
                <w:sz w:val="21"/>
                <w:szCs w:val="21"/>
              </w:rPr>
            </w:pPr>
            <w:r>
              <w:rPr>
                <w:rFonts w:hint="eastAsia" w:ascii="宋体" w:hAnsi="宋体" w:eastAsia="宋体"/>
                <w:sz w:val="21"/>
                <w:szCs w:val="21"/>
              </w:rPr>
              <w:t>已完成由粒子模拟获得的电子速度分布计算得到汤姆逊散射光谱，并从其反演计算电子速度分布的工作；下一步将实现从实验测量汤姆逊散射光谱反演电子速度分布及其它等离子体状态参数</w:t>
            </w:r>
          </w:p>
        </w:tc>
        <w:tc>
          <w:tcPr>
            <w:tcW w:w="2095" w:type="dxa"/>
          </w:tcPr>
          <w:p w14:paraId="59FC04E5">
            <w:pPr>
              <w:spacing w:after="0" w:line="240" w:lineRule="auto"/>
              <w:rPr>
                <w:rFonts w:hint="eastAsia" w:ascii="宋体" w:hAnsi="宋体" w:eastAsia="宋体"/>
                <w:sz w:val="21"/>
                <w:szCs w:val="21"/>
              </w:rPr>
            </w:pPr>
            <w:r>
              <w:rPr>
                <w:rFonts w:ascii="宋体" w:hAnsi="宋体" w:eastAsia="宋体"/>
                <w:sz w:val="21"/>
                <w:szCs w:val="21"/>
              </w:rPr>
              <w:t>2027年6月</w:t>
            </w:r>
          </w:p>
        </w:tc>
        <w:tc>
          <w:tcPr>
            <w:tcW w:w="2014" w:type="dxa"/>
          </w:tcPr>
          <w:p w14:paraId="59FC04E6">
            <w:pPr>
              <w:spacing w:after="0" w:line="240" w:lineRule="auto"/>
              <w:rPr>
                <w:rFonts w:hint="eastAsia" w:ascii="宋体" w:hAnsi="宋体" w:eastAsia="宋体"/>
                <w:sz w:val="21"/>
                <w:szCs w:val="21"/>
              </w:rPr>
            </w:pPr>
            <w:r>
              <w:rPr>
                <w:rFonts w:hint="eastAsia" w:ascii="宋体" w:hAnsi="宋体" w:eastAsia="宋体"/>
                <w:sz w:val="21"/>
                <w:szCs w:val="21"/>
              </w:rPr>
              <w:t>无</w:t>
            </w:r>
          </w:p>
        </w:tc>
      </w:tr>
      <w:tr w14:paraId="59FC0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59FC04E8">
            <w:pPr>
              <w:spacing w:after="0" w:line="240" w:lineRule="auto"/>
              <w:rPr>
                <w:rFonts w:hint="eastAsia" w:ascii="宋体" w:hAnsi="宋体" w:eastAsia="宋体"/>
                <w:sz w:val="21"/>
                <w:szCs w:val="21"/>
              </w:rPr>
            </w:pPr>
            <w:r>
              <w:rPr>
                <w:rFonts w:hint="eastAsia" w:ascii="宋体" w:hAnsi="宋体" w:eastAsia="宋体"/>
                <w:sz w:val="21"/>
                <w:szCs w:val="21"/>
              </w:rPr>
              <w:t>目标2获得多组份等离子体混合对</w:t>
            </w:r>
            <w:r>
              <w:rPr>
                <w:rFonts w:ascii="宋体" w:hAnsi="宋体" w:eastAsia="宋体"/>
                <w:sz w:val="21"/>
                <w:szCs w:val="21"/>
              </w:rPr>
              <w:t>LPI的阻尼率、增长率和散射光谱及背反份额的规律性认识</w:t>
            </w:r>
          </w:p>
        </w:tc>
        <w:tc>
          <w:tcPr>
            <w:tcW w:w="2094" w:type="dxa"/>
          </w:tcPr>
          <w:p w14:paraId="59FC04E9">
            <w:pPr>
              <w:spacing w:after="0" w:line="240" w:lineRule="auto"/>
              <w:rPr>
                <w:rFonts w:hint="eastAsia" w:ascii="宋体" w:hAnsi="宋体" w:eastAsia="宋体"/>
                <w:sz w:val="21"/>
                <w:szCs w:val="21"/>
              </w:rPr>
            </w:pPr>
            <w:r>
              <w:rPr>
                <w:rFonts w:hint="eastAsia" w:ascii="宋体" w:hAnsi="宋体" w:eastAsia="宋体"/>
                <w:sz w:val="21"/>
                <w:szCs w:val="21"/>
              </w:rPr>
              <w:t>已完成多离子组份效应和碰撞效应等关键建模与程序开发，已获得一些初步数据；下一阶段将有针对性地开展一系列数值模拟研究与结果分析，结合解析理论最终获得</w:t>
            </w:r>
            <w:r>
              <w:rPr>
                <w:rFonts w:ascii="宋体" w:hAnsi="宋体" w:eastAsia="宋体"/>
                <w:sz w:val="21"/>
                <w:szCs w:val="21"/>
              </w:rPr>
              <w:t>规律性认识</w:t>
            </w:r>
          </w:p>
        </w:tc>
        <w:tc>
          <w:tcPr>
            <w:tcW w:w="2095" w:type="dxa"/>
          </w:tcPr>
          <w:p w14:paraId="59FC04EA">
            <w:pPr>
              <w:spacing w:after="0" w:line="240" w:lineRule="auto"/>
              <w:rPr>
                <w:rFonts w:hint="eastAsia" w:ascii="宋体" w:hAnsi="宋体" w:eastAsia="宋体"/>
                <w:sz w:val="21"/>
                <w:szCs w:val="21"/>
              </w:rPr>
            </w:pPr>
            <w:r>
              <w:rPr>
                <w:rFonts w:ascii="宋体" w:hAnsi="宋体" w:eastAsia="宋体"/>
                <w:sz w:val="21"/>
                <w:szCs w:val="21"/>
              </w:rPr>
              <w:t>2027年6月</w:t>
            </w:r>
          </w:p>
        </w:tc>
        <w:tc>
          <w:tcPr>
            <w:tcW w:w="2014" w:type="dxa"/>
          </w:tcPr>
          <w:p w14:paraId="59FC04EB">
            <w:pPr>
              <w:spacing w:after="0" w:line="240" w:lineRule="auto"/>
              <w:rPr>
                <w:rFonts w:hint="eastAsia" w:ascii="宋体" w:hAnsi="宋体" w:eastAsia="宋体"/>
                <w:sz w:val="21"/>
                <w:szCs w:val="21"/>
              </w:rPr>
            </w:pPr>
            <w:r>
              <w:rPr>
                <w:rFonts w:ascii="宋体" w:hAnsi="宋体" w:eastAsia="宋体"/>
                <w:sz w:val="21"/>
                <w:szCs w:val="21"/>
              </w:rPr>
              <w:t>共同负责人湖南大学肖成卓、上海交大翁苏明</w:t>
            </w:r>
          </w:p>
        </w:tc>
      </w:tr>
      <w:tr w14:paraId="59FC0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59FC04ED">
            <w:pPr>
              <w:spacing w:after="0" w:line="240" w:lineRule="auto"/>
              <w:rPr>
                <w:rFonts w:hint="eastAsia" w:ascii="宋体" w:hAnsi="宋体" w:eastAsia="宋体"/>
                <w:sz w:val="21"/>
                <w:szCs w:val="21"/>
              </w:rPr>
            </w:pPr>
            <w:r>
              <w:rPr>
                <w:rFonts w:hint="eastAsia" w:ascii="宋体" w:hAnsi="宋体" w:eastAsia="宋体"/>
                <w:sz w:val="21"/>
                <w:szCs w:val="21"/>
              </w:rPr>
              <w:t>目标3基于汤姆逊散射光谱结构信息，结合模拟仿真，获得多组分混合对电子热流的物理影响规律，</w:t>
            </w:r>
            <w:r>
              <w:rPr>
                <w:rFonts w:ascii="宋体" w:hAnsi="宋体" w:eastAsia="宋体"/>
                <w:sz w:val="21"/>
                <w:szCs w:val="21"/>
              </w:rPr>
              <w:t xml:space="preserve"> </w:t>
            </w:r>
          </w:p>
        </w:tc>
        <w:tc>
          <w:tcPr>
            <w:tcW w:w="2094" w:type="dxa"/>
          </w:tcPr>
          <w:p w14:paraId="59FC04EE">
            <w:pPr>
              <w:spacing w:after="0" w:line="240" w:lineRule="auto"/>
              <w:rPr>
                <w:rFonts w:hint="eastAsia" w:ascii="宋体" w:hAnsi="宋体" w:eastAsia="宋体"/>
                <w:sz w:val="21"/>
                <w:szCs w:val="21"/>
              </w:rPr>
            </w:pPr>
            <w:r>
              <w:rPr>
                <w:rFonts w:hint="eastAsia" w:ascii="宋体" w:hAnsi="宋体" w:eastAsia="宋体"/>
                <w:sz w:val="21"/>
                <w:szCs w:val="21"/>
              </w:rPr>
              <w:t>已完成多离子组分对LPI产生的影响研究；已利用新汤姆逊散射技术对粒子模拟输出的超热电子进行诊断；下一阶段将对实验中的超热电子信息进行诊断，并结合模拟获得多组分混合对电子热流的物理影响规律</w:t>
            </w:r>
          </w:p>
        </w:tc>
        <w:tc>
          <w:tcPr>
            <w:tcW w:w="2095" w:type="dxa"/>
          </w:tcPr>
          <w:p w14:paraId="59FC04EF">
            <w:pPr>
              <w:spacing w:after="0" w:line="240" w:lineRule="auto"/>
              <w:rPr>
                <w:rFonts w:hint="eastAsia" w:ascii="宋体" w:hAnsi="宋体" w:eastAsia="宋体"/>
                <w:sz w:val="21"/>
                <w:szCs w:val="21"/>
              </w:rPr>
            </w:pPr>
            <w:r>
              <w:rPr>
                <w:rFonts w:ascii="宋体" w:hAnsi="宋体" w:eastAsia="宋体"/>
                <w:sz w:val="21"/>
                <w:szCs w:val="21"/>
              </w:rPr>
              <w:t>2027年12月</w:t>
            </w:r>
          </w:p>
        </w:tc>
        <w:tc>
          <w:tcPr>
            <w:tcW w:w="2014" w:type="dxa"/>
          </w:tcPr>
          <w:p w14:paraId="59FC04F0">
            <w:pPr>
              <w:spacing w:after="0" w:line="240" w:lineRule="auto"/>
              <w:rPr>
                <w:rFonts w:hint="eastAsia" w:ascii="宋体" w:hAnsi="宋体" w:eastAsia="宋体"/>
                <w:sz w:val="21"/>
                <w:szCs w:val="21"/>
              </w:rPr>
            </w:pPr>
            <w:r>
              <w:rPr>
                <w:rFonts w:ascii="宋体" w:hAnsi="宋体" w:eastAsia="宋体"/>
                <w:sz w:val="21"/>
                <w:szCs w:val="21"/>
              </w:rPr>
              <w:t>共同负责人中物院八所刘耀远、上海交大翁苏明</w:t>
            </w:r>
            <w:r>
              <w:rPr>
                <w:rFonts w:hint="eastAsia" w:ascii="宋体" w:hAnsi="宋体" w:eastAsia="宋体"/>
                <w:sz w:val="21"/>
                <w:szCs w:val="21"/>
              </w:rPr>
              <w:t>；</w:t>
            </w:r>
          </w:p>
          <w:p w14:paraId="59FC04F1">
            <w:pPr>
              <w:spacing w:after="0" w:line="240" w:lineRule="auto"/>
              <w:rPr>
                <w:rFonts w:hint="eastAsia" w:ascii="宋体" w:hAnsi="宋体" w:eastAsia="宋体"/>
                <w:sz w:val="21"/>
                <w:szCs w:val="21"/>
              </w:rPr>
            </w:pPr>
            <w:r>
              <w:rPr>
                <w:rFonts w:hint="eastAsia" w:ascii="宋体" w:hAnsi="宋体" w:eastAsia="宋体"/>
                <w:sz w:val="21"/>
                <w:szCs w:val="21"/>
              </w:rPr>
              <w:t>存在一定的风险，实验中可能难以获得关于超热电子的高信噪比汤姆逊散射光谱</w:t>
            </w:r>
          </w:p>
        </w:tc>
      </w:tr>
    </w:tbl>
    <w:p w14:paraId="59FC04F3">
      <w:pPr>
        <w:pStyle w:val="2"/>
        <w:ind w:left="440"/>
        <w:rPr>
          <w:rFonts w:hint="eastAsia" w:ascii="微软雅黑" w:hAnsi="微软雅黑" w:eastAsia="微软雅黑"/>
          <w:b/>
          <w:bCs/>
          <w:color w:val="auto"/>
          <w:sz w:val="36"/>
          <w:szCs w:val="36"/>
        </w:rPr>
      </w:pPr>
    </w:p>
    <w:p w14:paraId="59FC04F4">
      <w:pPr>
        <w:widowControl/>
        <w:spacing w:after="0" w:line="240" w:lineRule="auto"/>
        <w:rPr>
          <w:rFonts w:hint="eastAsia" w:ascii="微软雅黑" w:hAnsi="微软雅黑" w:eastAsia="微软雅黑" w:cstheme="majorBidi"/>
          <w:b/>
          <w:bCs/>
          <w:sz w:val="36"/>
          <w:szCs w:val="36"/>
        </w:rPr>
      </w:pPr>
      <w:r>
        <w:rPr>
          <w:rFonts w:ascii="微软雅黑" w:hAnsi="微软雅黑" w:eastAsia="微软雅黑"/>
          <w:b/>
          <w:bCs/>
          <w:sz w:val="36"/>
          <w:szCs w:val="36"/>
        </w:rPr>
        <w:br w:type="page"/>
      </w:r>
    </w:p>
    <w:p w14:paraId="59FC04F5">
      <w:pPr>
        <w:pStyle w:val="2"/>
        <w:numPr>
          <w:ilvl w:val="0"/>
          <w:numId w:val="2"/>
        </w:numPr>
        <w:rPr>
          <w:rFonts w:hint="eastAsia" w:ascii="微软雅黑" w:hAnsi="微软雅黑" w:eastAsia="微软雅黑"/>
          <w:b/>
          <w:bCs/>
          <w:color w:val="auto"/>
          <w:sz w:val="36"/>
          <w:szCs w:val="36"/>
        </w:rPr>
      </w:pPr>
      <w:bookmarkStart w:id="24" w:name="_Toc239521167"/>
      <w:r>
        <w:rPr>
          <w:rFonts w:ascii="微软雅黑" w:hAnsi="微软雅黑" w:eastAsia="微软雅黑"/>
          <w:b/>
          <w:bCs/>
          <w:color w:val="auto"/>
          <w:sz w:val="36"/>
          <w:szCs w:val="36"/>
        </w:rPr>
        <w:t>承诺书</w:t>
      </w:r>
      <w:bookmarkEnd w:id="24"/>
    </w:p>
    <w:p w14:paraId="59FC04F6">
      <w:pPr>
        <w:spacing w:line="520" w:lineRule="exact"/>
        <w:ind w:firstLine="360"/>
        <w:rPr>
          <w:rFonts w:hint="eastAsia" w:ascii="宋体" w:hAnsi="宋体" w:eastAsia="宋体"/>
          <w:sz w:val="28"/>
          <w:szCs w:val="28"/>
        </w:rPr>
      </w:pPr>
      <w:r>
        <w:rPr>
          <w:rFonts w:ascii="宋体" w:hAnsi="宋体" w:eastAsia="宋体"/>
          <w:sz w:val="28"/>
          <w:szCs w:val="28"/>
        </w:rPr>
        <w:t>本单位及本项目组已认真学习国家国防科工局相关科研及财经管理制度，理解有关规定和要求，并将严格遵守《关于进一步加强科研诚信建设的若干意见》、《关于进一步弘扬科学家精神 加强作风和学风建设的意见》等有关规定，中期考核报告内容真实有效，不存在违背科研诚信要求的行为，</w:t>
      </w:r>
      <w:r>
        <w:rPr>
          <w:rFonts w:ascii="微软雅黑" w:hAnsi="微软雅黑" w:eastAsia="微软雅黑"/>
          <w:b/>
          <w:bCs/>
          <w:sz w:val="28"/>
          <w:szCs w:val="28"/>
        </w:rPr>
        <w:t>现郑重承诺</w:t>
      </w:r>
      <w:r>
        <w:rPr>
          <w:rFonts w:ascii="宋体" w:hAnsi="宋体" w:eastAsia="宋体"/>
          <w:sz w:val="28"/>
          <w:szCs w:val="28"/>
        </w:rPr>
        <w:t>：</w:t>
      </w:r>
    </w:p>
    <w:p w14:paraId="59FC04F7">
      <w:pPr>
        <w:numPr>
          <w:ilvl w:val="0"/>
          <w:numId w:val="11"/>
        </w:numPr>
        <w:spacing w:line="520" w:lineRule="exact"/>
        <w:rPr>
          <w:rFonts w:hint="eastAsia" w:ascii="宋体" w:hAnsi="宋体" w:eastAsia="宋体"/>
          <w:sz w:val="28"/>
          <w:szCs w:val="28"/>
        </w:rPr>
      </w:pPr>
      <w:r>
        <w:rPr>
          <w:rFonts w:ascii="宋体" w:hAnsi="宋体" w:eastAsia="宋体"/>
          <w:sz w:val="28"/>
          <w:szCs w:val="28"/>
        </w:rPr>
        <w:t>认真开展研究工作，对项目取得的研究成果按规定进行标注，反对无实质学术贡献者“挂名”，不在成果署名、知识产权归属等方面侵占他人合法权益，并如实报告本单位及项目组发生的任何违背科研诚信要求的行为；</w:t>
      </w:r>
    </w:p>
    <w:p w14:paraId="59FC04F8">
      <w:pPr>
        <w:numPr>
          <w:ilvl w:val="0"/>
          <w:numId w:val="11"/>
        </w:numPr>
        <w:spacing w:line="520" w:lineRule="exact"/>
        <w:rPr>
          <w:rFonts w:hint="eastAsia" w:ascii="宋体" w:hAnsi="宋体" w:eastAsia="宋体"/>
          <w:sz w:val="28"/>
          <w:szCs w:val="28"/>
        </w:rPr>
      </w:pPr>
      <w:r>
        <w:rPr>
          <w:rFonts w:ascii="宋体" w:hAnsi="宋体" w:eastAsia="宋体"/>
          <w:sz w:val="28"/>
          <w:szCs w:val="28"/>
        </w:rPr>
        <w:t>在项目研究过程中，本单位及项目组将恪守职业规范和科学道德，尊重科研规律，严谨求实、追求卓越，不人为夸大技术或成果价值，不传播未经验证的观点；</w:t>
      </w:r>
    </w:p>
    <w:p w14:paraId="59FC04F9">
      <w:pPr>
        <w:numPr>
          <w:ilvl w:val="0"/>
          <w:numId w:val="11"/>
        </w:numPr>
        <w:spacing w:line="520" w:lineRule="exact"/>
        <w:rPr>
          <w:rFonts w:hint="eastAsia" w:ascii="宋体" w:hAnsi="宋体" w:eastAsia="宋体"/>
          <w:sz w:val="28"/>
          <w:szCs w:val="28"/>
        </w:rPr>
      </w:pPr>
      <w:r>
        <w:rPr>
          <w:rFonts w:ascii="宋体" w:hAnsi="宋体" w:eastAsia="宋体"/>
          <w:sz w:val="28"/>
          <w:szCs w:val="28"/>
        </w:rPr>
        <w:t>科研资金使用符合国防科技工业科研经费管理的有关规定，科学合理安排项目资金支出进度，不存在弄虚作假，骗取科研经费等行为，不实施其它违反财经纪律和相关管理规定的行为。</w:t>
      </w:r>
    </w:p>
    <w:p w14:paraId="59FC04FA">
      <w:pPr>
        <w:spacing w:line="520" w:lineRule="exact"/>
        <w:ind w:firstLine="360"/>
        <w:rPr>
          <w:rFonts w:hint="eastAsia" w:ascii="宋体" w:hAnsi="宋体" w:eastAsia="宋体"/>
          <w:sz w:val="28"/>
          <w:szCs w:val="28"/>
        </w:rPr>
      </w:pPr>
      <w:r>
        <w:rPr>
          <w:rFonts w:ascii="宋体" w:hAnsi="宋体" w:eastAsia="宋体"/>
          <w:sz w:val="28"/>
          <w:szCs w:val="28"/>
        </w:rPr>
        <w:t>如违背上述承诺，本人愿接受甲方提出的各项处理决定，包括但不限于撤销项目、向承担单位发布违反科研诚信通报函等等。</w:t>
      </w:r>
    </w:p>
    <w:p w14:paraId="59FC04FB">
      <w:pPr>
        <w:spacing w:line="520" w:lineRule="exact"/>
        <w:rPr>
          <w:rFonts w:hint="eastAsia" w:ascii="宋体" w:hAnsi="宋体" w:eastAsia="宋体"/>
          <w:sz w:val="28"/>
          <w:szCs w:val="28"/>
        </w:rPr>
      </w:pPr>
    </w:p>
    <w:p w14:paraId="59FC04FC">
      <w:pPr>
        <w:spacing w:line="520" w:lineRule="exact"/>
        <w:rPr>
          <w:rFonts w:hint="eastAsia" w:ascii="宋体" w:hAnsi="宋体" w:eastAsia="宋体"/>
          <w:sz w:val="28"/>
          <w:szCs w:val="28"/>
        </w:rPr>
      </w:pPr>
      <w:r>
        <w:rPr>
          <w:rFonts w:ascii="宋体" w:hAnsi="宋体" w:eastAsia="宋体"/>
          <w:b/>
          <w:bCs/>
          <w:sz w:val="28"/>
          <w:szCs w:val="28"/>
        </w:rPr>
        <w:t>承担单位主要领导：（签名）</w:t>
      </w:r>
      <w:r>
        <w:rPr>
          <w:rFonts w:ascii="宋体" w:hAnsi="宋体" w:eastAsia="宋体"/>
          <w:sz w:val="28"/>
          <w:szCs w:val="28"/>
        </w:rPr>
        <w:t>　　　　　　</w:t>
      </w:r>
    </w:p>
    <w:p w14:paraId="59FC04FD">
      <w:pPr>
        <w:spacing w:line="520" w:lineRule="exact"/>
        <w:rPr>
          <w:rFonts w:hint="eastAsia" w:ascii="宋体" w:hAnsi="宋体" w:eastAsia="宋体"/>
          <w:sz w:val="28"/>
          <w:szCs w:val="28"/>
        </w:rPr>
      </w:pPr>
      <w:r>
        <w:rPr>
          <w:rFonts w:ascii="宋体" w:hAnsi="宋体" w:eastAsia="宋体"/>
          <w:b/>
          <w:bCs/>
          <w:sz w:val="28"/>
          <w:szCs w:val="28"/>
        </w:rPr>
        <w:t>承研单位</w:t>
      </w:r>
      <w:r>
        <w:rPr>
          <w:rFonts w:hint="eastAsia" w:ascii="宋体" w:hAnsi="宋体" w:eastAsia="宋体"/>
          <w:b/>
          <w:bCs/>
          <w:sz w:val="28"/>
          <w:szCs w:val="28"/>
        </w:rPr>
        <w:t>：</w:t>
      </w:r>
      <w:r>
        <w:rPr>
          <w:rFonts w:ascii="宋体" w:hAnsi="宋体" w:eastAsia="宋体"/>
          <w:b/>
          <w:bCs/>
          <w:sz w:val="28"/>
          <w:szCs w:val="28"/>
        </w:rPr>
        <w:t>（盖章）</w:t>
      </w:r>
    </w:p>
    <w:p w14:paraId="59FC04FE">
      <w:pPr>
        <w:spacing w:line="520" w:lineRule="exact"/>
        <w:rPr>
          <w:rFonts w:hint="eastAsia" w:ascii="宋体" w:hAnsi="宋体" w:eastAsia="宋体"/>
          <w:sz w:val="28"/>
          <w:szCs w:val="28"/>
        </w:rPr>
      </w:pPr>
      <w:r>
        <w:rPr>
          <w:rFonts w:ascii="宋体" w:hAnsi="宋体" w:eastAsia="宋体"/>
          <w:sz w:val="28"/>
          <w:szCs w:val="28"/>
        </w:rPr>
        <w:t>　　　　　　　　　　　　　　　　　　　</w:t>
      </w:r>
    </w:p>
    <w:p w14:paraId="59FC04FF">
      <w:pPr>
        <w:spacing w:line="520" w:lineRule="exact"/>
        <w:jc w:val="right"/>
        <w:rPr>
          <w:rFonts w:hint="eastAsia" w:ascii="宋体" w:hAnsi="宋体" w:eastAsia="宋体"/>
          <w:sz w:val="28"/>
          <w:szCs w:val="28"/>
        </w:rPr>
      </w:pPr>
      <w:r>
        <w:rPr>
          <w:rFonts w:ascii="宋体" w:hAnsi="宋体" w:eastAsia="宋体"/>
          <w:b/>
          <w:bCs/>
          <w:sz w:val="28"/>
          <w:szCs w:val="28"/>
        </w:rPr>
        <w:t>2026 年 9 月 日</w:t>
      </w:r>
    </w:p>
    <w:p w14:paraId="59FC0500">
      <w:pPr>
        <w:spacing w:line="520" w:lineRule="exact"/>
        <w:rPr>
          <w:rFonts w:hint="eastAsia" w:ascii="宋体" w:hAnsi="宋体" w:eastAsia="宋体"/>
          <w:b/>
          <w:bCs/>
          <w:sz w:val="28"/>
          <w:szCs w:val="28"/>
        </w:rPr>
      </w:pPr>
      <w:r>
        <w:rPr>
          <w:rFonts w:ascii="宋体" w:hAnsi="宋体" w:eastAsia="宋体"/>
          <w:b/>
          <w:bCs/>
          <w:sz w:val="28"/>
          <w:szCs w:val="28"/>
        </w:rPr>
        <w:t>附件</w:t>
      </w:r>
    </w:p>
    <w:p w14:paraId="59FC0501">
      <w:pPr>
        <w:spacing w:line="520" w:lineRule="exact"/>
        <w:rPr>
          <w:rFonts w:hint="eastAsia" w:ascii="宋体" w:hAnsi="宋体" w:eastAsia="宋体"/>
          <w:b/>
          <w:bCs/>
          <w:sz w:val="28"/>
          <w:szCs w:val="28"/>
        </w:rPr>
      </w:pPr>
      <w:r>
        <w:rPr>
          <w:rFonts w:hint="eastAsia" w:ascii="宋体" w:hAnsi="宋体" w:eastAsia="宋体"/>
          <w:b/>
          <w:bCs/>
          <w:sz w:val="28"/>
          <w:szCs w:val="28"/>
        </w:rPr>
        <w:t>附</w:t>
      </w:r>
      <w:r>
        <w:rPr>
          <w:rFonts w:ascii="宋体" w:hAnsi="宋体" w:eastAsia="宋体"/>
          <w:b/>
          <w:bCs/>
          <w:sz w:val="28"/>
          <w:szCs w:val="28"/>
        </w:rPr>
        <w:t xml:space="preserve">表 </w:t>
      </w:r>
      <w:r>
        <w:rPr>
          <w:rFonts w:hint="eastAsia" w:ascii="宋体" w:hAnsi="宋体" w:eastAsia="宋体"/>
          <w:b/>
          <w:bCs/>
          <w:sz w:val="28"/>
          <w:szCs w:val="28"/>
        </w:rPr>
        <w:t>1</w:t>
      </w:r>
      <w:r>
        <w:rPr>
          <w:rFonts w:ascii="宋体" w:hAnsi="宋体" w:eastAsia="宋体"/>
          <w:b/>
          <w:bCs/>
          <w:sz w:val="28"/>
          <w:szCs w:val="28"/>
        </w:rPr>
        <w:t xml:space="preserve"> </w:t>
      </w:r>
      <w:r>
        <w:rPr>
          <w:rFonts w:hint="eastAsia" w:ascii="宋体" w:hAnsi="宋体" w:eastAsia="宋体"/>
          <w:b/>
          <w:bCs/>
          <w:sz w:val="28"/>
          <w:szCs w:val="28"/>
        </w:rPr>
        <w:t>：</w:t>
      </w:r>
      <w:r>
        <w:rPr>
          <w:rFonts w:ascii="宋体" w:hAnsi="宋体" w:eastAsia="宋体"/>
          <w:b/>
          <w:bCs/>
          <w:sz w:val="28"/>
          <w:szCs w:val="28"/>
        </w:rPr>
        <w:t>科研成果清单</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14:paraId="59FC0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59" w:type="dxa"/>
            <w:vAlign w:val="center"/>
          </w:tcPr>
          <w:p w14:paraId="59FC0502">
            <w:pPr>
              <w:spacing w:after="0" w:line="240" w:lineRule="auto"/>
              <w:jc w:val="center"/>
              <w:rPr>
                <w:rFonts w:hint="eastAsia" w:ascii="宋体" w:hAnsi="宋体" w:eastAsia="宋体"/>
                <w:b/>
                <w:bCs/>
                <w:sz w:val="21"/>
                <w:szCs w:val="21"/>
              </w:rPr>
            </w:pPr>
            <w:r>
              <w:rPr>
                <w:rFonts w:ascii="宋体" w:hAnsi="宋体" w:eastAsia="宋体"/>
                <w:b/>
                <w:bCs/>
                <w:sz w:val="21"/>
                <w:szCs w:val="21"/>
              </w:rPr>
              <w:t>序号</w:t>
            </w:r>
          </w:p>
        </w:tc>
        <w:tc>
          <w:tcPr>
            <w:tcW w:w="1659" w:type="dxa"/>
            <w:vAlign w:val="center"/>
          </w:tcPr>
          <w:p w14:paraId="59FC0503">
            <w:pPr>
              <w:spacing w:after="0" w:line="240" w:lineRule="auto"/>
              <w:jc w:val="center"/>
              <w:rPr>
                <w:rFonts w:hint="eastAsia" w:ascii="宋体" w:hAnsi="宋体" w:eastAsia="宋体"/>
                <w:b/>
                <w:bCs/>
                <w:sz w:val="21"/>
                <w:szCs w:val="21"/>
              </w:rPr>
            </w:pPr>
            <w:r>
              <w:rPr>
                <w:rFonts w:ascii="宋体" w:hAnsi="宋体" w:eastAsia="宋体"/>
                <w:b/>
                <w:bCs/>
                <w:sz w:val="21"/>
                <w:szCs w:val="21"/>
              </w:rPr>
              <w:t>成果名称</w:t>
            </w:r>
          </w:p>
        </w:tc>
        <w:tc>
          <w:tcPr>
            <w:tcW w:w="1659" w:type="dxa"/>
            <w:vAlign w:val="center"/>
          </w:tcPr>
          <w:p w14:paraId="59FC0504">
            <w:pPr>
              <w:spacing w:after="0" w:line="240" w:lineRule="auto"/>
              <w:jc w:val="center"/>
              <w:rPr>
                <w:rFonts w:hint="eastAsia" w:ascii="宋体" w:hAnsi="宋体" w:eastAsia="宋体"/>
                <w:b/>
                <w:bCs/>
                <w:sz w:val="21"/>
                <w:szCs w:val="21"/>
              </w:rPr>
            </w:pPr>
            <w:r>
              <w:rPr>
                <w:rFonts w:ascii="宋体" w:hAnsi="宋体" w:eastAsia="宋体"/>
                <w:b/>
                <w:bCs/>
                <w:sz w:val="21"/>
                <w:szCs w:val="21"/>
              </w:rPr>
              <w:t>成果主要功能、指标描述</w:t>
            </w:r>
          </w:p>
        </w:tc>
        <w:tc>
          <w:tcPr>
            <w:tcW w:w="1659" w:type="dxa"/>
            <w:vAlign w:val="center"/>
          </w:tcPr>
          <w:p w14:paraId="59FC0505">
            <w:pPr>
              <w:spacing w:after="0" w:line="240" w:lineRule="auto"/>
              <w:jc w:val="center"/>
              <w:rPr>
                <w:rFonts w:hint="eastAsia" w:ascii="宋体" w:hAnsi="宋体" w:eastAsia="宋体"/>
                <w:b/>
                <w:bCs/>
                <w:sz w:val="21"/>
                <w:szCs w:val="21"/>
              </w:rPr>
            </w:pPr>
            <w:r>
              <w:rPr>
                <w:rFonts w:ascii="宋体" w:hAnsi="宋体" w:eastAsia="宋体"/>
                <w:b/>
                <w:bCs/>
                <w:sz w:val="21"/>
                <w:szCs w:val="21"/>
              </w:rPr>
              <w:t>完成单位</w:t>
            </w:r>
            <w:r>
              <w:rPr>
                <w:rFonts w:ascii="宋体" w:hAnsi="宋体" w:eastAsia="宋体"/>
                <w:b/>
                <w:bCs/>
                <w:i/>
                <w:iCs/>
                <w:sz w:val="21"/>
                <w:szCs w:val="21"/>
              </w:rPr>
              <w:t>（主要完成人）</w:t>
            </w:r>
          </w:p>
        </w:tc>
        <w:tc>
          <w:tcPr>
            <w:tcW w:w="1660" w:type="dxa"/>
            <w:vAlign w:val="center"/>
          </w:tcPr>
          <w:p w14:paraId="59FC0506">
            <w:pPr>
              <w:spacing w:after="0" w:line="240" w:lineRule="auto"/>
              <w:jc w:val="center"/>
              <w:rPr>
                <w:rFonts w:hint="eastAsia" w:ascii="宋体" w:hAnsi="宋体" w:eastAsia="宋体"/>
                <w:b/>
                <w:bCs/>
                <w:sz w:val="21"/>
                <w:szCs w:val="21"/>
              </w:rPr>
            </w:pPr>
            <w:r>
              <w:rPr>
                <w:rFonts w:ascii="宋体" w:hAnsi="宋体" w:eastAsia="宋体"/>
                <w:b/>
                <w:bCs/>
                <w:sz w:val="21"/>
                <w:szCs w:val="21"/>
              </w:rPr>
              <w:t>成果类型</w:t>
            </w:r>
          </w:p>
        </w:tc>
      </w:tr>
      <w:tr w14:paraId="59FC0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9FC0508">
            <w:pPr>
              <w:spacing w:after="0" w:line="520" w:lineRule="exact"/>
              <w:rPr>
                <w:rFonts w:hint="eastAsia" w:ascii="宋体" w:hAnsi="宋体" w:eastAsia="宋体"/>
                <w:sz w:val="28"/>
                <w:szCs w:val="28"/>
              </w:rPr>
            </w:pPr>
            <w:r>
              <w:rPr>
                <w:rFonts w:ascii="宋体" w:hAnsi="宋体" w:eastAsia="宋体"/>
                <w:sz w:val="28"/>
                <w:szCs w:val="28"/>
              </w:rPr>
              <w:t>1</w:t>
            </w:r>
          </w:p>
        </w:tc>
        <w:tc>
          <w:tcPr>
            <w:tcW w:w="1659" w:type="dxa"/>
          </w:tcPr>
          <w:p w14:paraId="59FC0509">
            <w:pPr>
              <w:spacing w:after="0" w:line="520" w:lineRule="exact"/>
              <w:rPr>
                <w:rFonts w:hint="eastAsia" w:ascii="宋体" w:hAnsi="宋体" w:eastAsia="宋体"/>
                <w:sz w:val="21"/>
                <w:szCs w:val="21"/>
              </w:rPr>
            </w:pPr>
            <w:r>
              <w:rPr>
                <w:rFonts w:hint="eastAsia" w:ascii="宋体" w:hAnsi="宋体" w:eastAsia="宋体"/>
                <w:sz w:val="21"/>
                <w:szCs w:val="21"/>
              </w:rPr>
              <w:t>在</w:t>
            </w:r>
            <w:r>
              <w:rPr>
                <w:rFonts w:ascii="宋体" w:hAnsi="宋体" w:eastAsia="宋体"/>
                <w:sz w:val="21"/>
                <w:szCs w:val="21"/>
              </w:rPr>
              <w:t>LPI程序中处理碰撞吸收、碰撞阻尼等效应的物理模型</w:t>
            </w:r>
          </w:p>
        </w:tc>
        <w:tc>
          <w:tcPr>
            <w:tcW w:w="1659" w:type="dxa"/>
          </w:tcPr>
          <w:p w14:paraId="59FC050A">
            <w:pPr>
              <w:spacing w:after="0" w:line="520" w:lineRule="exact"/>
              <w:rPr>
                <w:rFonts w:hint="eastAsia" w:ascii="宋体" w:hAnsi="宋体" w:eastAsia="宋体"/>
                <w:sz w:val="21"/>
                <w:szCs w:val="21"/>
              </w:rPr>
            </w:pPr>
            <w:r>
              <w:rPr>
                <w:rFonts w:hint="eastAsia" w:ascii="宋体" w:hAnsi="宋体" w:eastAsia="宋体"/>
                <w:sz w:val="21"/>
                <w:szCs w:val="21"/>
              </w:rPr>
              <w:t>主要功能：精确模拟等离子体对激光的碰撞吸收过程以及库仑碰撞对等离子体波的阻尼过程</w:t>
            </w:r>
          </w:p>
          <w:p w14:paraId="59FC050B">
            <w:pPr>
              <w:spacing w:after="0" w:line="520" w:lineRule="exact"/>
              <w:rPr>
                <w:rFonts w:hint="eastAsia" w:ascii="宋体" w:hAnsi="宋体" w:eastAsia="宋体"/>
                <w:sz w:val="21"/>
                <w:szCs w:val="21"/>
              </w:rPr>
            </w:pPr>
            <w:r>
              <w:rPr>
                <w:rFonts w:hint="eastAsia" w:ascii="宋体" w:hAnsi="宋体" w:eastAsia="宋体"/>
                <w:sz w:val="21"/>
                <w:szCs w:val="21"/>
              </w:rPr>
              <w:t>指标：模拟得到的碰撞吸收率与其理论值差异小于5%</w:t>
            </w:r>
          </w:p>
        </w:tc>
        <w:tc>
          <w:tcPr>
            <w:tcW w:w="1659" w:type="dxa"/>
          </w:tcPr>
          <w:p w14:paraId="59FC050C">
            <w:pPr>
              <w:spacing w:after="0" w:line="520" w:lineRule="exact"/>
              <w:rPr>
                <w:rFonts w:hint="eastAsia" w:ascii="宋体" w:hAnsi="宋体" w:eastAsia="宋体"/>
                <w:sz w:val="21"/>
                <w:szCs w:val="21"/>
              </w:rPr>
            </w:pPr>
            <w:r>
              <w:rPr>
                <w:rFonts w:hint="eastAsia" w:ascii="宋体" w:hAnsi="宋体" w:eastAsia="宋体"/>
                <w:sz w:val="21"/>
                <w:szCs w:val="21"/>
              </w:rPr>
              <w:t>李镭、翁苏明</w:t>
            </w:r>
          </w:p>
        </w:tc>
        <w:tc>
          <w:tcPr>
            <w:tcW w:w="1660" w:type="dxa"/>
          </w:tcPr>
          <w:p w14:paraId="59FC050D">
            <w:pPr>
              <w:spacing w:after="0" w:line="520" w:lineRule="exact"/>
              <w:rPr>
                <w:rFonts w:hint="eastAsia" w:ascii="宋体" w:hAnsi="宋体" w:eastAsia="宋体"/>
                <w:sz w:val="21"/>
                <w:szCs w:val="21"/>
              </w:rPr>
            </w:pPr>
            <w:r>
              <w:rPr>
                <w:rFonts w:hint="eastAsia" w:ascii="宋体" w:hAnsi="宋体" w:eastAsia="宋体"/>
                <w:sz w:val="21"/>
                <w:szCs w:val="21"/>
              </w:rPr>
              <w:t>模型类</w:t>
            </w:r>
          </w:p>
        </w:tc>
      </w:tr>
      <w:tr w14:paraId="59FC0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9FC050F">
            <w:pPr>
              <w:spacing w:after="0" w:line="520" w:lineRule="exact"/>
              <w:rPr>
                <w:rFonts w:hint="eastAsia" w:ascii="宋体" w:hAnsi="宋体" w:eastAsia="宋体"/>
                <w:sz w:val="28"/>
                <w:szCs w:val="28"/>
              </w:rPr>
            </w:pPr>
            <w:r>
              <w:rPr>
                <w:rFonts w:ascii="宋体" w:hAnsi="宋体" w:eastAsia="宋体"/>
                <w:sz w:val="28"/>
                <w:szCs w:val="28"/>
              </w:rPr>
              <w:t>2</w:t>
            </w:r>
          </w:p>
        </w:tc>
        <w:tc>
          <w:tcPr>
            <w:tcW w:w="1659" w:type="dxa"/>
          </w:tcPr>
          <w:p w14:paraId="59FC0510">
            <w:pPr>
              <w:spacing w:after="0" w:line="520" w:lineRule="exact"/>
              <w:rPr>
                <w:rFonts w:hint="eastAsia" w:ascii="宋体" w:hAnsi="宋体" w:eastAsia="宋体"/>
                <w:sz w:val="21"/>
                <w:szCs w:val="21"/>
              </w:rPr>
            </w:pPr>
            <w:r>
              <w:rPr>
                <w:rFonts w:hint="eastAsia" w:ascii="宋体" w:hAnsi="宋体" w:eastAsia="宋体"/>
                <w:sz w:val="21"/>
                <w:szCs w:val="21"/>
              </w:rPr>
              <w:t>包含</w:t>
            </w:r>
            <w:r>
              <w:rPr>
                <w:rFonts w:ascii="宋体" w:hAnsi="宋体" w:eastAsia="宋体"/>
                <w:sz w:val="21"/>
                <w:szCs w:val="21"/>
              </w:rPr>
              <w:t>碰撞</w:t>
            </w:r>
            <w:r>
              <w:rPr>
                <w:rFonts w:hint="eastAsia" w:ascii="宋体" w:hAnsi="宋体" w:eastAsia="宋体"/>
                <w:sz w:val="21"/>
                <w:szCs w:val="21"/>
              </w:rPr>
              <w:t>效应模块的多组分等离子体LPI模拟程序PM</w:t>
            </w:r>
            <w:r>
              <w:rPr>
                <w:rFonts w:ascii="宋体" w:hAnsi="宋体" w:eastAsia="宋体"/>
                <w:sz w:val="21"/>
                <w:szCs w:val="21"/>
              </w:rPr>
              <w:t>1</w:t>
            </w:r>
            <w:r>
              <w:rPr>
                <w:rFonts w:hint="eastAsia" w:ascii="宋体" w:hAnsi="宋体" w:eastAsia="宋体"/>
                <w:sz w:val="21"/>
                <w:szCs w:val="21"/>
              </w:rPr>
              <w:t>D、PM</w:t>
            </w:r>
            <w:r>
              <w:rPr>
                <w:rFonts w:ascii="宋体" w:hAnsi="宋体" w:eastAsia="宋体"/>
                <w:sz w:val="21"/>
                <w:szCs w:val="21"/>
              </w:rPr>
              <w:t>2</w:t>
            </w:r>
            <w:r>
              <w:rPr>
                <w:rFonts w:hint="eastAsia" w:ascii="宋体" w:hAnsi="宋体" w:eastAsia="宋体"/>
                <w:sz w:val="21"/>
                <w:szCs w:val="21"/>
              </w:rPr>
              <w:t>D</w:t>
            </w:r>
          </w:p>
        </w:tc>
        <w:tc>
          <w:tcPr>
            <w:tcW w:w="1659" w:type="dxa"/>
          </w:tcPr>
          <w:p w14:paraId="59FC0511">
            <w:pPr>
              <w:spacing w:after="0" w:line="520" w:lineRule="exact"/>
              <w:rPr>
                <w:rFonts w:hint="eastAsia" w:ascii="宋体" w:hAnsi="宋体" w:eastAsia="宋体"/>
                <w:sz w:val="21"/>
                <w:szCs w:val="21"/>
              </w:rPr>
            </w:pPr>
            <w:r>
              <w:rPr>
                <w:rFonts w:hint="eastAsia" w:ascii="宋体" w:hAnsi="宋体" w:eastAsia="宋体"/>
                <w:sz w:val="21"/>
                <w:szCs w:val="21"/>
              </w:rPr>
              <w:t>主要功能：适用于精确模拟多离子组分等离子体中LPI过程以及碰撞效应的粒子网格模拟程序PM</w:t>
            </w:r>
            <w:r>
              <w:rPr>
                <w:rFonts w:ascii="宋体" w:hAnsi="宋体" w:eastAsia="宋体"/>
                <w:sz w:val="21"/>
                <w:szCs w:val="21"/>
              </w:rPr>
              <w:t>1</w:t>
            </w:r>
            <w:r>
              <w:rPr>
                <w:rFonts w:hint="eastAsia" w:ascii="宋体" w:hAnsi="宋体" w:eastAsia="宋体"/>
                <w:sz w:val="21"/>
                <w:szCs w:val="21"/>
              </w:rPr>
              <w:t>D和PM</w:t>
            </w:r>
            <w:r>
              <w:rPr>
                <w:rFonts w:ascii="宋体" w:hAnsi="宋体" w:eastAsia="宋体"/>
                <w:sz w:val="21"/>
                <w:szCs w:val="21"/>
              </w:rPr>
              <w:t>2</w:t>
            </w:r>
            <w:r>
              <w:rPr>
                <w:rFonts w:hint="eastAsia" w:ascii="宋体" w:hAnsi="宋体" w:eastAsia="宋体"/>
                <w:sz w:val="21"/>
                <w:szCs w:val="21"/>
              </w:rPr>
              <w:t>D</w:t>
            </w:r>
          </w:p>
          <w:p w14:paraId="59FC0512">
            <w:pPr>
              <w:spacing w:after="0" w:line="520" w:lineRule="exact"/>
              <w:rPr>
                <w:rFonts w:hint="eastAsia" w:ascii="宋体" w:hAnsi="宋体" w:eastAsia="宋体"/>
                <w:sz w:val="21"/>
                <w:szCs w:val="21"/>
              </w:rPr>
            </w:pPr>
            <w:r>
              <w:rPr>
                <w:rFonts w:hint="eastAsia" w:ascii="宋体" w:hAnsi="宋体" w:eastAsia="宋体"/>
                <w:sz w:val="21"/>
                <w:szCs w:val="21"/>
              </w:rPr>
              <w:t>指标：</w:t>
            </w:r>
            <w:r>
              <w:rPr>
                <w:rFonts w:hint="eastAsia" w:ascii="宋体" w:hAnsi="宋体" w:eastAsia="宋体"/>
                <w:kern w:val="28"/>
                <w:sz w:val="21"/>
                <w:szCs w:val="21"/>
              </w:rPr>
              <w:t>在线性区间模拟得到的参量不稳定过程的线性增长率与其理论值差异小于10%</w:t>
            </w:r>
          </w:p>
        </w:tc>
        <w:tc>
          <w:tcPr>
            <w:tcW w:w="1659" w:type="dxa"/>
          </w:tcPr>
          <w:p w14:paraId="59FC0513">
            <w:pPr>
              <w:spacing w:after="0" w:line="520" w:lineRule="exact"/>
              <w:rPr>
                <w:rFonts w:hint="eastAsia" w:ascii="宋体" w:hAnsi="宋体" w:eastAsia="宋体"/>
                <w:sz w:val="21"/>
                <w:szCs w:val="21"/>
              </w:rPr>
            </w:pPr>
            <w:r>
              <w:rPr>
                <w:rFonts w:hint="eastAsia" w:ascii="宋体" w:hAnsi="宋体" w:eastAsia="宋体"/>
                <w:sz w:val="21"/>
                <w:szCs w:val="21"/>
              </w:rPr>
              <w:t>李镭、陈星宇、翁苏明</w:t>
            </w:r>
          </w:p>
        </w:tc>
        <w:tc>
          <w:tcPr>
            <w:tcW w:w="1660" w:type="dxa"/>
          </w:tcPr>
          <w:p w14:paraId="59FC0514">
            <w:pPr>
              <w:spacing w:after="0" w:line="520" w:lineRule="exact"/>
              <w:rPr>
                <w:rFonts w:hint="eastAsia" w:ascii="宋体" w:hAnsi="宋体" w:eastAsia="宋体"/>
                <w:sz w:val="21"/>
                <w:szCs w:val="21"/>
              </w:rPr>
            </w:pPr>
            <w:r>
              <w:rPr>
                <w:rFonts w:hint="eastAsia" w:ascii="宋体" w:hAnsi="宋体" w:eastAsia="宋体"/>
                <w:sz w:val="21"/>
                <w:szCs w:val="21"/>
              </w:rPr>
              <w:t>软件类</w:t>
            </w:r>
          </w:p>
        </w:tc>
      </w:tr>
      <w:tr w14:paraId="59FC0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9FC0516">
            <w:pPr>
              <w:spacing w:after="0" w:line="520" w:lineRule="exact"/>
              <w:rPr>
                <w:rFonts w:hint="eastAsia" w:ascii="宋体" w:hAnsi="宋体" w:eastAsia="宋体"/>
                <w:sz w:val="28"/>
                <w:szCs w:val="28"/>
              </w:rPr>
            </w:pPr>
            <w:r>
              <w:rPr>
                <w:rFonts w:ascii="宋体" w:hAnsi="宋体" w:eastAsia="宋体"/>
                <w:sz w:val="28"/>
                <w:szCs w:val="28"/>
              </w:rPr>
              <w:t>3</w:t>
            </w:r>
          </w:p>
        </w:tc>
        <w:tc>
          <w:tcPr>
            <w:tcW w:w="1659" w:type="dxa"/>
          </w:tcPr>
          <w:p w14:paraId="59FC0517">
            <w:pPr>
              <w:spacing w:after="0" w:line="520" w:lineRule="exact"/>
              <w:rPr>
                <w:rFonts w:hint="eastAsia" w:ascii="宋体" w:hAnsi="宋体" w:eastAsia="宋体"/>
                <w:sz w:val="21"/>
                <w:szCs w:val="21"/>
              </w:rPr>
            </w:pPr>
            <w:r>
              <w:rPr>
                <w:rFonts w:hint="eastAsia" w:ascii="宋体" w:hAnsi="宋体" w:eastAsia="宋体"/>
                <w:sz w:val="21"/>
                <w:szCs w:val="21"/>
              </w:rPr>
              <w:t>多组份等离子体中的</w:t>
            </w:r>
            <w:r>
              <w:rPr>
                <w:rFonts w:ascii="宋体" w:hAnsi="宋体" w:eastAsia="宋体"/>
                <w:sz w:val="21"/>
                <w:szCs w:val="21"/>
              </w:rPr>
              <w:t>LPI数据</w:t>
            </w:r>
          </w:p>
        </w:tc>
        <w:tc>
          <w:tcPr>
            <w:tcW w:w="1659" w:type="dxa"/>
          </w:tcPr>
          <w:p w14:paraId="59FC0518">
            <w:pPr>
              <w:spacing w:after="0" w:line="520" w:lineRule="exact"/>
              <w:rPr>
                <w:rFonts w:hint="eastAsia" w:ascii="宋体" w:hAnsi="宋体" w:eastAsia="宋体"/>
                <w:sz w:val="21"/>
                <w:szCs w:val="21"/>
              </w:rPr>
            </w:pPr>
            <w:r>
              <w:rPr>
                <w:rFonts w:hint="eastAsia" w:ascii="宋体" w:hAnsi="宋体" w:eastAsia="宋体"/>
                <w:sz w:val="21"/>
                <w:szCs w:val="21"/>
              </w:rPr>
              <w:t>包含碰撞效应对多组份等离子体中</w:t>
            </w:r>
            <w:r>
              <w:rPr>
                <w:rFonts w:ascii="宋体" w:hAnsi="宋体" w:eastAsia="宋体"/>
                <w:sz w:val="21"/>
                <w:szCs w:val="21"/>
              </w:rPr>
              <w:t>LPI增长率、散射光份额和频谱等影响的数据集</w:t>
            </w:r>
          </w:p>
        </w:tc>
        <w:tc>
          <w:tcPr>
            <w:tcW w:w="1659" w:type="dxa"/>
          </w:tcPr>
          <w:p w14:paraId="59FC0519">
            <w:pPr>
              <w:spacing w:after="0" w:line="520" w:lineRule="exact"/>
              <w:rPr>
                <w:rFonts w:hint="eastAsia" w:ascii="宋体" w:hAnsi="宋体" w:eastAsia="宋体"/>
                <w:sz w:val="21"/>
                <w:szCs w:val="21"/>
              </w:rPr>
            </w:pPr>
            <w:r>
              <w:rPr>
                <w:rFonts w:hint="eastAsia" w:ascii="宋体" w:hAnsi="宋体" w:eastAsia="宋体"/>
                <w:sz w:val="21"/>
                <w:szCs w:val="21"/>
              </w:rPr>
              <w:t>李镭、陈星宇、郭守嘉、潘浩然、朱仲源</w:t>
            </w:r>
          </w:p>
        </w:tc>
        <w:tc>
          <w:tcPr>
            <w:tcW w:w="1660" w:type="dxa"/>
          </w:tcPr>
          <w:p w14:paraId="59FC051A">
            <w:pPr>
              <w:spacing w:after="0" w:line="520" w:lineRule="exact"/>
              <w:rPr>
                <w:rFonts w:hint="eastAsia" w:ascii="宋体" w:hAnsi="宋体" w:eastAsia="宋体"/>
                <w:sz w:val="21"/>
                <w:szCs w:val="21"/>
              </w:rPr>
            </w:pPr>
            <w:r>
              <w:rPr>
                <w:rFonts w:hint="eastAsia" w:ascii="宋体" w:hAnsi="宋体" w:eastAsia="宋体"/>
                <w:sz w:val="21"/>
                <w:szCs w:val="21"/>
              </w:rPr>
              <w:t>数据类</w:t>
            </w:r>
          </w:p>
        </w:tc>
      </w:tr>
      <w:tr w14:paraId="59FC0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9FC051C">
            <w:pPr>
              <w:spacing w:after="0" w:line="520" w:lineRule="exact"/>
              <w:rPr>
                <w:rFonts w:hint="eastAsia" w:ascii="宋体" w:hAnsi="宋体" w:eastAsia="宋体"/>
                <w:sz w:val="28"/>
                <w:szCs w:val="28"/>
              </w:rPr>
            </w:pPr>
            <w:r>
              <w:rPr>
                <w:rFonts w:ascii="宋体" w:hAnsi="宋体" w:eastAsia="宋体"/>
                <w:sz w:val="28"/>
                <w:szCs w:val="28"/>
              </w:rPr>
              <w:t>4</w:t>
            </w:r>
          </w:p>
        </w:tc>
        <w:tc>
          <w:tcPr>
            <w:tcW w:w="1659" w:type="dxa"/>
          </w:tcPr>
          <w:p w14:paraId="59FC051D">
            <w:pPr>
              <w:spacing w:after="0" w:line="520" w:lineRule="exact"/>
              <w:rPr>
                <w:rFonts w:hint="eastAsia" w:ascii="宋体" w:hAnsi="宋体" w:eastAsia="宋体"/>
                <w:sz w:val="21"/>
                <w:szCs w:val="21"/>
              </w:rPr>
            </w:pPr>
            <w:r>
              <w:rPr>
                <w:rFonts w:hint="eastAsia" w:ascii="宋体" w:hAnsi="宋体" w:eastAsia="宋体"/>
                <w:sz w:val="21"/>
                <w:szCs w:val="21"/>
              </w:rPr>
              <w:t>非平衡态等离子体系统的汤姆逊散射模型</w:t>
            </w:r>
          </w:p>
        </w:tc>
        <w:tc>
          <w:tcPr>
            <w:tcW w:w="1659" w:type="dxa"/>
          </w:tcPr>
          <w:p w14:paraId="59FC051E">
            <w:pPr>
              <w:spacing w:after="0" w:line="520" w:lineRule="exact"/>
              <w:rPr>
                <w:rFonts w:hint="eastAsia" w:ascii="宋体" w:hAnsi="宋体" w:eastAsia="宋体"/>
                <w:sz w:val="21"/>
                <w:szCs w:val="21"/>
              </w:rPr>
            </w:pPr>
            <w:r>
              <w:rPr>
                <w:rFonts w:hint="eastAsia" w:ascii="宋体" w:hAnsi="宋体" w:eastAsia="宋体"/>
                <w:sz w:val="21"/>
                <w:szCs w:val="21"/>
              </w:rPr>
              <w:t>不预设电子速度分布函数形态，亦可从汤姆逊散射光谱反演求解出所对应的电子速度分布函数</w:t>
            </w:r>
          </w:p>
        </w:tc>
        <w:tc>
          <w:tcPr>
            <w:tcW w:w="1659" w:type="dxa"/>
          </w:tcPr>
          <w:p w14:paraId="59FC051F">
            <w:pPr>
              <w:spacing w:after="0" w:line="520" w:lineRule="exact"/>
              <w:rPr>
                <w:rFonts w:hint="eastAsia" w:ascii="宋体" w:hAnsi="宋体" w:eastAsia="宋体"/>
                <w:sz w:val="21"/>
                <w:szCs w:val="21"/>
              </w:rPr>
            </w:pPr>
            <w:r>
              <w:rPr>
                <w:rFonts w:hint="eastAsia" w:ascii="宋体" w:hAnsi="宋体" w:eastAsia="宋体"/>
                <w:sz w:val="21"/>
                <w:szCs w:val="21"/>
              </w:rPr>
              <w:t>程先涛、汪华洋、王峥、王逸伦、翁苏明</w:t>
            </w:r>
          </w:p>
        </w:tc>
        <w:tc>
          <w:tcPr>
            <w:tcW w:w="1660" w:type="dxa"/>
          </w:tcPr>
          <w:p w14:paraId="59FC0520">
            <w:pPr>
              <w:spacing w:after="0" w:line="520" w:lineRule="exact"/>
              <w:rPr>
                <w:rFonts w:hint="eastAsia" w:ascii="宋体" w:hAnsi="宋体" w:eastAsia="宋体"/>
                <w:sz w:val="21"/>
                <w:szCs w:val="21"/>
              </w:rPr>
            </w:pPr>
            <w:r>
              <w:rPr>
                <w:rFonts w:hint="eastAsia" w:ascii="宋体" w:hAnsi="宋体" w:eastAsia="宋体"/>
                <w:sz w:val="21"/>
                <w:szCs w:val="21"/>
              </w:rPr>
              <w:t>模型类</w:t>
            </w:r>
          </w:p>
        </w:tc>
      </w:tr>
      <w:tr w14:paraId="59FC0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9FC0522">
            <w:pPr>
              <w:spacing w:after="0" w:line="520" w:lineRule="exact"/>
              <w:rPr>
                <w:rFonts w:hint="eastAsia" w:ascii="宋体" w:hAnsi="宋体" w:eastAsia="宋体"/>
                <w:sz w:val="28"/>
                <w:szCs w:val="28"/>
              </w:rPr>
            </w:pPr>
            <w:r>
              <w:rPr>
                <w:rFonts w:ascii="宋体" w:hAnsi="宋体" w:eastAsia="宋体"/>
                <w:sz w:val="28"/>
                <w:szCs w:val="28"/>
              </w:rPr>
              <w:t>5</w:t>
            </w:r>
          </w:p>
        </w:tc>
        <w:tc>
          <w:tcPr>
            <w:tcW w:w="1659" w:type="dxa"/>
          </w:tcPr>
          <w:p w14:paraId="59FC0523">
            <w:pPr>
              <w:spacing w:after="0" w:line="520" w:lineRule="exact"/>
              <w:rPr>
                <w:rFonts w:hint="eastAsia" w:ascii="宋体" w:hAnsi="宋体" w:eastAsia="宋体"/>
                <w:sz w:val="21"/>
                <w:szCs w:val="21"/>
              </w:rPr>
            </w:pPr>
            <w:r>
              <w:rPr>
                <w:rFonts w:hint="eastAsia" w:ascii="宋体" w:hAnsi="宋体" w:eastAsia="宋体"/>
                <w:sz w:val="21"/>
                <w:szCs w:val="21"/>
              </w:rPr>
              <w:t>面向非平衡态等离子体系统的汤姆逊散射诊断技术</w:t>
            </w:r>
          </w:p>
        </w:tc>
        <w:tc>
          <w:tcPr>
            <w:tcW w:w="1659" w:type="dxa"/>
          </w:tcPr>
          <w:p w14:paraId="59FC0524">
            <w:pPr>
              <w:spacing w:after="0" w:line="520" w:lineRule="exact"/>
              <w:rPr>
                <w:rFonts w:hint="eastAsia" w:ascii="宋体" w:hAnsi="宋体" w:eastAsia="宋体"/>
                <w:sz w:val="21"/>
                <w:szCs w:val="21"/>
              </w:rPr>
            </w:pPr>
            <w:r>
              <w:rPr>
                <w:rFonts w:hint="eastAsia" w:ascii="宋体" w:hAnsi="宋体" w:eastAsia="宋体"/>
                <w:sz w:val="21"/>
                <w:szCs w:val="21"/>
              </w:rPr>
              <w:t>可对超高斯电子速度分布及</w:t>
            </w:r>
            <w:r>
              <w:rPr>
                <w:rFonts w:ascii="宋体" w:hAnsi="宋体" w:eastAsia="宋体"/>
                <w:sz w:val="21"/>
                <w:szCs w:val="21"/>
              </w:rPr>
              <w:t>超热电子</w:t>
            </w:r>
            <w:r>
              <w:rPr>
                <w:rFonts w:hint="eastAsia" w:ascii="宋体" w:hAnsi="宋体" w:eastAsia="宋体"/>
                <w:sz w:val="21"/>
                <w:szCs w:val="21"/>
              </w:rPr>
              <w:t>分布进行诊断分析的汤姆逊散射诊断技术</w:t>
            </w:r>
          </w:p>
        </w:tc>
        <w:tc>
          <w:tcPr>
            <w:tcW w:w="1659" w:type="dxa"/>
          </w:tcPr>
          <w:p w14:paraId="59FC0525">
            <w:pPr>
              <w:spacing w:after="0" w:line="520" w:lineRule="exact"/>
              <w:rPr>
                <w:rFonts w:hint="eastAsia" w:ascii="宋体" w:hAnsi="宋体" w:eastAsia="宋体"/>
                <w:sz w:val="21"/>
                <w:szCs w:val="21"/>
              </w:rPr>
            </w:pPr>
            <w:r>
              <w:rPr>
                <w:rFonts w:hint="eastAsia" w:ascii="宋体" w:hAnsi="宋体" w:eastAsia="宋体"/>
                <w:sz w:val="21"/>
                <w:szCs w:val="21"/>
              </w:rPr>
              <w:t>程先涛、汪华洋、王峥、王逸伦、翁苏明</w:t>
            </w:r>
          </w:p>
        </w:tc>
        <w:tc>
          <w:tcPr>
            <w:tcW w:w="1660" w:type="dxa"/>
          </w:tcPr>
          <w:p w14:paraId="59FC0526">
            <w:pPr>
              <w:spacing w:after="0" w:line="520" w:lineRule="exact"/>
              <w:rPr>
                <w:rFonts w:hint="eastAsia" w:ascii="宋体" w:hAnsi="宋体" w:eastAsia="宋体"/>
                <w:sz w:val="21"/>
                <w:szCs w:val="21"/>
              </w:rPr>
            </w:pPr>
            <w:r>
              <w:rPr>
                <w:rFonts w:hint="eastAsia" w:ascii="宋体" w:hAnsi="宋体" w:eastAsia="宋体"/>
                <w:sz w:val="21"/>
                <w:szCs w:val="21"/>
              </w:rPr>
              <w:t>技术类</w:t>
            </w:r>
          </w:p>
        </w:tc>
      </w:tr>
      <w:tr w14:paraId="59FC0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5"/>
          </w:tcPr>
          <w:p w14:paraId="59FC0528">
            <w:pPr>
              <w:spacing w:line="240" w:lineRule="auto"/>
              <w:rPr>
                <w:rFonts w:hint="eastAsia" w:ascii="宋体" w:hAnsi="宋体" w:eastAsia="宋体"/>
                <w:sz w:val="21"/>
                <w:szCs w:val="21"/>
              </w:rPr>
            </w:pPr>
            <w:r>
              <w:rPr>
                <w:rFonts w:ascii="宋体" w:hAnsi="宋体" w:eastAsia="宋体"/>
                <w:b/>
                <w:bCs/>
                <w:sz w:val="21"/>
                <w:szCs w:val="21"/>
              </w:rPr>
              <w:t>说明：</w:t>
            </w:r>
          </w:p>
          <w:p w14:paraId="59FC0529">
            <w:pPr>
              <w:spacing w:line="240" w:lineRule="auto"/>
              <w:rPr>
                <w:rFonts w:hint="eastAsia" w:ascii="宋体" w:hAnsi="宋体" w:eastAsia="宋体"/>
                <w:sz w:val="21"/>
                <w:szCs w:val="21"/>
              </w:rPr>
            </w:pPr>
            <w:r>
              <w:rPr>
                <w:rFonts w:hint="eastAsia" w:ascii="宋体" w:hAnsi="宋体" w:eastAsia="宋体"/>
                <w:sz w:val="21"/>
                <w:szCs w:val="21"/>
              </w:rPr>
              <w:t>1.</w:t>
            </w:r>
            <w:r>
              <w:rPr>
                <w:rFonts w:ascii="宋体" w:hAnsi="宋体" w:eastAsia="宋体"/>
                <w:sz w:val="21"/>
                <w:szCs w:val="21"/>
              </w:rPr>
              <w:t>列入本表的成果需经项目主承研单位确认，且相关支撑文件资料需按要求完成归档工作；</w:t>
            </w:r>
          </w:p>
          <w:p w14:paraId="59FC052A">
            <w:pPr>
              <w:spacing w:line="240" w:lineRule="auto"/>
              <w:rPr>
                <w:rFonts w:hint="eastAsia" w:ascii="宋体" w:hAnsi="宋体" w:eastAsia="宋体"/>
                <w:sz w:val="21"/>
                <w:szCs w:val="21"/>
              </w:rPr>
            </w:pPr>
            <w:r>
              <w:rPr>
                <w:rFonts w:hint="eastAsia" w:ascii="宋体" w:hAnsi="宋体" w:eastAsia="宋体"/>
                <w:sz w:val="21"/>
                <w:szCs w:val="21"/>
              </w:rPr>
              <w:t>2.</w:t>
            </w:r>
            <w:r>
              <w:rPr>
                <w:rFonts w:ascii="宋体" w:hAnsi="宋体" w:eastAsia="宋体"/>
                <w:sz w:val="21"/>
                <w:szCs w:val="21"/>
              </w:rPr>
              <w:t>每个单位的主要完成人不超过 5 人；</w:t>
            </w:r>
          </w:p>
          <w:p w14:paraId="59FC052B">
            <w:pPr>
              <w:spacing w:line="240" w:lineRule="auto"/>
              <w:rPr>
                <w:rFonts w:hint="eastAsia" w:ascii="宋体" w:hAnsi="宋体" w:eastAsia="宋体"/>
                <w:sz w:val="28"/>
                <w:szCs w:val="28"/>
              </w:rPr>
            </w:pPr>
            <w:r>
              <w:rPr>
                <w:rFonts w:hint="eastAsia" w:ascii="宋体" w:hAnsi="宋体" w:eastAsia="宋体"/>
                <w:sz w:val="21"/>
                <w:szCs w:val="21"/>
              </w:rPr>
              <w:t>3.</w:t>
            </w:r>
            <w:r>
              <w:rPr>
                <w:rFonts w:ascii="宋体" w:hAnsi="宋体" w:eastAsia="宋体"/>
                <w:sz w:val="21"/>
                <w:szCs w:val="21"/>
              </w:rPr>
              <w:t>成果类型填写数据类、模型类、技术类、软件类、样机类。</w:t>
            </w:r>
          </w:p>
        </w:tc>
      </w:tr>
    </w:tbl>
    <w:p w14:paraId="59FC052D">
      <w:pPr>
        <w:spacing w:line="520" w:lineRule="exact"/>
        <w:rPr>
          <w:rFonts w:hint="eastAsia" w:ascii="宋体" w:hAnsi="宋体" w:eastAsia="宋体"/>
          <w:b/>
          <w:bCs/>
          <w:sz w:val="28"/>
          <w:szCs w:val="28"/>
        </w:rPr>
      </w:pPr>
    </w:p>
    <w:p w14:paraId="59FC052E">
      <w:pPr>
        <w:spacing w:line="520" w:lineRule="exact"/>
        <w:rPr>
          <w:rFonts w:hint="eastAsia" w:ascii="宋体" w:hAnsi="宋体" w:eastAsia="宋体"/>
          <w:b/>
          <w:bCs/>
          <w:sz w:val="28"/>
          <w:szCs w:val="28"/>
        </w:rPr>
      </w:pPr>
      <w:r>
        <w:rPr>
          <w:rFonts w:hint="eastAsia" w:ascii="宋体" w:hAnsi="宋体" w:eastAsia="宋体"/>
          <w:b/>
          <w:bCs/>
          <w:sz w:val="28"/>
          <w:szCs w:val="28"/>
        </w:rPr>
        <w:t>附</w:t>
      </w:r>
      <w:r>
        <w:rPr>
          <w:rFonts w:ascii="宋体" w:hAnsi="宋体" w:eastAsia="宋体"/>
          <w:b/>
          <w:bCs/>
          <w:sz w:val="28"/>
          <w:szCs w:val="28"/>
        </w:rPr>
        <w:t xml:space="preserve">表 </w:t>
      </w:r>
      <w:r>
        <w:rPr>
          <w:rFonts w:hint="eastAsia" w:ascii="宋体" w:hAnsi="宋体" w:eastAsia="宋体"/>
          <w:b/>
          <w:bCs/>
          <w:sz w:val="28"/>
          <w:szCs w:val="28"/>
        </w:rPr>
        <w:t>2：</w:t>
      </w:r>
      <w:r>
        <w:rPr>
          <w:rFonts w:ascii="宋体" w:hAnsi="宋体" w:eastAsia="宋体"/>
          <w:b/>
          <w:bCs/>
          <w:sz w:val="28"/>
          <w:szCs w:val="28"/>
        </w:rPr>
        <w:t>学术成果清单</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14:paraId="59FC0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vAlign w:val="center"/>
          </w:tcPr>
          <w:p w14:paraId="59FC052F">
            <w:pPr>
              <w:spacing w:after="0" w:line="240" w:lineRule="auto"/>
              <w:jc w:val="center"/>
              <w:rPr>
                <w:rFonts w:hint="eastAsia" w:ascii="宋体" w:hAnsi="宋体" w:eastAsia="宋体"/>
                <w:b/>
                <w:bCs/>
                <w:sz w:val="21"/>
                <w:szCs w:val="21"/>
              </w:rPr>
            </w:pPr>
            <w:r>
              <w:rPr>
                <w:rFonts w:hint="eastAsia" w:ascii="宋体" w:hAnsi="宋体" w:eastAsia="宋体"/>
                <w:b/>
                <w:bCs/>
                <w:sz w:val="21"/>
                <w:szCs w:val="21"/>
              </w:rPr>
              <w:t>序号</w:t>
            </w:r>
          </w:p>
        </w:tc>
        <w:tc>
          <w:tcPr>
            <w:tcW w:w="1659" w:type="dxa"/>
            <w:vAlign w:val="center"/>
          </w:tcPr>
          <w:p w14:paraId="59FC0530">
            <w:pPr>
              <w:spacing w:after="0" w:line="240" w:lineRule="auto"/>
              <w:jc w:val="center"/>
              <w:rPr>
                <w:rFonts w:hint="eastAsia" w:ascii="宋体" w:hAnsi="宋体" w:eastAsia="宋体"/>
                <w:b/>
                <w:bCs/>
                <w:sz w:val="21"/>
                <w:szCs w:val="21"/>
              </w:rPr>
            </w:pPr>
            <w:r>
              <w:rPr>
                <w:rFonts w:hint="eastAsia" w:ascii="宋体" w:hAnsi="宋体" w:eastAsia="宋体"/>
                <w:b/>
                <w:bCs/>
                <w:sz w:val="21"/>
                <w:szCs w:val="21"/>
              </w:rPr>
              <w:t>成果名称</w:t>
            </w:r>
          </w:p>
        </w:tc>
        <w:tc>
          <w:tcPr>
            <w:tcW w:w="1659" w:type="dxa"/>
            <w:vAlign w:val="center"/>
          </w:tcPr>
          <w:p w14:paraId="59FC0531">
            <w:pPr>
              <w:spacing w:after="0" w:line="240" w:lineRule="auto"/>
              <w:jc w:val="center"/>
              <w:rPr>
                <w:rFonts w:hint="eastAsia" w:ascii="宋体" w:hAnsi="宋体" w:eastAsia="宋体"/>
                <w:b/>
                <w:bCs/>
                <w:sz w:val="21"/>
                <w:szCs w:val="21"/>
              </w:rPr>
            </w:pPr>
            <w:r>
              <w:rPr>
                <w:rFonts w:hint="eastAsia" w:ascii="宋体" w:hAnsi="宋体" w:eastAsia="宋体"/>
                <w:b/>
                <w:bCs/>
                <w:sz w:val="21"/>
                <w:szCs w:val="21"/>
              </w:rPr>
              <w:t>成果编号</w:t>
            </w:r>
          </w:p>
        </w:tc>
        <w:tc>
          <w:tcPr>
            <w:tcW w:w="1659" w:type="dxa"/>
            <w:vAlign w:val="center"/>
          </w:tcPr>
          <w:p w14:paraId="59FC0532">
            <w:pPr>
              <w:spacing w:after="0" w:line="240" w:lineRule="auto"/>
              <w:jc w:val="center"/>
              <w:rPr>
                <w:rFonts w:hint="eastAsia" w:ascii="宋体" w:hAnsi="宋体" w:eastAsia="宋体"/>
                <w:b/>
                <w:bCs/>
                <w:sz w:val="21"/>
                <w:szCs w:val="21"/>
              </w:rPr>
            </w:pPr>
            <w:r>
              <w:rPr>
                <w:rFonts w:hint="eastAsia" w:ascii="宋体" w:hAnsi="宋体" w:eastAsia="宋体"/>
                <w:b/>
                <w:bCs/>
                <w:sz w:val="21"/>
                <w:szCs w:val="21"/>
              </w:rPr>
              <w:t>单位（第 1 完成人）</w:t>
            </w:r>
          </w:p>
        </w:tc>
        <w:tc>
          <w:tcPr>
            <w:tcW w:w="1660" w:type="dxa"/>
            <w:vAlign w:val="center"/>
          </w:tcPr>
          <w:p w14:paraId="59FC0533">
            <w:pPr>
              <w:spacing w:after="0" w:line="240" w:lineRule="auto"/>
              <w:jc w:val="center"/>
              <w:rPr>
                <w:rFonts w:hint="eastAsia" w:ascii="宋体" w:hAnsi="宋体" w:eastAsia="宋体"/>
                <w:b/>
                <w:bCs/>
                <w:sz w:val="21"/>
                <w:szCs w:val="21"/>
              </w:rPr>
            </w:pPr>
            <w:r>
              <w:rPr>
                <w:rFonts w:hint="eastAsia" w:ascii="宋体" w:hAnsi="宋体" w:eastAsia="宋体"/>
                <w:b/>
                <w:bCs/>
                <w:sz w:val="21"/>
                <w:szCs w:val="21"/>
              </w:rPr>
              <w:t>成果类型</w:t>
            </w:r>
          </w:p>
        </w:tc>
      </w:tr>
      <w:tr w14:paraId="59FC0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9FC0535">
            <w:pPr>
              <w:spacing w:after="0" w:line="520" w:lineRule="exact"/>
              <w:rPr>
                <w:rFonts w:ascii="Times New Roman" w:hAnsi="Times New Roman" w:eastAsia="宋体" w:cs="Times New Roman"/>
                <w:sz w:val="21"/>
                <w:szCs w:val="21"/>
              </w:rPr>
            </w:pPr>
            <w:r>
              <w:rPr>
                <w:rFonts w:ascii="Times New Roman" w:hAnsi="Times New Roman" w:eastAsia="宋体" w:cs="Times New Roman"/>
                <w:sz w:val="21"/>
                <w:szCs w:val="21"/>
              </w:rPr>
              <w:t>1</w:t>
            </w:r>
          </w:p>
        </w:tc>
        <w:tc>
          <w:tcPr>
            <w:tcW w:w="1659" w:type="dxa"/>
          </w:tcPr>
          <w:p w14:paraId="59FC0536">
            <w:pPr>
              <w:spacing w:after="0" w:line="240" w:lineRule="auto"/>
              <w:rPr>
                <w:rFonts w:ascii="Times New Roman" w:hAnsi="Times New Roman" w:eastAsia="宋体" w:cs="Times New Roman"/>
                <w:sz w:val="21"/>
                <w:szCs w:val="21"/>
              </w:rPr>
            </w:pPr>
            <w:r>
              <w:rPr>
                <w:rFonts w:ascii="Times New Roman" w:hAnsi="Times New Roman" w:eastAsia="宋体" w:cs="Times New Roman"/>
                <w:sz w:val="21"/>
                <w:szCs w:val="21"/>
              </w:rPr>
              <w:t xml:space="preserve">Kinetic simulation of laser plasma instabilities including collisional effects on sub-nanosecond timescales </w:t>
            </w:r>
          </w:p>
        </w:tc>
        <w:tc>
          <w:tcPr>
            <w:tcW w:w="1659" w:type="dxa"/>
          </w:tcPr>
          <w:p w14:paraId="59FC0537">
            <w:pPr>
              <w:spacing w:after="0" w:line="520" w:lineRule="exact"/>
              <w:rPr>
                <w:rFonts w:ascii="Times New Roman" w:hAnsi="Times New Roman" w:eastAsia="宋体" w:cs="Times New Roman"/>
                <w:sz w:val="21"/>
                <w:szCs w:val="21"/>
              </w:rPr>
            </w:pPr>
            <w:r>
              <w:rPr>
                <w:rFonts w:ascii="Times New Roman" w:hAnsi="Times New Roman" w:eastAsia="宋体" w:cs="Times New Roman"/>
                <w:sz w:val="21"/>
                <w:szCs w:val="21"/>
              </w:rPr>
              <w:t xml:space="preserve">Plasma Phys. Control. Fusion </w:t>
            </w:r>
            <w:r>
              <w:rPr>
                <w:rFonts w:ascii="Times New Roman" w:hAnsi="Times New Roman" w:eastAsia="宋体" w:cs="Times New Roman"/>
                <w:b/>
                <w:bCs/>
                <w:sz w:val="21"/>
                <w:szCs w:val="21"/>
              </w:rPr>
              <w:t>68</w:t>
            </w:r>
            <w:r>
              <w:rPr>
                <w:rFonts w:ascii="Times New Roman" w:hAnsi="Times New Roman" w:eastAsia="宋体" w:cs="Times New Roman"/>
                <w:sz w:val="21"/>
                <w:szCs w:val="21"/>
              </w:rPr>
              <w:t>, 035025 (2026)</w:t>
            </w:r>
          </w:p>
        </w:tc>
        <w:tc>
          <w:tcPr>
            <w:tcW w:w="1659" w:type="dxa"/>
          </w:tcPr>
          <w:p w14:paraId="59FC0538">
            <w:pPr>
              <w:spacing w:after="0" w:line="520" w:lineRule="exact"/>
              <w:rPr>
                <w:rFonts w:ascii="Times New Roman" w:hAnsi="Times New Roman" w:eastAsia="宋体" w:cs="Times New Roman"/>
                <w:sz w:val="21"/>
                <w:szCs w:val="21"/>
              </w:rPr>
            </w:pPr>
            <w:r>
              <w:rPr>
                <w:rFonts w:ascii="Times New Roman" w:hAnsi="Times New Roman" w:eastAsia="宋体" w:cs="Times New Roman"/>
                <w:sz w:val="21"/>
                <w:szCs w:val="21"/>
              </w:rPr>
              <w:t>上海交通大学（李镭）</w:t>
            </w:r>
          </w:p>
        </w:tc>
        <w:tc>
          <w:tcPr>
            <w:tcW w:w="1660" w:type="dxa"/>
          </w:tcPr>
          <w:p w14:paraId="59FC0539">
            <w:pPr>
              <w:spacing w:after="0" w:line="520" w:lineRule="exact"/>
              <w:rPr>
                <w:rFonts w:ascii="Times New Roman" w:hAnsi="Times New Roman" w:eastAsia="宋体" w:cs="Times New Roman"/>
                <w:sz w:val="21"/>
                <w:szCs w:val="21"/>
              </w:rPr>
            </w:pPr>
            <w:r>
              <w:rPr>
                <w:rFonts w:ascii="Times New Roman" w:hAnsi="Times New Roman" w:eastAsia="宋体" w:cs="Times New Roman"/>
                <w:sz w:val="21"/>
                <w:szCs w:val="21"/>
              </w:rPr>
              <w:t>学术论文</w:t>
            </w:r>
          </w:p>
        </w:tc>
      </w:tr>
      <w:tr w14:paraId="59FC0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9FC053B">
            <w:pPr>
              <w:spacing w:after="0" w:line="520" w:lineRule="exact"/>
              <w:rPr>
                <w:rFonts w:ascii="Times New Roman" w:hAnsi="Times New Roman" w:eastAsia="宋体" w:cs="Times New Roman"/>
                <w:sz w:val="21"/>
                <w:szCs w:val="21"/>
              </w:rPr>
            </w:pPr>
            <w:r>
              <w:rPr>
                <w:rFonts w:ascii="Times New Roman" w:hAnsi="Times New Roman" w:eastAsia="宋体" w:cs="Times New Roman"/>
                <w:sz w:val="21"/>
                <w:szCs w:val="21"/>
              </w:rPr>
              <w:t>2</w:t>
            </w:r>
          </w:p>
        </w:tc>
        <w:tc>
          <w:tcPr>
            <w:tcW w:w="1659" w:type="dxa"/>
          </w:tcPr>
          <w:p w14:paraId="59FC053C">
            <w:pPr>
              <w:spacing w:after="0" w:line="240" w:lineRule="auto"/>
              <w:rPr>
                <w:rFonts w:ascii="Times New Roman" w:hAnsi="Times New Roman" w:eastAsia="宋体" w:cs="Times New Roman"/>
                <w:sz w:val="21"/>
                <w:szCs w:val="21"/>
              </w:rPr>
            </w:pPr>
            <w:r>
              <w:rPr>
                <w:rFonts w:ascii="Times New Roman" w:hAnsi="Times New Roman" w:eastAsia="宋体" w:cs="Times New Roman"/>
                <w:sz w:val="21"/>
                <w:szCs w:val="21"/>
              </w:rPr>
              <w:t xml:space="preserve">High-power, low-coherence laser pulse generation via plasma-based optical modulation </w:t>
            </w:r>
          </w:p>
        </w:tc>
        <w:tc>
          <w:tcPr>
            <w:tcW w:w="1659" w:type="dxa"/>
          </w:tcPr>
          <w:p w14:paraId="59FC053D">
            <w:pPr>
              <w:spacing w:after="0" w:line="520" w:lineRule="exact"/>
              <w:rPr>
                <w:rFonts w:ascii="Times New Roman" w:hAnsi="Times New Roman" w:eastAsia="宋体" w:cs="Times New Roman"/>
                <w:sz w:val="21"/>
                <w:szCs w:val="21"/>
              </w:rPr>
            </w:pPr>
            <w:r>
              <w:rPr>
                <w:rFonts w:ascii="Times New Roman" w:hAnsi="Times New Roman" w:eastAsia="宋体" w:cs="Times New Roman"/>
                <w:sz w:val="21"/>
                <w:szCs w:val="21"/>
              </w:rPr>
              <w:t xml:space="preserve">Matter Radiat. Extremes </w:t>
            </w:r>
            <w:r>
              <w:rPr>
                <w:rFonts w:ascii="Times New Roman" w:hAnsi="Times New Roman" w:eastAsia="宋体" w:cs="Times New Roman"/>
                <w:b/>
                <w:bCs/>
                <w:sz w:val="21"/>
                <w:szCs w:val="21"/>
              </w:rPr>
              <w:t>11</w:t>
            </w:r>
            <w:r>
              <w:rPr>
                <w:rFonts w:ascii="Times New Roman" w:hAnsi="Times New Roman" w:eastAsia="宋体" w:cs="Times New Roman"/>
                <w:sz w:val="21"/>
                <w:szCs w:val="21"/>
              </w:rPr>
              <w:t>, 047401 (2026)</w:t>
            </w:r>
          </w:p>
        </w:tc>
        <w:tc>
          <w:tcPr>
            <w:tcW w:w="1659" w:type="dxa"/>
          </w:tcPr>
          <w:p w14:paraId="59FC053E">
            <w:pPr>
              <w:spacing w:after="0" w:line="520" w:lineRule="exact"/>
              <w:rPr>
                <w:rFonts w:ascii="Times New Roman" w:hAnsi="Times New Roman" w:eastAsia="宋体" w:cs="Times New Roman"/>
                <w:sz w:val="21"/>
                <w:szCs w:val="21"/>
              </w:rPr>
            </w:pPr>
            <w:r>
              <w:rPr>
                <w:rFonts w:ascii="Times New Roman" w:hAnsi="Times New Roman" w:eastAsia="宋体" w:cs="Times New Roman"/>
                <w:sz w:val="21"/>
                <w:szCs w:val="21"/>
              </w:rPr>
              <w:t>上海交通大学（艾洪）</w:t>
            </w:r>
          </w:p>
        </w:tc>
        <w:tc>
          <w:tcPr>
            <w:tcW w:w="1660" w:type="dxa"/>
          </w:tcPr>
          <w:p w14:paraId="59FC053F">
            <w:pPr>
              <w:spacing w:after="0" w:line="520" w:lineRule="exact"/>
              <w:rPr>
                <w:rFonts w:ascii="Times New Roman" w:hAnsi="Times New Roman" w:eastAsia="宋体" w:cs="Times New Roman"/>
                <w:sz w:val="21"/>
                <w:szCs w:val="21"/>
              </w:rPr>
            </w:pPr>
            <w:r>
              <w:rPr>
                <w:rFonts w:ascii="Times New Roman" w:hAnsi="Times New Roman" w:eastAsia="宋体" w:cs="Times New Roman"/>
                <w:sz w:val="21"/>
                <w:szCs w:val="21"/>
              </w:rPr>
              <w:t>学术论文</w:t>
            </w:r>
          </w:p>
        </w:tc>
      </w:tr>
      <w:tr w14:paraId="59FC0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9FC0541">
            <w:pPr>
              <w:spacing w:after="0" w:line="520" w:lineRule="exact"/>
              <w:rPr>
                <w:rFonts w:hint="eastAsia" w:ascii="宋体" w:hAnsi="宋体" w:eastAsia="宋体"/>
                <w:sz w:val="28"/>
                <w:szCs w:val="28"/>
              </w:rPr>
            </w:pPr>
          </w:p>
        </w:tc>
        <w:tc>
          <w:tcPr>
            <w:tcW w:w="1659" w:type="dxa"/>
          </w:tcPr>
          <w:p w14:paraId="59FC0542">
            <w:pPr>
              <w:spacing w:after="0" w:line="520" w:lineRule="exact"/>
              <w:rPr>
                <w:rFonts w:hint="eastAsia" w:ascii="宋体" w:hAnsi="宋体" w:eastAsia="宋体"/>
                <w:sz w:val="28"/>
                <w:szCs w:val="28"/>
              </w:rPr>
            </w:pPr>
          </w:p>
        </w:tc>
        <w:tc>
          <w:tcPr>
            <w:tcW w:w="1659" w:type="dxa"/>
          </w:tcPr>
          <w:p w14:paraId="59FC0543">
            <w:pPr>
              <w:spacing w:after="0" w:line="520" w:lineRule="exact"/>
              <w:rPr>
                <w:rFonts w:hint="eastAsia" w:ascii="宋体" w:hAnsi="宋体" w:eastAsia="宋体"/>
                <w:sz w:val="28"/>
                <w:szCs w:val="28"/>
              </w:rPr>
            </w:pPr>
          </w:p>
        </w:tc>
        <w:tc>
          <w:tcPr>
            <w:tcW w:w="1659" w:type="dxa"/>
          </w:tcPr>
          <w:p w14:paraId="59FC0544">
            <w:pPr>
              <w:spacing w:after="0" w:line="520" w:lineRule="exact"/>
              <w:rPr>
                <w:rFonts w:hint="eastAsia" w:ascii="宋体" w:hAnsi="宋体" w:eastAsia="宋体"/>
                <w:sz w:val="28"/>
                <w:szCs w:val="28"/>
              </w:rPr>
            </w:pPr>
          </w:p>
        </w:tc>
        <w:tc>
          <w:tcPr>
            <w:tcW w:w="1660" w:type="dxa"/>
          </w:tcPr>
          <w:p w14:paraId="59FC0545">
            <w:pPr>
              <w:spacing w:after="0" w:line="520" w:lineRule="exact"/>
              <w:rPr>
                <w:rFonts w:hint="eastAsia" w:ascii="宋体" w:hAnsi="宋体" w:eastAsia="宋体"/>
                <w:sz w:val="28"/>
                <w:szCs w:val="28"/>
              </w:rPr>
            </w:pPr>
          </w:p>
        </w:tc>
      </w:tr>
      <w:tr w14:paraId="59FC0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5"/>
          </w:tcPr>
          <w:p w14:paraId="59FC0547">
            <w:pPr>
              <w:spacing w:line="240" w:lineRule="auto"/>
              <w:rPr>
                <w:rFonts w:hint="eastAsia" w:ascii="宋体" w:hAnsi="宋体" w:eastAsia="宋体"/>
                <w:sz w:val="21"/>
                <w:szCs w:val="21"/>
              </w:rPr>
            </w:pPr>
            <w:r>
              <w:rPr>
                <w:rFonts w:ascii="宋体" w:hAnsi="宋体" w:eastAsia="宋体"/>
                <w:b/>
                <w:bCs/>
                <w:sz w:val="21"/>
                <w:szCs w:val="21"/>
              </w:rPr>
              <w:t>说明：</w:t>
            </w:r>
          </w:p>
          <w:p w14:paraId="59FC0548">
            <w:pPr>
              <w:spacing w:line="240" w:lineRule="auto"/>
              <w:rPr>
                <w:rFonts w:hint="eastAsia" w:ascii="宋体" w:hAnsi="宋体" w:eastAsia="宋体"/>
                <w:sz w:val="21"/>
                <w:szCs w:val="21"/>
              </w:rPr>
            </w:pPr>
            <w:r>
              <w:rPr>
                <w:rFonts w:hint="eastAsia" w:ascii="宋体" w:hAnsi="宋体" w:eastAsia="宋体"/>
                <w:sz w:val="21"/>
                <w:szCs w:val="21"/>
              </w:rPr>
              <w:t>1.列入本表的成果需经项目主承研单位确认，且相关支撑文件资料需按要求完成归档工作；</w:t>
            </w:r>
          </w:p>
          <w:p w14:paraId="59FC0549">
            <w:pPr>
              <w:spacing w:line="240" w:lineRule="auto"/>
              <w:rPr>
                <w:rFonts w:hint="eastAsia" w:ascii="宋体" w:hAnsi="宋体" w:eastAsia="宋体"/>
                <w:sz w:val="21"/>
                <w:szCs w:val="21"/>
              </w:rPr>
            </w:pPr>
            <w:r>
              <w:rPr>
                <w:rFonts w:hint="eastAsia" w:ascii="宋体" w:hAnsi="宋体" w:eastAsia="宋体"/>
                <w:sz w:val="21"/>
                <w:szCs w:val="21"/>
              </w:rPr>
              <w:t>2.成果编号填写报告编号、专利登记号（申请号）、期刊及卷期号（需第 1 标注）等具有唯一标识的编号；</w:t>
            </w:r>
          </w:p>
          <w:p w14:paraId="59FC054A">
            <w:pPr>
              <w:spacing w:line="240" w:lineRule="auto"/>
              <w:rPr>
                <w:rFonts w:hint="eastAsia" w:ascii="宋体" w:hAnsi="宋体" w:eastAsia="宋体"/>
                <w:sz w:val="21"/>
                <w:szCs w:val="21"/>
              </w:rPr>
            </w:pPr>
            <w:r>
              <w:rPr>
                <w:rFonts w:hint="eastAsia" w:ascii="宋体" w:hAnsi="宋体" w:eastAsia="宋体"/>
                <w:sz w:val="21"/>
                <w:szCs w:val="21"/>
              </w:rPr>
              <w:t>3.成果类型填写学术论文、研究报告、国防科技报告、专利、专著等。</w:t>
            </w:r>
          </w:p>
        </w:tc>
      </w:tr>
    </w:tbl>
    <w:p w14:paraId="59FC054C">
      <w:pPr>
        <w:spacing w:line="520" w:lineRule="exact"/>
        <w:rPr>
          <w:rFonts w:hint="eastAsia" w:ascii="宋体" w:hAnsi="宋体" w:eastAsia="宋体"/>
          <w:sz w:val="28"/>
          <w:szCs w:val="28"/>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 w:name="KaTeX_Main">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0A15CD"/>
    <w:multiLevelType w:val="multilevel"/>
    <w:tmpl w:val="040A15CD"/>
    <w:lvl w:ilvl="0" w:tentative="0">
      <w:start w:val="1"/>
      <w:numFmt w:val="none"/>
      <w:suff w:val="nothing"/>
      <w:lvlText w:val="　"/>
      <w:lvlJc w:val="left"/>
      <w:pPr>
        <w:ind w:left="0" w:firstLine="0"/>
      </w:pPr>
      <w:rPr>
        <w:rFonts w:hint="eastAsia" w:ascii="黑体" w:hAnsi="Times New Roman" w:eastAsia="黑体"/>
        <w:b w:val="0"/>
        <w:i w:val="0"/>
        <w:sz w:val="21"/>
      </w:rPr>
    </w:lvl>
    <w:lvl w:ilvl="1" w:tentative="0">
      <w:start w:val="1"/>
      <w:numFmt w:val="decimal"/>
      <w:isLgl/>
      <w:suff w:val="nothing"/>
      <w:lvlText w:val="%2　"/>
      <w:lvlJc w:val="left"/>
      <w:pPr>
        <w:ind w:left="0" w:firstLine="0"/>
      </w:pPr>
      <w:rPr>
        <w:rFonts w:hint="eastAsia" w:ascii="黑体" w:hAnsi="Times New Roman" w:eastAsia="黑体"/>
        <w:b w:val="0"/>
        <w:i w:val="0"/>
        <w:snapToGrid/>
        <w:spacing w:val="0"/>
        <w:w w:val="100"/>
        <w:kern w:val="21"/>
        <w:sz w:val="21"/>
      </w:rPr>
    </w:lvl>
    <w:lvl w:ilvl="2" w:tentative="0">
      <w:start w:val="1"/>
      <w:numFmt w:val="decimal"/>
      <w:suff w:val="nothing"/>
      <w:lvlText w:val="%1%2.%3　"/>
      <w:lvlJc w:val="left"/>
      <w:pPr>
        <w:ind w:left="0" w:firstLine="0"/>
      </w:pPr>
      <w:rPr>
        <w:rFonts w:hint="default" w:ascii="Times New Roman" w:hAnsi="Times New Roman" w:eastAsia="黑体"/>
        <w:b w:val="0"/>
        <w:i w:val="0"/>
        <w:sz w:val="28"/>
        <w:szCs w:val="28"/>
      </w:rPr>
    </w:lvl>
    <w:lvl w:ilvl="3" w:tentative="0">
      <w:start w:val="1"/>
      <w:numFmt w:val="decimal"/>
      <w:suff w:val="nothing"/>
      <w:lvlText w:val="%1%2.%3.%4　"/>
      <w:lvlJc w:val="left"/>
      <w:pPr>
        <w:ind w:left="0"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
    <w:nsid w:val="19E21956"/>
    <w:multiLevelType w:val="multilevel"/>
    <w:tmpl w:val="19E21956"/>
    <w:lvl w:ilvl="0" w:tentative="0">
      <w:start w:val="1"/>
      <w:numFmt w:val="chineseCountingThousand"/>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1F3735C5"/>
    <w:multiLevelType w:val="multilevel"/>
    <w:tmpl w:val="1F3735C5"/>
    <w:lvl w:ilvl="0" w:tentative="0">
      <w:start w:val="1"/>
      <w:numFmt w:val="chineseCountingThousand"/>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23FB0A23"/>
    <w:multiLevelType w:val="multilevel"/>
    <w:tmpl w:val="23FB0A23"/>
    <w:lvl w:ilvl="0" w:tentative="0">
      <w:start w:val="1"/>
      <w:numFmt w:val="chineseCountingThousand"/>
      <w:lvlText w:val="(%1)"/>
      <w:lvlJc w:val="left"/>
      <w:pPr>
        <w:ind w:left="440" w:hanging="440"/>
      </w:pPr>
      <w:rPr>
        <w:rFonts w:ascii="楷体" w:hAnsi="楷体" w:eastAsia="楷体"/>
        <w:i w:val="0"/>
        <w:iCs w:val="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36CB3C92"/>
    <w:multiLevelType w:val="multilevel"/>
    <w:tmpl w:val="36CB3C92"/>
    <w:lvl w:ilvl="0" w:tentative="0">
      <w:start w:val="1"/>
      <w:numFmt w:val="chineseCountingThousand"/>
      <w:lvlText w:val="(%1)"/>
      <w:lvlJc w:val="left"/>
      <w:pPr>
        <w:ind w:left="440" w:hanging="440"/>
      </w:pPr>
      <w:rPr>
        <w:rFonts w:ascii="楷体" w:hAnsi="楷体" w:eastAsia="楷体"/>
        <w:i w:val="0"/>
        <w:iCs w:val="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3B3D4E67"/>
    <w:multiLevelType w:val="multilevel"/>
    <w:tmpl w:val="3B3D4E67"/>
    <w:lvl w:ilvl="0" w:tentative="0">
      <w:start w:val="1"/>
      <w:numFmt w:val="chineseCountingThousand"/>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424476BC"/>
    <w:multiLevelType w:val="multilevel"/>
    <w:tmpl w:val="424476BC"/>
    <w:lvl w:ilvl="0" w:tentative="0">
      <w:start w:val="1"/>
      <w:numFmt w:val="chineseCountingThousand"/>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557C2AF5"/>
    <w:multiLevelType w:val="multilevel"/>
    <w:tmpl w:val="557C2AF5"/>
    <w:lvl w:ilvl="0" w:tentative="0">
      <w:start w:val="1"/>
      <w:numFmt w:val="decimal"/>
      <w:pStyle w:val="45"/>
      <w:suff w:val="nothing"/>
      <w:lvlText w:val="图%1　"/>
      <w:lvlJc w:val="left"/>
      <w:pPr>
        <w:ind w:left="283" w:firstLine="0"/>
      </w:pPr>
      <w:rPr>
        <w:rFonts w:hint="default" w:ascii="黑体" w:hAnsi="Times New Roman" w:eastAsia="黑体"/>
        <w:b/>
        <w:bCs/>
        <w:i w:val="0"/>
        <w:color w:val="auto"/>
        <w:sz w:val="24"/>
        <w:szCs w:val="24"/>
        <w:u w:val="none"/>
      </w:rPr>
    </w:lvl>
    <w:lvl w:ilvl="1" w:tentative="0">
      <w:start w:val="1"/>
      <w:numFmt w:val="decimal"/>
      <w:suff w:val="nothing"/>
      <w:lvlText w:val="%1%2　"/>
      <w:lvlJc w:val="left"/>
      <w:pPr>
        <w:ind w:left="-1848" w:firstLine="0"/>
      </w:pPr>
      <w:rPr>
        <w:rFonts w:hint="default" w:ascii="Times New Roman" w:hAnsi="Times New Roman" w:eastAsia="黑体"/>
        <w:b w:val="0"/>
        <w:i w:val="0"/>
        <w:sz w:val="21"/>
      </w:rPr>
    </w:lvl>
    <w:lvl w:ilvl="2" w:tentative="0">
      <w:start w:val="1"/>
      <w:numFmt w:val="decimal"/>
      <w:suff w:val="nothing"/>
      <w:lvlText w:val="%1%2.%3　"/>
      <w:lvlJc w:val="left"/>
      <w:pPr>
        <w:ind w:left="-1848" w:firstLine="0"/>
      </w:pPr>
      <w:rPr>
        <w:rFonts w:hint="default" w:ascii="Times New Roman" w:hAnsi="Times New Roman" w:eastAsia="黑体"/>
        <w:b w:val="0"/>
        <w:i w:val="0"/>
        <w:sz w:val="21"/>
      </w:rPr>
    </w:lvl>
    <w:lvl w:ilvl="3" w:tentative="0">
      <w:start w:val="1"/>
      <w:numFmt w:val="decimal"/>
      <w:suff w:val="nothing"/>
      <w:lvlText w:val="%1%2.%3.%4　"/>
      <w:lvlJc w:val="left"/>
      <w:pPr>
        <w:ind w:left="-1848" w:firstLine="0"/>
      </w:pPr>
      <w:rPr>
        <w:rFonts w:hint="default" w:ascii="Times New Roman" w:hAnsi="Times New Roman" w:eastAsia="黑体"/>
        <w:b w:val="0"/>
        <w:i w:val="0"/>
        <w:sz w:val="21"/>
      </w:rPr>
    </w:lvl>
    <w:lvl w:ilvl="4" w:tentative="0">
      <w:start w:val="1"/>
      <w:numFmt w:val="decimal"/>
      <w:suff w:val="nothing"/>
      <w:lvlText w:val="%1%2.%3.%4.%5　"/>
      <w:lvlJc w:val="left"/>
      <w:pPr>
        <w:ind w:left="-1848" w:firstLine="0"/>
      </w:pPr>
      <w:rPr>
        <w:rFonts w:hint="default" w:ascii="Times New Roman" w:hAnsi="Times New Roman" w:eastAsia="黑体"/>
        <w:b w:val="0"/>
        <w:i w:val="0"/>
        <w:sz w:val="21"/>
      </w:rPr>
    </w:lvl>
    <w:lvl w:ilvl="5" w:tentative="0">
      <w:start w:val="1"/>
      <w:numFmt w:val="decimal"/>
      <w:suff w:val="nothing"/>
      <w:lvlText w:val="%1%2.%3.%4.%5.%6　"/>
      <w:lvlJc w:val="left"/>
      <w:pPr>
        <w:ind w:left="-1848" w:firstLine="0"/>
      </w:pPr>
      <w:rPr>
        <w:rFonts w:hint="default" w:ascii="Times New Roman" w:hAnsi="Times New Roman" w:eastAsia="黑体"/>
        <w:b w:val="0"/>
        <w:i w:val="0"/>
        <w:sz w:val="21"/>
      </w:rPr>
    </w:lvl>
    <w:lvl w:ilvl="6" w:tentative="0">
      <w:start w:val="1"/>
      <w:numFmt w:val="decimal"/>
      <w:suff w:val="nothing"/>
      <w:lvlText w:val="%1%2.%3.%4.%5.%6.%7　"/>
      <w:lvlJc w:val="left"/>
      <w:pPr>
        <w:ind w:left="-1848" w:firstLine="0"/>
      </w:pPr>
      <w:rPr>
        <w:rFonts w:hint="default" w:ascii="Times New Roman" w:hAnsi="Times New Roman" w:eastAsia="黑体"/>
        <w:b w:val="0"/>
        <w:i w:val="0"/>
        <w:sz w:val="21"/>
      </w:rPr>
    </w:lvl>
    <w:lvl w:ilvl="7" w:tentative="0">
      <w:start w:val="1"/>
      <w:numFmt w:val="decimal"/>
      <w:lvlText w:val="%1.%2.%3.%4.%5.%6.%7.%8"/>
      <w:lvlJc w:val="left"/>
      <w:pPr>
        <w:tabs>
          <w:tab w:val="left" w:pos="2503"/>
        </w:tabs>
        <w:ind w:left="2121" w:hanging="1418"/>
      </w:pPr>
      <w:rPr>
        <w:rFonts w:hint="eastAsia"/>
      </w:rPr>
    </w:lvl>
    <w:lvl w:ilvl="8" w:tentative="0">
      <w:start w:val="1"/>
      <w:numFmt w:val="decimal"/>
      <w:lvlText w:val="%1.%2.%3.%4.%5.%6.%7.%8.%9"/>
      <w:lvlJc w:val="left"/>
      <w:pPr>
        <w:tabs>
          <w:tab w:val="left" w:pos="2929"/>
        </w:tabs>
        <w:ind w:left="2829" w:hanging="1700"/>
      </w:pPr>
      <w:rPr>
        <w:rFonts w:hint="eastAsia"/>
      </w:rPr>
    </w:lvl>
  </w:abstractNum>
  <w:abstractNum w:abstractNumId="8">
    <w:nsid w:val="71866C89"/>
    <w:multiLevelType w:val="multilevel"/>
    <w:tmpl w:val="71866C8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7A6E3361"/>
    <w:multiLevelType w:val="multilevel"/>
    <w:tmpl w:val="7A6E336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7BED0718"/>
    <w:multiLevelType w:val="multilevel"/>
    <w:tmpl w:val="7BED0718"/>
    <w:lvl w:ilvl="0" w:tentative="0">
      <w:start w:val="1"/>
      <w:numFmt w:val="chineseCountingThousand"/>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7"/>
  </w:num>
  <w:num w:numId="2">
    <w:abstractNumId w:val="10"/>
  </w:num>
  <w:num w:numId="3">
    <w:abstractNumId w:val="3"/>
  </w:num>
  <w:num w:numId="4">
    <w:abstractNumId w:val="4"/>
  </w:num>
  <w:num w:numId="5">
    <w:abstractNumId w:val="0"/>
  </w:num>
  <w:num w:numId="6">
    <w:abstractNumId w:val="5"/>
  </w:num>
  <w:num w:numId="7">
    <w:abstractNumId w:val="8"/>
  </w:num>
  <w:num w:numId="8">
    <w:abstractNumId w:val="2"/>
  </w:num>
  <w:num w:numId="9">
    <w:abstractNumId w:val="1"/>
  </w:num>
  <w:num w:numId="10">
    <w:abstractNumId w:val="6"/>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2322"/>
    <w:rsid w:val="000042FE"/>
    <w:rsid w:val="000119F6"/>
    <w:rsid w:val="0001354D"/>
    <w:rsid w:val="00020F16"/>
    <w:rsid w:val="00023D2C"/>
    <w:rsid w:val="00034C52"/>
    <w:rsid w:val="0004469C"/>
    <w:rsid w:val="0005489F"/>
    <w:rsid w:val="00061142"/>
    <w:rsid w:val="00067044"/>
    <w:rsid w:val="000801E0"/>
    <w:rsid w:val="000B2DB4"/>
    <w:rsid w:val="000C5BF2"/>
    <w:rsid w:val="000D4FF2"/>
    <w:rsid w:val="000D6690"/>
    <w:rsid w:val="000E2236"/>
    <w:rsid w:val="000F2BC7"/>
    <w:rsid w:val="000F6E0B"/>
    <w:rsid w:val="0010232E"/>
    <w:rsid w:val="0010344E"/>
    <w:rsid w:val="0010448D"/>
    <w:rsid w:val="001124F3"/>
    <w:rsid w:val="00122167"/>
    <w:rsid w:val="0013535C"/>
    <w:rsid w:val="00162D70"/>
    <w:rsid w:val="0017072F"/>
    <w:rsid w:val="0017191F"/>
    <w:rsid w:val="00172346"/>
    <w:rsid w:val="00181371"/>
    <w:rsid w:val="0018257D"/>
    <w:rsid w:val="00183246"/>
    <w:rsid w:val="0018369E"/>
    <w:rsid w:val="00190EA2"/>
    <w:rsid w:val="00191AA5"/>
    <w:rsid w:val="001A471F"/>
    <w:rsid w:val="001B2ECD"/>
    <w:rsid w:val="001B447D"/>
    <w:rsid w:val="001C47BD"/>
    <w:rsid w:val="001C49BD"/>
    <w:rsid w:val="001D168B"/>
    <w:rsid w:val="001D7951"/>
    <w:rsid w:val="001E2002"/>
    <w:rsid w:val="001E29FF"/>
    <w:rsid w:val="001E4433"/>
    <w:rsid w:val="00201E3C"/>
    <w:rsid w:val="00202EC9"/>
    <w:rsid w:val="00204B37"/>
    <w:rsid w:val="00212F1C"/>
    <w:rsid w:val="002300AB"/>
    <w:rsid w:val="00232A78"/>
    <w:rsid w:val="00233C21"/>
    <w:rsid w:val="00237316"/>
    <w:rsid w:val="00253A8E"/>
    <w:rsid w:val="0025784F"/>
    <w:rsid w:val="00262505"/>
    <w:rsid w:val="00276A4F"/>
    <w:rsid w:val="00277C77"/>
    <w:rsid w:val="00277F7C"/>
    <w:rsid w:val="002814F3"/>
    <w:rsid w:val="00283122"/>
    <w:rsid w:val="00291DDC"/>
    <w:rsid w:val="002926D7"/>
    <w:rsid w:val="002954BA"/>
    <w:rsid w:val="002A5325"/>
    <w:rsid w:val="002B52F8"/>
    <w:rsid w:val="002C3268"/>
    <w:rsid w:val="002C5B9F"/>
    <w:rsid w:val="002D28B7"/>
    <w:rsid w:val="002E484C"/>
    <w:rsid w:val="002F253E"/>
    <w:rsid w:val="00301949"/>
    <w:rsid w:val="0031354A"/>
    <w:rsid w:val="00317C84"/>
    <w:rsid w:val="00323771"/>
    <w:rsid w:val="00324D0F"/>
    <w:rsid w:val="00332A5F"/>
    <w:rsid w:val="003363EE"/>
    <w:rsid w:val="003477EB"/>
    <w:rsid w:val="003505B2"/>
    <w:rsid w:val="003532CB"/>
    <w:rsid w:val="00360AE2"/>
    <w:rsid w:val="00360CEF"/>
    <w:rsid w:val="00361BD2"/>
    <w:rsid w:val="00365425"/>
    <w:rsid w:val="00370DE8"/>
    <w:rsid w:val="003806D7"/>
    <w:rsid w:val="003B3F1A"/>
    <w:rsid w:val="003D042C"/>
    <w:rsid w:val="003D54F4"/>
    <w:rsid w:val="003E2890"/>
    <w:rsid w:val="003F24ED"/>
    <w:rsid w:val="004108A6"/>
    <w:rsid w:val="00424AED"/>
    <w:rsid w:val="004275B7"/>
    <w:rsid w:val="00432495"/>
    <w:rsid w:val="004376E3"/>
    <w:rsid w:val="0044494D"/>
    <w:rsid w:val="00447520"/>
    <w:rsid w:val="00450BEF"/>
    <w:rsid w:val="00467FFC"/>
    <w:rsid w:val="00480B74"/>
    <w:rsid w:val="00482322"/>
    <w:rsid w:val="00495EDA"/>
    <w:rsid w:val="004A273F"/>
    <w:rsid w:val="004A5EC6"/>
    <w:rsid w:val="004B01D6"/>
    <w:rsid w:val="004B2613"/>
    <w:rsid w:val="004C3932"/>
    <w:rsid w:val="004C5ECC"/>
    <w:rsid w:val="004D1ECE"/>
    <w:rsid w:val="004D7B84"/>
    <w:rsid w:val="004E443D"/>
    <w:rsid w:val="0050009D"/>
    <w:rsid w:val="00505EC8"/>
    <w:rsid w:val="005073A7"/>
    <w:rsid w:val="00511877"/>
    <w:rsid w:val="0052554C"/>
    <w:rsid w:val="00527E18"/>
    <w:rsid w:val="00531203"/>
    <w:rsid w:val="00531BC1"/>
    <w:rsid w:val="00533DF1"/>
    <w:rsid w:val="005552B7"/>
    <w:rsid w:val="00555A00"/>
    <w:rsid w:val="005629C8"/>
    <w:rsid w:val="005630CC"/>
    <w:rsid w:val="00570B57"/>
    <w:rsid w:val="00591E07"/>
    <w:rsid w:val="00594073"/>
    <w:rsid w:val="00596C4D"/>
    <w:rsid w:val="005A5474"/>
    <w:rsid w:val="005A687E"/>
    <w:rsid w:val="005B49AC"/>
    <w:rsid w:val="005C1CC0"/>
    <w:rsid w:val="005C6F97"/>
    <w:rsid w:val="005D07CE"/>
    <w:rsid w:val="005D100C"/>
    <w:rsid w:val="005D28B3"/>
    <w:rsid w:val="005F0552"/>
    <w:rsid w:val="00602DF8"/>
    <w:rsid w:val="00604EDD"/>
    <w:rsid w:val="00614296"/>
    <w:rsid w:val="00614AD7"/>
    <w:rsid w:val="006160FF"/>
    <w:rsid w:val="00621EC3"/>
    <w:rsid w:val="006468E1"/>
    <w:rsid w:val="006657A2"/>
    <w:rsid w:val="00693FF3"/>
    <w:rsid w:val="006A57EA"/>
    <w:rsid w:val="006B0487"/>
    <w:rsid w:val="006E1E9F"/>
    <w:rsid w:val="006E5A47"/>
    <w:rsid w:val="006F2967"/>
    <w:rsid w:val="006F60D4"/>
    <w:rsid w:val="00704D77"/>
    <w:rsid w:val="00712F5A"/>
    <w:rsid w:val="007325A7"/>
    <w:rsid w:val="0074618A"/>
    <w:rsid w:val="0076135D"/>
    <w:rsid w:val="00762037"/>
    <w:rsid w:val="00767624"/>
    <w:rsid w:val="00770A0A"/>
    <w:rsid w:val="007759FE"/>
    <w:rsid w:val="00775B82"/>
    <w:rsid w:val="007A1FBA"/>
    <w:rsid w:val="007A65D9"/>
    <w:rsid w:val="007D09BB"/>
    <w:rsid w:val="007D0D89"/>
    <w:rsid w:val="007D106C"/>
    <w:rsid w:val="007D64B7"/>
    <w:rsid w:val="00801FFD"/>
    <w:rsid w:val="008139CA"/>
    <w:rsid w:val="00817E69"/>
    <w:rsid w:val="00842EFA"/>
    <w:rsid w:val="00855E4D"/>
    <w:rsid w:val="00872710"/>
    <w:rsid w:val="00874803"/>
    <w:rsid w:val="00893F61"/>
    <w:rsid w:val="00897E01"/>
    <w:rsid w:val="008B2BA0"/>
    <w:rsid w:val="008D04BE"/>
    <w:rsid w:val="008D452A"/>
    <w:rsid w:val="008D53D0"/>
    <w:rsid w:val="008E5F28"/>
    <w:rsid w:val="008E7CFA"/>
    <w:rsid w:val="008F22D1"/>
    <w:rsid w:val="00910181"/>
    <w:rsid w:val="0096334D"/>
    <w:rsid w:val="009818FE"/>
    <w:rsid w:val="00981FF5"/>
    <w:rsid w:val="009857F9"/>
    <w:rsid w:val="009918BC"/>
    <w:rsid w:val="00991BE3"/>
    <w:rsid w:val="00996F3D"/>
    <w:rsid w:val="009A0E82"/>
    <w:rsid w:val="009A40A4"/>
    <w:rsid w:val="009A51C6"/>
    <w:rsid w:val="009A5F85"/>
    <w:rsid w:val="009C1400"/>
    <w:rsid w:val="009C1D9B"/>
    <w:rsid w:val="009C2965"/>
    <w:rsid w:val="009C6DBF"/>
    <w:rsid w:val="009D5179"/>
    <w:rsid w:val="009D6001"/>
    <w:rsid w:val="009E04F6"/>
    <w:rsid w:val="009E197F"/>
    <w:rsid w:val="009E2F24"/>
    <w:rsid w:val="009F1EE2"/>
    <w:rsid w:val="00A008BE"/>
    <w:rsid w:val="00A11065"/>
    <w:rsid w:val="00A11284"/>
    <w:rsid w:val="00A1601E"/>
    <w:rsid w:val="00A25A99"/>
    <w:rsid w:val="00A3319E"/>
    <w:rsid w:val="00A350D9"/>
    <w:rsid w:val="00A53A40"/>
    <w:rsid w:val="00A53BAC"/>
    <w:rsid w:val="00A65841"/>
    <w:rsid w:val="00A65E8A"/>
    <w:rsid w:val="00A72FC1"/>
    <w:rsid w:val="00A84644"/>
    <w:rsid w:val="00A90C5F"/>
    <w:rsid w:val="00A95B36"/>
    <w:rsid w:val="00A97E2A"/>
    <w:rsid w:val="00AA0F0E"/>
    <w:rsid w:val="00AA1332"/>
    <w:rsid w:val="00AA1676"/>
    <w:rsid w:val="00AA2712"/>
    <w:rsid w:val="00AC776F"/>
    <w:rsid w:val="00AF3563"/>
    <w:rsid w:val="00AF6DAD"/>
    <w:rsid w:val="00AF78E1"/>
    <w:rsid w:val="00B0454B"/>
    <w:rsid w:val="00B04CED"/>
    <w:rsid w:val="00B13D1F"/>
    <w:rsid w:val="00B16A66"/>
    <w:rsid w:val="00B326F4"/>
    <w:rsid w:val="00B43978"/>
    <w:rsid w:val="00B600B1"/>
    <w:rsid w:val="00B61855"/>
    <w:rsid w:val="00B634A1"/>
    <w:rsid w:val="00B6448D"/>
    <w:rsid w:val="00B77030"/>
    <w:rsid w:val="00B8576A"/>
    <w:rsid w:val="00B93B4D"/>
    <w:rsid w:val="00BA34EB"/>
    <w:rsid w:val="00BB5430"/>
    <w:rsid w:val="00BB7888"/>
    <w:rsid w:val="00BC0266"/>
    <w:rsid w:val="00BC0474"/>
    <w:rsid w:val="00BC50E5"/>
    <w:rsid w:val="00BD2744"/>
    <w:rsid w:val="00BD6509"/>
    <w:rsid w:val="00BE370D"/>
    <w:rsid w:val="00BE4367"/>
    <w:rsid w:val="00BE4DC2"/>
    <w:rsid w:val="00BE6BA1"/>
    <w:rsid w:val="00BF7323"/>
    <w:rsid w:val="00C0739B"/>
    <w:rsid w:val="00C07AF3"/>
    <w:rsid w:val="00C10BCC"/>
    <w:rsid w:val="00C11020"/>
    <w:rsid w:val="00C13471"/>
    <w:rsid w:val="00C14A5D"/>
    <w:rsid w:val="00C15D11"/>
    <w:rsid w:val="00C2012A"/>
    <w:rsid w:val="00C31E17"/>
    <w:rsid w:val="00C436CF"/>
    <w:rsid w:val="00C508FF"/>
    <w:rsid w:val="00C53C43"/>
    <w:rsid w:val="00C607AE"/>
    <w:rsid w:val="00C84236"/>
    <w:rsid w:val="00C94245"/>
    <w:rsid w:val="00CA4D18"/>
    <w:rsid w:val="00CA74DE"/>
    <w:rsid w:val="00CA7582"/>
    <w:rsid w:val="00CD3F4A"/>
    <w:rsid w:val="00CD4A29"/>
    <w:rsid w:val="00CD7A95"/>
    <w:rsid w:val="00CE4460"/>
    <w:rsid w:val="00CE603C"/>
    <w:rsid w:val="00CF6803"/>
    <w:rsid w:val="00D16B68"/>
    <w:rsid w:val="00D5660B"/>
    <w:rsid w:val="00D66251"/>
    <w:rsid w:val="00D7083B"/>
    <w:rsid w:val="00D71DDF"/>
    <w:rsid w:val="00D75B1B"/>
    <w:rsid w:val="00D80B52"/>
    <w:rsid w:val="00D84149"/>
    <w:rsid w:val="00D87ACE"/>
    <w:rsid w:val="00DA19AF"/>
    <w:rsid w:val="00DB5333"/>
    <w:rsid w:val="00DD540D"/>
    <w:rsid w:val="00DD5AC3"/>
    <w:rsid w:val="00DE35FA"/>
    <w:rsid w:val="00DF3997"/>
    <w:rsid w:val="00DF3A9B"/>
    <w:rsid w:val="00DF4B85"/>
    <w:rsid w:val="00DF4F51"/>
    <w:rsid w:val="00E10088"/>
    <w:rsid w:val="00E10A85"/>
    <w:rsid w:val="00E11388"/>
    <w:rsid w:val="00E1473D"/>
    <w:rsid w:val="00E211E5"/>
    <w:rsid w:val="00E34E60"/>
    <w:rsid w:val="00E70DFE"/>
    <w:rsid w:val="00E715C0"/>
    <w:rsid w:val="00E83C5F"/>
    <w:rsid w:val="00EA4F46"/>
    <w:rsid w:val="00EB1DD2"/>
    <w:rsid w:val="00EB465D"/>
    <w:rsid w:val="00EB6B2E"/>
    <w:rsid w:val="00EC271F"/>
    <w:rsid w:val="00EC667B"/>
    <w:rsid w:val="00ED2179"/>
    <w:rsid w:val="00EE5D25"/>
    <w:rsid w:val="00EF3B80"/>
    <w:rsid w:val="00F20AFF"/>
    <w:rsid w:val="00F37396"/>
    <w:rsid w:val="00F40598"/>
    <w:rsid w:val="00F41DA2"/>
    <w:rsid w:val="00F751E1"/>
    <w:rsid w:val="00F7781E"/>
    <w:rsid w:val="00F9082A"/>
    <w:rsid w:val="00F909F3"/>
    <w:rsid w:val="00F92FC2"/>
    <w:rsid w:val="00FA7FE0"/>
    <w:rsid w:val="00FB60F9"/>
    <w:rsid w:val="00FB714C"/>
    <w:rsid w:val="00FC008B"/>
    <w:rsid w:val="00FD18C9"/>
    <w:rsid w:val="00FF3589"/>
    <w:rsid w:val="01CC7C92"/>
    <w:rsid w:val="023A153A"/>
    <w:rsid w:val="02C1531D"/>
    <w:rsid w:val="02D36DFE"/>
    <w:rsid w:val="03854B94"/>
    <w:rsid w:val="04FA0856"/>
    <w:rsid w:val="057C377D"/>
    <w:rsid w:val="07B76CEE"/>
    <w:rsid w:val="07D63618"/>
    <w:rsid w:val="07EE6F40"/>
    <w:rsid w:val="08330E83"/>
    <w:rsid w:val="092662F7"/>
    <w:rsid w:val="0A7D421F"/>
    <w:rsid w:val="0A7F7F97"/>
    <w:rsid w:val="0AFF69E2"/>
    <w:rsid w:val="0C7C23DF"/>
    <w:rsid w:val="0CA27F6D"/>
    <w:rsid w:val="0CCD2820"/>
    <w:rsid w:val="0E721BC1"/>
    <w:rsid w:val="12D6271E"/>
    <w:rsid w:val="131D659F"/>
    <w:rsid w:val="14A33DD8"/>
    <w:rsid w:val="154C4ED3"/>
    <w:rsid w:val="158521DA"/>
    <w:rsid w:val="16264708"/>
    <w:rsid w:val="16A9014A"/>
    <w:rsid w:val="17837E6F"/>
    <w:rsid w:val="18A8690B"/>
    <w:rsid w:val="18B74DA0"/>
    <w:rsid w:val="18F865BB"/>
    <w:rsid w:val="19B60BB4"/>
    <w:rsid w:val="1BD01CD5"/>
    <w:rsid w:val="1DAD0520"/>
    <w:rsid w:val="1DB418AE"/>
    <w:rsid w:val="1DFB74DD"/>
    <w:rsid w:val="1E4F15D7"/>
    <w:rsid w:val="1EC21DA9"/>
    <w:rsid w:val="24EE3666"/>
    <w:rsid w:val="260E1D77"/>
    <w:rsid w:val="26492DAF"/>
    <w:rsid w:val="2679051E"/>
    <w:rsid w:val="27C902C4"/>
    <w:rsid w:val="27E9484A"/>
    <w:rsid w:val="29EA6657"/>
    <w:rsid w:val="2AD61783"/>
    <w:rsid w:val="2AEA0C1E"/>
    <w:rsid w:val="2EDA6C9B"/>
    <w:rsid w:val="2F0D52C2"/>
    <w:rsid w:val="2F7F1AE5"/>
    <w:rsid w:val="30535409"/>
    <w:rsid w:val="32093E16"/>
    <w:rsid w:val="323943E0"/>
    <w:rsid w:val="33C53AAF"/>
    <w:rsid w:val="34256C0A"/>
    <w:rsid w:val="349618B6"/>
    <w:rsid w:val="35134CB4"/>
    <w:rsid w:val="35156C7E"/>
    <w:rsid w:val="355157DD"/>
    <w:rsid w:val="3629686E"/>
    <w:rsid w:val="3642157C"/>
    <w:rsid w:val="37892452"/>
    <w:rsid w:val="37906A90"/>
    <w:rsid w:val="37DA5F5D"/>
    <w:rsid w:val="3851621F"/>
    <w:rsid w:val="39461AFC"/>
    <w:rsid w:val="39501A9A"/>
    <w:rsid w:val="3A5A5133"/>
    <w:rsid w:val="3A8078D6"/>
    <w:rsid w:val="3B4F7868"/>
    <w:rsid w:val="3D5C074C"/>
    <w:rsid w:val="3FA27361"/>
    <w:rsid w:val="41686388"/>
    <w:rsid w:val="41AE46E3"/>
    <w:rsid w:val="42345589"/>
    <w:rsid w:val="424402BA"/>
    <w:rsid w:val="4609638B"/>
    <w:rsid w:val="46BF2EEE"/>
    <w:rsid w:val="4AFD3FE5"/>
    <w:rsid w:val="4FF066F4"/>
    <w:rsid w:val="50591CBD"/>
    <w:rsid w:val="50DE0415"/>
    <w:rsid w:val="531445D8"/>
    <w:rsid w:val="531E46F8"/>
    <w:rsid w:val="53B67427"/>
    <w:rsid w:val="54AA0D3A"/>
    <w:rsid w:val="54D83F05"/>
    <w:rsid w:val="562B40FC"/>
    <w:rsid w:val="57B43C7D"/>
    <w:rsid w:val="58F5454D"/>
    <w:rsid w:val="59F6057D"/>
    <w:rsid w:val="5AF30F60"/>
    <w:rsid w:val="5B841BB9"/>
    <w:rsid w:val="5BA109BC"/>
    <w:rsid w:val="5BAF6C35"/>
    <w:rsid w:val="5D6B74D4"/>
    <w:rsid w:val="5F7F1015"/>
    <w:rsid w:val="5FF217E7"/>
    <w:rsid w:val="60885CA7"/>
    <w:rsid w:val="608E302C"/>
    <w:rsid w:val="62581748"/>
    <w:rsid w:val="64700725"/>
    <w:rsid w:val="66143184"/>
    <w:rsid w:val="66DE2AC5"/>
    <w:rsid w:val="678C0C0D"/>
    <w:rsid w:val="6987749C"/>
    <w:rsid w:val="6AE706F6"/>
    <w:rsid w:val="6B543355"/>
    <w:rsid w:val="6B686E01"/>
    <w:rsid w:val="6C277157"/>
    <w:rsid w:val="6F262400"/>
    <w:rsid w:val="6F9E1043"/>
    <w:rsid w:val="70AB7EBB"/>
    <w:rsid w:val="70BD374B"/>
    <w:rsid w:val="733F0D8F"/>
    <w:rsid w:val="75105E7E"/>
    <w:rsid w:val="76346CE5"/>
    <w:rsid w:val="790068CB"/>
    <w:rsid w:val="79C97C38"/>
    <w:rsid w:val="7C4D2296"/>
    <w:rsid w:val="7CD95DB0"/>
    <w:rsid w:val="7D254B52"/>
    <w:rsid w:val="7D436D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25"/>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6"/>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7"/>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8"/>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9"/>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30"/>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31"/>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3"/>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58"/>
    <w:semiHidden/>
    <w:unhideWhenUsed/>
    <w:qFormat/>
    <w:uiPriority w:val="99"/>
    <w:pPr>
      <w:spacing w:after="0" w:line="240" w:lineRule="auto"/>
    </w:pPr>
    <w:rPr>
      <w:sz w:val="21"/>
      <w:szCs w:val="22"/>
      <w14:ligatures w14:val="none"/>
    </w:rPr>
  </w:style>
  <w:style w:type="paragraph" w:styleId="12">
    <w:name w:val="toc 3"/>
    <w:basedOn w:val="1"/>
    <w:next w:val="1"/>
    <w:autoRedefine/>
    <w:unhideWhenUsed/>
    <w:qFormat/>
    <w:uiPriority w:val="39"/>
    <w:pPr>
      <w:widowControl/>
      <w:spacing w:after="100" w:line="259" w:lineRule="auto"/>
      <w:ind w:left="440"/>
    </w:pPr>
    <w:rPr>
      <w:rFonts w:cs="Times New Roman"/>
      <w:kern w:val="0"/>
      <w:szCs w:val="22"/>
      <w14:ligatures w14:val="none"/>
    </w:rPr>
  </w:style>
  <w:style w:type="paragraph" w:styleId="13">
    <w:name w:val="footer"/>
    <w:basedOn w:val="1"/>
    <w:link w:val="47"/>
    <w:unhideWhenUsed/>
    <w:qFormat/>
    <w:uiPriority w:val="99"/>
    <w:pPr>
      <w:tabs>
        <w:tab w:val="center" w:pos="4320"/>
        <w:tab w:val="right" w:pos="8640"/>
      </w:tabs>
      <w:spacing w:after="0" w:line="240" w:lineRule="auto"/>
    </w:pPr>
  </w:style>
  <w:style w:type="paragraph" w:styleId="14">
    <w:name w:val="header"/>
    <w:basedOn w:val="1"/>
    <w:link w:val="46"/>
    <w:unhideWhenUsed/>
    <w:qFormat/>
    <w:uiPriority w:val="99"/>
    <w:pPr>
      <w:tabs>
        <w:tab w:val="center" w:pos="4320"/>
        <w:tab w:val="right" w:pos="8640"/>
      </w:tabs>
      <w:spacing w:after="0" w:line="240" w:lineRule="auto"/>
    </w:pPr>
  </w:style>
  <w:style w:type="paragraph" w:styleId="15">
    <w:name w:val="toc 1"/>
    <w:basedOn w:val="1"/>
    <w:next w:val="1"/>
    <w:autoRedefine/>
    <w:unhideWhenUsed/>
    <w:qFormat/>
    <w:uiPriority w:val="39"/>
    <w:pPr>
      <w:widowControl/>
      <w:spacing w:after="100" w:line="259" w:lineRule="auto"/>
    </w:pPr>
    <w:rPr>
      <w:rFonts w:cs="Times New Roman"/>
      <w:kern w:val="0"/>
      <w:szCs w:val="22"/>
      <w14:ligatures w14:val="none"/>
    </w:rPr>
  </w:style>
  <w:style w:type="paragraph" w:styleId="16">
    <w:name w:val="Subtitle"/>
    <w:basedOn w:val="1"/>
    <w:next w:val="1"/>
    <w:link w:val="3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oc 2"/>
    <w:basedOn w:val="1"/>
    <w:next w:val="1"/>
    <w:autoRedefine/>
    <w:unhideWhenUsed/>
    <w:qFormat/>
    <w:uiPriority w:val="39"/>
    <w:pPr>
      <w:widowControl/>
      <w:spacing w:after="100" w:line="259" w:lineRule="auto"/>
      <w:ind w:left="220"/>
    </w:pPr>
    <w:rPr>
      <w:rFonts w:cs="Times New Roman"/>
      <w:kern w:val="0"/>
      <w:szCs w:val="22"/>
      <w14:ligatures w14:val="none"/>
    </w:rPr>
  </w:style>
  <w:style w:type="paragraph" w:styleId="18">
    <w:name w:val="Title"/>
    <w:basedOn w:val="1"/>
    <w:next w:val="1"/>
    <w:link w:val="3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20">
    <w:name w:val="Table Grid"/>
    <w:basedOn w:val="1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22"/>
    <w:rPr>
      <w:b/>
      <w:bCs/>
    </w:rPr>
  </w:style>
  <w:style w:type="character" w:styleId="23">
    <w:name w:val="Hyperlink"/>
    <w:basedOn w:val="21"/>
    <w:unhideWhenUsed/>
    <w:qFormat/>
    <w:uiPriority w:val="99"/>
    <w:rPr>
      <w:color w:val="0563C1" w:themeColor="hyperlink"/>
      <w:u w:val="single"/>
      <w14:textFill>
        <w14:solidFill>
          <w14:schemeClr w14:val="hlink"/>
        </w14:solidFill>
      </w14:textFill>
    </w:rPr>
  </w:style>
  <w:style w:type="character" w:styleId="24">
    <w:name w:val="annotation reference"/>
    <w:basedOn w:val="21"/>
    <w:semiHidden/>
    <w:unhideWhenUsed/>
    <w:qFormat/>
    <w:uiPriority w:val="99"/>
    <w:rPr>
      <w:sz w:val="21"/>
      <w:szCs w:val="21"/>
    </w:rPr>
  </w:style>
  <w:style w:type="character" w:customStyle="1" w:styleId="25">
    <w:name w:val="标题 1 字符"/>
    <w:basedOn w:val="21"/>
    <w:link w:val="2"/>
    <w:qFormat/>
    <w:uiPriority w:val="9"/>
    <w:rPr>
      <w:rFonts w:asciiTheme="majorHAnsi" w:hAnsiTheme="majorHAnsi" w:eastAsiaTheme="majorEastAsia" w:cstheme="majorBidi"/>
      <w:color w:val="2F5597" w:themeColor="accent1" w:themeShade="BF"/>
      <w:sz w:val="48"/>
      <w:szCs w:val="48"/>
    </w:rPr>
  </w:style>
  <w:style w:type="character" w:customStyle="1" w:styleId="26">
    <w:name w:val="标题 2 字符"/>
    <w:basedOn w:val="21"/>
    <w:link w:val="3"/>
    <w:qFormat/>
    <w:uiPriority w:val="9"/>
    <w:rPr>
      <w:rFonts w:asciiTheme="majorHAnsi" w:hAnsiTheme="majorHAnsi" w:eastAsiaTheme="majorEastAsia" w:cstheme="majorBidi"/>
      <w:color w:val="2F5597" w:themeColor="accent1" w:themeShade="BF"/>
      <w:sz w:val="40"/>
      <w:szCs w:val="40"/>
    </w:rPr>
  </w:style>
  <w:style w:type="character" w:customStyle="1" w:styleId="27">
    <w:name w:val="标题 3 字符"/>
    <w:basedOn w:val="21"/>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8">
    <w:name w:val="标题 4 字符"/>
    <w:basedOn w:val="21"/>
    <w:link w:val="5"/>
    <w:semiHidden/>
    <w:qFormat/>
    <w:uiPriority w:val="9"/>
    <w:rPr>
      <w:rFonts w:cstheme="majorBidi"/>
      <w:color w:val="2F5597" w:themeColor="accent1" w:themeShade="BF"/>
      <w:sz w:val="28"/>
      <w:szCs w:val="28"/>
    </w:rPr>
  </w:style>
  <w:style w:type="character" w:customStyle="1" w:styleId="29">
    <w:name w:val="标题 5 字符"/>
    <w:basedOn w:val="21"/>
    <w:link w:val="6"/>
    <w:semiHidden/>
    <w:qFormat/>
    <w:uiPriority w:val="9"/>
    <w:rPr>
      <w:rFonts w:cstheme="majorBidi"/>
      <w:color w:val="2F5597" w:themeColor="accent1" w:themeShade="BF"/>
      <w:sz w:val="24"/>
    </w:rPr>
  </w:style>
  <w:style w:type="character" w:customStyle="1" w:styleId="30">
    <w:name w:val="标题 6 字符"/>
    <w:basedOn w:val="21"/>
    <w:link w:val="7"/>
    <w:semiHidden/>
    <w:qFormat/>
    <w:uiPriority w:val="9"/>
    <w:rPr>
      <w:rFonts w:cstheme="majorBidi"/>
      <w:b/>
      <w:bCs/>
      <w:color w:val="2F5597" w:themeColor="accent1" w:themeShade="BF"/>
    </w:rPr>
  </w:style>
  <w:style w:type="character" w:customStyle="1" w:styleId="31">
    <w:name w:val="标题 7 字符"/>
    <w:basedOn w:val="21"/>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2">
    <w:name w:val="标题 8 字符"/>
    <w:basedOn w:val="21"/>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3">
    <w:name w:val="标题 9 字符"/>
    <w:basedOn w:val="21"/>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4">
    <w:name w:val="标题 字符"/>
    <w:basedOn w:val="21"/>
    <w:link w:val="18"/>
    <w:qFormat/>
    <w:uiPriority w:val="10"/>
    <w:rPr>
      <w:rFonts w:asciiTheme="majorHAnsi" w:hAnsiTheme="majorHAnsi" w:eastAsiaTheme="majorEastAsia" w:cstheme="majorBidi"/>
      <w:spacing w:val="-10"/>
      <w:kern w:val="28"/>
      <w:sz w:val="56"/>
      <w:szCs w:val="56"/>
    </w:rPr>
  </w:style>
  <w:style w:type="character" w:customStyle="1" w:styleId="35">
    <w:name w:val="副标题 字符"/>
    <w:basedOn w:val="21"/>
    <w:link w:val="16"/>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引用 字符"/>
    <w:basedOn w:val="21"/>
    <w:link w:val="36"/>
    <w:qFormat/>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Intense Emphasis1"/>
    <w:basedOn w:val="21"/>
    <w:qFormat/>
    <w:uiPriority w:val="21"/>
    <w:rPr>
      <w:i/>
      <w:iCs/>
      <w:color w:val="2F5597" w:themeColor="accent1" w:themeShade="BF"/>
    </w:rPr>
  </w:style>
  <w:style w:type="paragraph" w:styleId="40">
    <w:name w:val="Intense Quote"/>
    <w:basedOn w:val="1"/>
    <w:next w:val="1"/>
    <w:link w:val="4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1">
    <w:name w:val="明显引用 字符"/>
    <w:basedOn w:val="21"/>
    <w:link w:val="40"/>
    <w:qFormat/>
    <w:uiPriority w:val="30"/>
    <w:rPr>
      <w:i/>
      <w:iCs/>
      <w:color w:val="2F5597" w:themeColor="accent1" w:themeShade="BF"/>
    </w:rPr>
  </w:style>
  <w:style w:type="character" w:customStyle="1" w:styleId="42">
    <w:name w:val="Intense Reference1"/>
    <w:basedOn w:val="21"/>
    <w:qFormat/>
    <w:uiPriority w:val="32"/>
    <w:rPr>
      <w:b/>
      <w:bCs/>
      <w:smallCaps/>
      <w:color w:val="2F5597" w:themeColor="accent1" w:themeShade="BF"/>
      <w:spacing w:val="5"/>
    </w:rPr>
  </w:style>
  <w:style w:type="paragraph" w:customStyle="1" w:styleId="43">
    <w:name w:val="TOC Heading1"/>
    <w:basedOn w:val="2"/>
    <w:next w:val="1"/>
    <w:unhideWhenUsed/>
    <w:qFormat/>
    <w:uiPriority w:val="39"/>
    <w:pPr>
      <w:widowControl/>
      <w:spacing w:before="240" w:after="0" w:line="259" w:lineRule="auto"/>
      <w:outlineLvl w:val="9"/>
    </w:pPr>
    <w:rPr>
      <w:kern w:val="0"/>
      <w:sz w:val="32"/>
      <w:szCs w:val="32"/>
      <w14:ligatures w14:val="none"/>
    </w:rPr>
  </w:style>
  <w:style w:type="paragraph" w:customStyle="1" w:styleId="44">
    <w:name w:val="段"/>
    <w:next w:val="1"/>
    <w:qFormat/>
    <w:uiPriority w:val="0"/>
    <w:pPr>
      <w:widowControl w:val="0"/>
      <w:autoSpaceDE w:val="0"/>
      <w:autoSpaceDN w:val="0"/>
      <w:spacing w:line="460" w:lineRule="exact"/>
      <w:ind w:firstLine="200" w:firstLineChars="200"/>
      <w:jc w:val="both"/>
    </w:pPr>
    <w:rPr>
      <w:rFonts w:ascii="宋体" w:hAnsi="Times New Roman" w:eastAsia="宋体" w:cs="Times New Roman"/>
      <w:sz w:val="28"/>
      <w:lang w:val="en-US" w:eastAsia="zh-CN" w:bidi="ar-SA"/>
    </w:rPr>
  </w:style>
  <w:style w:type="paragraph" w:customStyle="1" w:styleId="45">
    <w:name w:val="正文图标题"/>
    <w:next w:val="44"/>
    <w:qFormat/>
    <w:uiPriority w:val="0"/>
    <w:pPr>
      <w:numPr>
        <w:ilvl w:val="0"/>
        <w:numId w:val="1"/>
      </w:numPr>
      <w:tabs>
        <w:tab w:val="left" w:pos="1080"/>
      </w:tabs>
      <w:ind w:left="850"/>
      <w:jc w:val="center"/>
    </w:pPr>
    <w:rPr>
      <w:rFonts w:ascii="黑体" w:hAnsi="Times New Roman" w:eastAsia="黑体" w:cs="Times New Roman"/>
      <w:sz w:val="28"/>
      <w:lang w:val="en-US" w:eastAsia="zh-CN" w:bidi="ar-SA"/>
    </w:rPr>
  </w:style>
  <w:style w:type="character" w:customStyle="1" w:styleId="46">
    <w:name w:val="页眉 字符"/>
    <w:basedOn w:val="21"/>
    <w:link w:val="14"/>
    <w:qFormat/>
    <w:uiPriority w:val="99"/>
    <w:rPr>
      <w:rFonts w:asciiTheme="minorHAnsi" w:hAnsiTheme="minorHAnsi" w:eastAsiaTheme="minorEastAsia" w:cstheme="minorBidi"/>
      <w:kern w:val="2"/>
      <w:sz w:val="22"/>
      <w:szCs w:val="24"/>
      <w14:ligatures w14:val="standardContextual"/>
    </w:rPr>
  </w:style>
  <w:style w:type="character" w:customStyle="1" w:styleId="47">
    <w:name w:val="页脚 字符"/>
    <w:basedOn w:val="21"/>
    <w:link w:val="13"/>
    <w:qFormat/>
    <w:uiPriority w:val="99"/>
    <w:rPr>
      <w:rFonts w:asciiTheme="minorHAnsi" w:hAnsiTheme="minorHAnsi" w:eastAsiaTheme="minorEastAsia" w:cstheme="minorBidi"/>
      <w:kern w:val="2"/>
      <w:sz w:val="22"/>
      <w:szCs w:val="24"/>
      <w14:ligatures w14:val="standardContextual"/>
    </w:rPr>
  </w:style>
  <w:style w:type="paragraph" w:customStyle="1" w:styleId="48">
    <w:name w:val="ds-markdown-paragraph"/>
    <w:basedOn w:val="1"/>
    <w:qFormat/>
    <w:uiPriority w:val="0"/>
    <w:pPr>
      <w:widowControl/>
      <w:spacing w:before="100" w:beforeAutospacing="1" w:after="100" w:afterAutospacing="1" w:line="240" w:lineRule="auto"/>
    </w:pPr>
    <w:rPr>
      <w:rFonts w:ascii="Times New Roman" w:hAnsi="Times New Roman" w:eastAsia="Times New Roman" w:cs="Times New Roman"/>
      <w:kern w:val="0"/>
      <w:sz w:val="24"/>
      <w14:ligatures w14:val="none"/>
    </w:rPr>
  </w:style>
  <w:style w:type="paragraph" w:customStyle="1" w:styleId="49">
    <w:name w:val="条"/>
    <w:basedOn w:val="1"/>
    <w:autoRedefine/>
    <w:qFormat/>
    <w:uiPriority w:val="0"/>
    <w:pPr>
      <w:snapToGrid w:val="0"/>
      <w:spacing w:after="0" w:line="460" w:lineRule="exact"/>
      <w:ind w:firstLine="420"/>
      <w:jc w:val="both"/>
    </w:pPr>
    <w:rPr>
      <w:rFonts w:ascii="Times New Roman" w:hAnsi="Times New Roman" w:eastAsia="宋体" w:cs="Times New Roman"/>
      <w:sz w:val="28"/>
      <w:szCs w:val="28"/>
      <w14:ligatures w14:val="none"/>
    </w:rPr>
  </w:style>
  <w:style w:type="character" w:customStyle="1" w:styleId="50">
    <w:name w:val="katex-mathml"/>
    <w:basedOn w:val="21"/>
    <w:qFormat/>
    <w:uiPriority w:val="0"/>
  </w:style>
  <w:style w:type="character" w:customStyle="1" w:styleId="51">
    <w:name w:val="mord"/>
    <w:basedOn w:val="21"/>
    <w:qFormat/>
    <w:uiPriority w:val="0"/>
  </w:style>
  <w:style w:type="character" w:customStyle="1" w:styleId="52">
    <w:name w:val="vlist-s"/>
    <w:basedOn w:val="21"/>
    <w:qFormat/>
    <w:uiPriority w:val="0"/>
  </w:style>
  <w:style w:type="character" w:customStyle="1" w:styleId="53">
    <w:name w:val="mrel"/>
    <w:basedOn w:val="21"/>
    <w:qFormat/>
    <w:uiPriority w:val="0"/>
  </w:style>
  <w:style w:type="character" w:customStyle="1" w:styleId="54">
    <w:name w:val="mopen"/>
    <w:basedOn w:val="21"/>
    <w:qFormat/>
    <w:uiPriority w:val="0"/>
  </w:style>
  <w:style w:type="character" w:customStyle="1" w:styleId="55">
    <w:name w:val="mclose"/>
    <w:basedOn w:val="21"/>
    <w:qFormat/>
    <w:uiPriority w:val="0"/>
  </w:style>
  <w:style w:type="character" w:customStyle="1" w:styleId="56">
    <w:name w:val="mbin"/>
    <w:basedOn w:val="21"/>
    <w:qFormat/>
    <w:uiPriority w:val="0"/>
  </w:style>
  <w:style w:type="character" w:styleId="57">
    <w:name w:val="Placeholder Text"/>
    <w:basedOn w:val="21"/>
    <w:semiHidden/>
    <w:qFormat/>
    <w:uiPriority w:val="99"/>
    <w:rPr>
      <w:color w:val="808080"/>
    </w:rPr>
  </w:style>
  <w:style w:type="character" w:customStyle="1" w:styleId="58">
    <w:name w:val="批注文字 字符"/>
    <w:basedOn w:val="21"/>
    <w:link w:val="11"/>
    <w:semiHidden/>
    <w:qFormat/>
    <w:uiPriority w:val="99"/>
    <w:rPr>
      <w:rFonts w:asciiTheme="minorHAnsi" w:hAnsiTheme="minorHAnsi" w:eastAsiaTheme="minorEastAsia" w:cstheme="minorBidi"/>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7" Type="http://schemas.openxmlformats.org/officeDocument/2006/relationships/fontTable" Target="fontTable.xml"/><Relationship Id="rId76" Type="http://schemas.openxmlformats.org/officeDocument/2006/relationships/customXml" Target="../customXml/item1.xml"/><Relationship Id="rId75" Type="http://schemas.openxmlformats.org/officeDocument/2006/relationships/numbering" Target="numbering.xml"/><Relationship Id="rId74" Type="http://schemas.openxmlformats.org/officeDocument/2006/relationships/image" Target="media/image50.jpeg"/><Relationship Id="rId73" Type="http://schemas.openxmlformats.org/officeDocument/2006/relationships/image" Target="media/image49.jpeg"/><Relationship Id="rId72" Type="http://schemas.openxmlformats.org/officeDocument/2006/relationships/image" Target="media/image48.jpeg"/><Relationship Id="rId71" Type="http://schemas.openxmlformats.org/officeDocument/2006/relationships/image" Target="media/image47.png"/><Relationship Id="rId70" Type="http://schemas.openxmlformats.org/officeDocument/2006/relationships/image" Target="media/image46.png"/><Relationship Id="rId7" Type="http://schemas.openxmlformats.org/officeDocument/2006/relationships/image" Target="media/image2.png"/><Relationship Id="rId69" Type="http://schemas.openxmlformats.org/officeDocument/2006/relationships/image" Target="media/image45.emf"/><Relationship Id="rId68" Type="http://schemas.openxmlformats.org/officeDocument/2006/relationships/image" Target="media/image44.emf"/><Relationship Id="rId67" Type="http://schemas.openxmlformats.org/officeDocument/2006/relationships/image" Target="media/image43.png"/><Relationship Id="rId66" Type="http://schemas.openxmlformats.org/officeDocument/2006/relationships/image" Target="media/image42.emf"/><Relationship Id="rId65" Type="http://schemas.openxmlformats.org/officeDocument/2006/relationships/image" Target="media/image41.emf"/><Relationship Id="rId64" Type="http://schemas.openxmlformats.org/officeDocument/2006/relationships/image" Target="media/image40.emf"/><Relationship Id="rId63" Type="http://schemas.openxmlformats.org/officeDocument/2006/relationships/image" Target="media/image39.emf"/><Relationship Id="rId62" Type="http://schemas.openxmlformats.org/officeDocument/2006/relationships/image" Target="media/image38.emf"/><Relationship Id="rId61" Type="http://schemas.openxmlformats.org/officeDocument/2006/relationships/image" Target="media/image37.wmf"/><Relationship Id="rId60" Type="http://schemas.openxmlformats.org/officeDocument/2006/relationships/oleObject" Target="embeddings/oleObject19.bin"/><Relationship Id="rId6" Type="http://schemas.openxmlformats.org/officeDocument/2006/relationships/image" Target="media/image1.png"/><Relationship Id="rId59" Type="http://schemas.openxmlformats.org/officeDocument/2006/relationships/image" Target="media/image36.wmf"/><Relationship Id="rId58" Type="http://schemas.openxmlformats.org/officeDocument/2006/relationships/oleObject" Target="embeddings/oleObject18.bin"/><Relationship Id="rId57" Type="http://schemas.openxmlformats.org/officeDocument/2006/relationships/image" Target="media/image35.wmf"/><Relationship Id="rId56" Type="http://schemas.openxmlformats.org/officeDocument/2006/relationships/oleObject" Target="embeddings/oleObject17.bin"/><Relationship Id="rId55" Type="http://schemas.openxmlformats.org/officeDocument/2006/relationships/image" Target="media/image34.wmf"/><Relationship Id="rId54" Type="http://schemas.openxmlformats.org/officeDocument/2006/relationships/oleObject" Target="embeddings/oleObject16.bin"/><Relationship Id="rId53" Type="http://schemas.openxmlformats.org/officeDocument/2006/relationships/image" Target="media/image33.wmf"/><Relationship Id="rId52" Type="http://schemas.openxmlformats.org/officeDocument/2006/relationships/oleObject" Target="embeddings/oleObject15.bin"/><Relationship Id="rId51" Type="http://schemas.openxmlformats.org/officeDocument/2006/relationships/image" Target="media/image32.wmf"/><Relationship Id="rId50" Type="http://schemas.openxmlformats.org/officeDocument/2006/relationships/oleObject" Target="embeddings/oleObject14.bin"/><Relationship Id="rId5" Type="http://schemas.openxmlformats.org/officeDocument/2006/relationships/theme" Target="theme/theme1.xml"/><Relationship Id="rId49" Type="http://schemas.openxmlformats.org/officeDocument/2006/relationships/image" Target="media/image31.png"/><Relationship Id="rId48" Type="http://schemas.openxmlformats.org/officeDocument/2006/relationships/image" Target="media/image30.png"/><Relationship Id="rId47" Type="http://schemas.openxmlformats.org/officeDocument/2006/relationships/image" Target="media/image29.png"/><Relationship Id="rId46" Type="http://schemas.openxmlformats.org/officeDocument/2006/relationships/image" Target="media/image28.png"/><Relationship Id="rId45" Type="http://schemas.openxmlformats.org/officeDocument/2006/relationships/image" Target="media/image27.png"/><Relationship Id="rId44" Type="http://schemas.openxmlformats.org/officeDocument/2006/relationships/image" Target="media/image26.png"/><Relationship Id="rId43" Type="http://schemas.openxmlformats.org/officeDocument/2006/relationships/image" Target="media/image25.png"/><Relationship Id="rId42" Type="http://schemas.openxmlformats.org/officeDocument/2006/relationships/image" Target="media/image24.emf"/><Relationship Id="rId41" Type="http://schemas.openxmlformats.org/officeDocument/2006/relationships/image" Target="media/image23.emf"/><Relationship Id="rId40" Type="http://schemas.openxmlformats.org/officeDocument/2006/relationships/image" Target="media/image22.png"/><Relationship Id="rId4" Type="http://schemas.openxmlformats.org/officeDocument/2006/relationships/endnotes" Target="endnotes.xml"/><Relationship Id="rId39" Type="http://schemas.openxmlformats.org/officeDocument/2006/relationships/image" Target="media/image21.wmf"/><Relationship Id="rId38" Type="http://schemas.openxmlformats.org/officeDocument/2006/relationships/oleObject" Target="embeddings/oleObject13.bin"/><Relationship Id="rId37" Type="http://schemas.openxmlformats.org/officeDocument/2006/relationships/image" Target="media/image20.wmf"/><Relationship Id="rId36" Type="http://schemas.openxmlformats.org/officeDocument/2006/relationships/oleObject" Target="embeddings/oleObject12.bin"/><Relationship Id="rId35" Type="http://schemas.openxmlformats.org/officeDocument/2006/relationships/image" Target="media/image19.wmf"/><Relationship Id="rId34" Type="http://schemas.openxmlformats.org/officeDocument/2006/relationships/oleObject" Target="embeddings/oleObject11.bin"/><Relationship Id="rId33" Type="http://schemas.openxmlformats.org/officeDocument/2006/relationships/image" Target="media/image18.wmf"/><Relationship Id="rId32" Type="http://schemas.openxmlformats.org/officeDocument/2006/relationships/oleObject" Target="embeddings/oleObject10.bin"/><Relationship Id="rId31" Type="http://schemas.openxmlformats.org/officeDocument/2006/relationships/image" Target="media/image17.wmf"/><Relationship Id="rId30" Type="http://schemas.openxmlformats.org/officeDocument/2006/relationships/oleObject" Target="embeddings/oleObject9.bin"/><Relationship Id="rId3" Type="http://schemas.openxmlformats.org/officeDocument/2006/relationships/footnotes" Target="footnotes.xml"/><Relationship Id="rId29" Type="http://schemas.openxmlformats.org/officeDocument/2006/relationships/image" Target="media/image16.wmf"/><Relationship Id="rId28" Type="http://schemas.openxmlformats.org/officeDocument/2006/relationships/oleObject" Target="embeddings/oleObject8.bin"/><Relationship Id="rId27" Type="http://schemas.openxmlformats.org/officeDocument/2006/relationships/oleObject" Target="embeddings/oleObject7.bin"/><Relationship Id="rId26" Type="http://schemas.openxmlformats.org/officeDocument/2006/relationships/image" Target="media/image15.png"/><Relationship Id="rId25" Type="http://schemas.openxmlformats.org/officeDocument/2006/relationships/oleObject" Target="embeddings/oleObject6.bin"/><Relationship Id="rId24" Type="http://schemas.openxmlformats.org/officeDocument/2006/relationships/image" Target="media/image14.wmf"/><Relationship Id="rId23" Type="http://schemas.openxmlformats.org/officeDocument/2006/relationships/oleObject" Target="embeddings/oleObject5.bin"/><Relationship Id="rId22" Type="http://schemas.openxmlformats.org/officeDocument/2006/relationships/image" Target="media/image13.wmf"/><Relationship Id="rId21" Type="http://schemas.openxmlformats.org/officeDocument/2006/relationships/oleObject" Target="embeddings/oleObject4.bin"/><Relationship Id="rId20" Type="http://schemas.openxmlformats.org/officeDocument/2006/relationships/oleObject" Target="embeddings/oleObject3.bin"/><Relationship Id="rId2" Type="http://schemas.openxmlformats.org/officeDocument/2006/relationships/settings" Target="settings.xml"/><Relationship Id="rId19" Type="http://schemas.openxmlformats.org/officeDocument/2006/relationships/image" Target="media/image12.wmf"/><Relationship Id="rId18" Type="http://schemas.openxmlformats.org/officeDocument/2006/relationships/oleObject" Target="embeddings/oleObject2.bin"/><Relationship Id="rId17" Type="http://schemas.openxmlformats.org/officeDocument/2006/relationships/image" Target="media/image11.wmf"/><Relationship Id="rId16" Type="http://schemas.openxmlformats.org/officeDocument/2006/relationships/oleObject" Target="embeddings/oleObject1.bin"/><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DF6488-BCB0-4214-B566-6CF02BC27D2E}">
  <ds:schemaRefs/>
</ds:datastoreItem>
</file>

<file path=docProps/app.xml><?xml version="1.0" encoding="utf-8"?>
<Properties xmlns="http://schemas.openxmlformats.org/officeDocument/2006/extended-properties" xmlns:vt="http://schemas.openxmlformats.org/officeDocument/2006/docPropsVTypes">
  <Template>Normal.dotm</Template>
  <Pages>49</Pages>
  <Words>11379</Words>
  <Characters>13098</Characters>
  <Lines>839</Lines>
  <Paragraphs>452</Paragraphs>
  <TotalTime>10</TotalTime>
  <ScaleCrop>false</ScaleCrop>
  <LinksUpToDate>false</LinksUpToDate>
  <CharactersWithSpaces>13410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2026-09-04T15:33:00Z</dcterms:created>
  <dc:creator>QING WANG</dc:creator>
  <cp:lastModifiedBy>Iris wu</cp:lastModifiedBy>
  <cp:lastPrinted>2026-09-05T09:19:00Z</cp:lastPrinted>
  <dcterms:modified xsi:type="dcterms:W3CDTF">2026-09-08T10:33:34Z</dcterms:modified>
  <cp:revision>111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eyJoZGlkIjoiN2Q2MzQxNDkxODRlMjY1MjMxNzYwZDY1NzgxYTc3N2QiLCJ1c2VySWQiOiIzMTAyMDkyNzUifQ==</vt:lpwstr>
  </property>
  <property fmtid="{D5CDD505-2E9C-101B-9397-08002B2CF9AE}" pid="3" name="KSOProductBuildVer">
    <vt:lpwstr>2052-12.1.0.28043</vt:lpwstr>
  </property>
  <property fmtid="{D5CDD505-2E9C-101B-9397-08002B2CF9AE}" pid="4" name="ICV">
    <vt:lpwstr>E14A0BC014E046F2AACD9F742D8C0BFE_13</vt:lpwstr>
  </property>
</Properties>
</file>