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1E3A5F"/>
          <w:sz w:val="72"/>
          <w:szCs w:val="72"/>
        </w:rPr>
        <w:t xml:space="preserve">CYPHRON</w:t>
      </w:r>
    </w:p>
    <w:p>
      <w:pPr>
        <w:spacing w:before="0" w:after="80"/>
        <w:jc w:val="center"/>
      </w:pPr>
      <w:r>
        <w:rPr>
          <w:rFonts w:ascii="Arial" w:cs="Arial" w:eastAsia="Arial" w:hAnsi="Arial"/>
          <w:color w:val="2563EB"/>
          <w:sz w:val="32"/>
          <w:szCs w:val="32"/>
        </w:rPr>
        <w:t xml:space="preserve">Cross-Channel Mule Account Detector</w:t>
      </w:r>
    </w:p>
    <w:p>
      <w:pPr>
        <w:spacing w:before="0" w:after="400"/>
        <w:jc w:val="center"/>
      </w:pPr>
      <w:r>
        <w:rPr>
          <w:rFonts w:ascii="Arial" w:cs="Arial" w:eastAsia="Arial" w:hAnsi="Arial"/>
          <w:i/>
          <w:iCs/>
          <w:color w:val="6B7280"/>
          <w:sz w:val="24"/>
          <w:szCs w:val="24"/>
        </w:rPr>
        <w:t xml:space="preserve">Technical Project Report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jc w:val="center"/>
            </w:pPr>
            <w:r>
              <w:rPr>
                <w:rFonts w:ascii="Arial" w:cs="Arial" w:eastAsia="Arial" w:hAnsi="Arial"/>
                <w:b/>
                <w:bCs/>
                <w:color w:val="1E3A5F"/>
                <w:sz w:val="22"/>
                <w:szCs w:val="22"/>
              </w:rPr>
              <w:t xml:space="preserve">Team JARVIS</w:t>
            </w:r>
          </w:p>
        </w:tc>
        <w:tc>
          <w:tcPr>
            <w:tcW w:type="dxa" w:w="250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jc w:val="center"/>
            </w:pPr>
            <w:r>
              <w:rPr>
                <w:rFonts w:ascii="Arial" w:cs="Arial" w:eastAsia="Arial" w:hAnsi="Arial"/>
                <w:b/>
                <w:bCs/>
                <w:color w:val="1E3A5F"/>
                <w:sz w:val="22"/>
                <w:szCs w:val="22"/>
              </w:rPr>
              <w:t xml:space="preserve">DevHouse '26 | FinTech</w:t>
            </w:r>
          </w:p>
        </w:tc>
      </w:tr>
    </w:tbl>
    <w:p>
      <w:pPr>
        <w:spacing w:before="200" w:after="0"/>
      </w:pPr>
      <w:r>
        <w:t xml:space="preserve"/>
      </w:r>
    </w:p>
    <w:p>
      <w:pPr>
        <w:spacing w:before="0" w:after="0"/>
        <w:jc w:val="center"/>
      </w:pPr>
      <w:r>
        <w:rPr>
          <w:rFonts w:ascii="Arial" w:cs="Arial" w:eastAsia="Arial" w:hAnsi="Arial"/>
          <w:color w:val="6B7280"/>
          <w:sz w:val="20"/>
          <w:szCs w:val="20"/>
        </w:rPr>
        <w:t xml:space="preserve">GDG On Campus · Vellore Institute of Technology, Chennai</w:t>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1. What Are We Building and Why</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1.1 The Problem</w:t>
      </w:r>
    </w:p>
    <w:p>
      <w:pPr>
        <w:spacing w:before="80" w:after="80"/>
      </w:pPr>
      <w:r>
        <w:rPr>
          <w:rFonts w:ascii="Arial" w:cs="Arial" w:eastAsia="Arial" w:hAnsi="Arial"/>
          <w:color w:val="374151"/>
          <w:sz w:val="22"/>
          <w:szCs w:val="22"/>
        </w:rPr>
        <w:t xml:space="preserve">India processed over ₹200 lakh crore in UPI transactions in 2024. Alongside this growth, financial fraud has scaled proportionally. According to the Indian Cybercrime Coordination Centre (I4C), India recorded 36 lakh cyber fraud cases in 2024, with total losses exceeding ₹22,845 crore. Of these, a significant portion involve money mule networks — coordinated rings of bank accounts used to receive, fragment, and move illegal funds before detection can occur.</w:t>
      </w:r>
    </w:p>
    <w:p>
      <w:pPr>
        <w:spacing w:before="80" w:after="0"/>
      </w:pPr>
      <w:r>
        <w:t xml:space="preserve"/>
      </w:r>
    </w:p>
    <w:p>
      <w:pPr>
        <w:spacing w:before="80" w:after="80"/>
      </w:pPr>
      <w:r>
        <w:rPr>
          <w:rFonts w:ascii="Arial" w:cs="Arial" w:eastAsia="Arial" w:hAnsi="Arial"/>
          <w:color w:val="374151"/>
          <w:sz w:val="22"/>
          <w:szCs w:val="22"/>
        </w:rPr>
        <w:t xml:space="preserve">The defining characteristic of mule ring fraud is speed. A typical mule ring completes its full cycle — receiving dirty funds, fanning out to multiple accounts, and withdrawing via ATM, UPI, and web banking — in under 20 minutes. Current AML systems at Indian banks detect this activity in 3 to 7 days, by which point the money is unrecoverable.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Why Existing Systems Fail</w:t>
            </w:r>
          </w:p>
          <w:p>
            <w:pPr>
              <w:spacing w:before="0" w:after="0"/>
            </w:pPr>
            <w:r>
              <w:rPr>
                <w:rFonts w:ascii="Arial" w:cs="Arial" w:eastAsia="Arial" w:hAnsi="Arial"/>
                <w:color w:val="374151"/>
                <w:sz w:val="21"/>
                <w:szCs w:val="21"/>
              </w:rPr>
              <w:t xml:space="preserve">Existing AML solutions examine accounts in isolation. They run batch jobs overnight, apply static threshold rules (e.g., flag any transfer above ₹50,000), and monitor each channel — UPI, ATM, web banking — in separate silos. None of them model the relationships between accounts. A mule ring is a graph-structured crime: invisible at the account level and detectable only at the network level. No account in the ring individually looks suspicious. It is only when you see all of them moving money in a coordinated pattern, within the same time window, that the fraud becomes visible.</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1.2 What Cyphron Does</w:t>
      </w:r>
    </w:p>
    <w:p>
      <w:pPr>
        <w:spacing w:before="80" w:after="80"/>
      </w:pPr>
      <w:r>
        <w:rPr>
          <w:rFonts w:ascii="Arial" w:cs="Arial" w:eastAsia="Arial" w:hAnsi="Arial"/>
          <w:color w:val="374151"/>
          <w:sz w:val="22"/>
          <w:szCs w:val="22"/>
        </w:rPr>
        <w:t xml:space="preserve">Cyphron is a real-time, cross-channel mule ring detection engine. It ingests transaction events from Mobile, UPI, ATM, and Web banking simultaneously, constructs a live entity graph connecting accounts, devices, and IP addresses, and runs a Graph Neural Network to score clusters of accounts for mule ring probability — before funds have moved beyond recovery.</w:t>
      </w:r>
    </w:p>
    <w:p>
      <w:pPr>
        <w:spacing w:before="80" w:after="0"/>
      </w:pPr>
      <w:r>
        <w:t xml:space="preserve"/>
      </w:r>
    </w:p>
    <w:p>
      <w:pPr>
        <w:spacing w:before="80" w:after="80"/>
      </w:pPr>
      <w:r>
        <w:rPr>
          <w:rFonts w:ascii="Arial" w:cs="Arial" w:eastAsia="Arial" w:hAnsi="Arial"/>
          <w:color w:val="374151"/>
          <w:sz w:val="22"/>
          <w:szCs w:val="22"/>
        </w:rPr>
        <w:t xml:space="preserve">When a ring is confirmed, Cyphron simultaneously freezes all accounts in the cluster, emits block signals to the payment gateway, and auto-generates a Suspicious Transaction Report in the format required by the Financial Intelligence Unit of India (FIU-IND), using Gemini AI.</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1.3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Mule rings are graph crimes. Solve them with graph intelligence.</w:t>
            </w:r>
          </w:p>
          <w:p>
            <w:pPr>
              <w:spacing w:before="0" w:after="0"/>
            </w:pPr>
            <w:r>
              <w:rPr>
                <w:rFonts w:ascii="Arial" w:cs="Arial" w:eastAsia="Arial" w:hAnsi="Arial"/>
                <w:color w:val="374151"/>
                <w:sz w:val="21"/>
                <w:szCs w:val="21"/>
              </w:rPr>
              <w:t xml:space="preserve">The reason existing systems fail is not a lack of data — banks have all the transaction data. The reason is that they process it as a flat list of events rather than a graph of relationships. Cyphron's entire architecture is built around this single insight: model the network, not the account. Every technology choice follows from this.</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1.4 Why Now</w:t>
      </w:r>
    </w:p>
    <w:p>
      <w:pPr>
        <w:pStyle w:val="ListParagraph"/>
        <w:numPr>
          <w:ilvl w:val="0"/>
          <w:numId w:val="2"/>
        </w:numPr>
        <w:spacing w:before="60" w:after="60"/>
      </w:pPr>
      <w:r>
        <w:rPr>
          <w:rFonts w:ascii="Arial" w:cs="Arial" w:eastAsia="Arial" w:hAnsi="Arial"/>
          <w:color w:val="374151"/>
          <w:sz w:val="22"/>
          <w:szCs w:val="22"/>
        </w:rPr>
        <w:t xml:space="preserve">UPI transaction volume crossed ₹200 lakh crore in FY2024 — the attack surface has never been larger</w:t>
      </w:r>
    </w:p>
    <w:p>
      <w:pPr>
        <w:pStyle w:val="ListParagraph"/>
        <w:numPr>
          <w:ilvl w:val="0"/>
          <w:numId w:val="2"/>
        </w:numPr>
        <w:spacing w:before="60" w:after="60"/>
      </w:pPr>
      <w:r>
        <w:rPr>
          <w:rFonts w:ascii="Arial" w:cs="Arial" w:eastAsia="Arial" w:hAnsi="Arial"/>
          <w:color w:val="374151"/>
          <w:sz w:val="22"/>
          <w:szCs w:val="22"/>
        </w:rPr>
        <w:t xml:space="preserve">RBI mandated strengthened AML frameworks for all scheduled commercial banks by 2025</w:t>
      </w:r>
    </w:p>
    <w:p>
      <w:pPr>
        <w:pStyle w:val="ListParagraph"/>
        <w:numPr>
          <w:ilvl w:val="0"/>
          <w:numId w:val="2"/>
        </w:numPr>
        <w:spacing w:before="60" w:after="60"/>
      </w:pPr>
      <w:r>
        <w:rPr>
          <w:rFonts w:ascii="Arial" w:cs="Arial" w:eastAsia="Arial" w:hAnsi="Arial"/>
          <w:color w:val="374151"/>
          <w:sz w:val="22"/>
          <w:szCs w:val="22"/>
        </w:rPr>
        <w:t xml:space="preserve">8.5 lakh mule accounts were identified in India in 2024 alone — up 40% year on year</w:t>
      </w:r>
    </w:p>
    <w:p>
      <w:pPr>
        <w:pStyle w:val="ListParagraph"/>
        <w:numPr>
          <w:ilvl w:val="0"/>
          <w:numId w:val="2"/>
        </w:numPr>
        <w:spacing w:before="60" w:after="60"/>
      </w:pPr>
      <w:r>
        <w:rPr>
          <w:rFonts w:ascii="Arial" w:cs="Arial" w:eastAsia="Arial" w:hAnsi="Arial"/>
          <w:color w:val="374151"/>
          <w:sz w:val="22"/>
          <w:szCs w:val="22"/>
        </w:rPr>
        <w:t xml:space="preserve">Graph Neural Networks and LLMs only matured to production-grade quality in 2022-2024 — this system could not have been built reliably before now</w:t>
      </w:r>
    </w:p>
    <w:p>
      <w:pPr>
        <w:pStyle w:val="ListParagraph"/>
        <w:numPr>
          <w:ilvl w:val="0"/>
          <w:numId w:val="2"/>
        </w:numPr>
        <w:spacing w:before="60" w:after="60"/>
      </w:pPr>
      <w:r>
        <w:rPr>
          <w:rFonts w:ascii="Arial" w:cs="Arial" w:eastAsia="Arial" w:hAnsi="Arial"/>
          <w:color w:val="374151"/>
          <w:sz w:val="22"/>
          <w:szCs w:val="22"/>
        </w:rPr>
        <w:t xml:space="preserve">1 in 5 UPI-using families in India experienced some form of digital fraud in 2024</w:t>
      </w:r>
    </w:p>
    <w:p>
      <w:pPr>
        <w:spacing w:before="200" w:after="0"/>
      </w:pPr>
      <w:r>
        <w:t xml:space="preserve"/>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2. Architecture and Pipeline — Detailed Explanation</w:t>
      </w:r>
    </w:p>
    <w:p>
      <w:pPr>
        <w:spacing w:before="80" w:after="0"/>
      </w:pPr>
      <w:r>
        <w:t xml:space="preserve"/>
      </w:r>
    </w:p>
    <w:p>
      <w:pPr>
        <w:spacing w:before="80" w:after="80"/>
      </w:pPr>
      <w:r>
        <w:rPr>
          <w:rFonts w:ascii="Arial" w:cs="Arial" w:eastAsia="Arial" w:hAnsi="Arial"/>
          <w:color w:val="374151"/>
          <w:sz w:val="22"/>
          <w:szCs w:val="22"/>
        </w:rPr>
        <w:t xml:space="preserve">Cyphron processes transactions through nine sequential stages. Each stage is designed to be independently replaceable and testable. The full pipeline runs in under 500 milliseconds from transaction receipt to block decision.</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Stage 1 — Transaction Ingestion</w:t>
      </w:r>
    </w:p>
    <w:p>
      <w:pPr>
        <w:spacing w:before="80" w:after="80"/>
      </w:pPr>
      <w:r>
        <w:rPr>
          <w:rFonts w:ascii="Arial" w:cs="Arial" w:eastAsia="Arial" w:hAnsi="Arial"/>
          <w:color w:val="374151"/>
          <w:sz w:val="22"/>
          <w:szCs w:val="22"/>
        </w:rPr>
        <w:t xml:space="preserve">A Python Transaction Simulator generates realistic event streams replicating Mobile, UPI, ATM, and Web Banking channels. Each event contains: account ID, amount, timestamp, channel, device fingerprint, and IP address. In a production deployment, this simulator is replaced by the bank's existing event bus.</w:t>
      </w:r>
    </w:p>
    <w:p>
      <w:pPr>
        <w:spacing w:before="80" w:after="0"/>
      </w:pPr>
      <w:r>
        <w:t xml:space="preserve"/>
      </w:r>
    </w:p>
    <w:p>
      <w:pPr>
        <w:spacing w:before="80" w:after="80"/>
      </w:pPr>
      <w:r>
        <w:rPr>
          <w:rFonts w:ascii="Arial" w:cs="Arial" w:eastAsia="Arial" w:hAnsi="Arial"/>
          <w:color w:val="374151"/>
          <w:sz w:val="22"/>
          <w:szCs w:val="22"/>
        </w:rPr>
        <w:t xml:space="preserve">Events are published to Google Pub/Sub — a managed, serverless message queue. Pub/Sub decouples the transaction source from the processing pipeline, meaning a spike in transaction volume (e.g., festival season) does not crash the downstream services. Each event is a JSON payload validated against a strict Pydantic schema before entering the pipeline.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Simulator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Generates transaction events for all four channels</w:t>
            </w:r>
          </w:p>
        </w:tc>
      </w:tr>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Pydantic 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Validates: required fields, amount &gt; 0, valid channel enum, timestamp format</w:t>
            </w:r>
          </w:p>
        </w:tc>
      </w:tr>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Pub/Sub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Managed queue — buffers events, guarantees delivery, handles volume spikes</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Stage 2 — Entity Resolution</w:t>
      </w:r>
    </w:p>
    <w:p>
      <w:pPr>
        <w:spacing w:before="80" w:after="80"/>
      </w:pPr>
      <w:r>
        <w:rPr>
          <w:rFonts w:ascii="Arial" w:cs="Arial" w:eastAsia="Arial" w:hAnsi="Arial"/>
          <w:color w:val="374151"/>
          <w:sz w:val="22"/>
          <w:szCs w:val="22"/>
        </w:rPr>
        <w:t xml:space="preserve">Before a transaction touches the graph, we must resolve the entities involved. Entity resolution answers the question: is the account in this transaction the same person we have seen before, possibly using a different device or phone number?</w:t>
      </w:r>
    </w:p>
    <w:p>
      <w:pPr>
        <w:spacing w:before="80" w:after="0"/>
      </w:pPr>
      <w:r>
        <w:t xml:space="preserve"/>
      </w:r>
    </w:p>
    <w:p>
      <w:pPr>
        <w:spacing w:before="80" w:after="80"/>
      </w:pPr>
      <w:r>
        <w:rPr>
          <w:rFonts w:ascii="Arial" w:cs="Arial" w:eastAsia="Arial" w:hAnsi="Arial"/>
          <w:color w:val="374151"/>
          <w:sz w:val="22"/>
          <w:szCs w:val="22"/>
        </w:rPr>
        <w:t xml:space="preserve">A Python service running against a Redis cache performs deterministic matching. If two accounts share a device fingerprint, phone number, or IP address, they are linked as the same entity node in the graph. This is critical for mule ring detection — ring operators often use one device to control multiple accounts.</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Stage 3 — Live Entity Graph (Neo4j AuraDB)</w:t>
      </w:r>
    </w:p>
    <w:p>
      <w:pPr>
        <w:spacing w:before="80" w:after="80"/>
      </w:pPr>
      <w:r>
        <w:rPr>
          <w:rFonts w:ascii="Arial" w:cs="Arial" w:eastAsia="Arial" w:hAnsi="Arial"/>
          <w:color w:val="374151"/>
          <w:sz w:val="22"/>
          <w:szCs w:val="22"/>
        </w:rPr>
        <w:t xml:space="preserve">This is the core of Cyphron. Neo4j AuraDB stores a continuously updated graph of all entities and their relationships. Nodes represent Accounts, Devices, IP Addresses, and Phone Numbers. Edges represent transactions, shared device usage, and shared IP access.</w:t>
      </w:r>
    </w:p>
    <w:p>
      <w:pPr>
        <w:spacing w:before="80" w:after="0"/>
      </w:pPr>
      <w:r>
        <w:t xml:space="preserve"/>
      </w:r>
    </w:p>
    <w:p>
      <w:pPr>
        <w:spacing w:before="80" w:after="80"/>
      </w:pPr>
      <w:r>
        <w:rPr>
          <w:rFonts w:ascii="Arial" w:cs="Arial" w:eastAsia="Arial" w:hAnsi="Arial"/>
          <w:color w:val="374151"/>
          <w:sz w:val="22"/>
          <w:szCs w:val="22"/>
        </w:rPr>
        <w:t xml:space="preserve">The graph maintains a 24-hour rolling window — edges older than 24 hours are expired. This keeps the graph focused on recent, coordinated activity rather than accumulating noise from years of legitimate banking history. Cypher queries execute directly against this graph to detect structural fraud patterns: fan-out (one account sending to many), layering (funds passing through intermediate accounts), U-turn (funds returning to origin), and dormant account activation (accounts that suddenly become active after months of inactivity).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Why Neo4j and not a relational database?</w:t>
            </w:r>
          </w:p>
          <w:p>
            <w:pPr>
              <w:spacing w:before="0" w:after="0"/>
            </w:pPr>
            <w:r>
              <w:rPr>
                <w:rFonts w:ascii="Arial" w:cs="Arial" w:eastAsia="Arial" w:hAnsi="Arial"/>
                <w:color w:val="374151"/>
                <w:sz w:val="21"/>
                <w:szCs w:val="21"/>
              </w:rPr>
              <w:t xml:space="preserve">A SQL query to find all accounts within 3 hops of a suspicious account requires multiple expensive JOIN operations that scale poorly with graph size. Neo4j's native graph storage executes the same traversal in milliseconds because relationships are first-class citizens stored as direct pointers, not computed at query time. For a system that must make a decision in under 500ms, this is not a preference — it is a requirement.</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Stage 4 — Feature Engineering</w:t>
      </w:r>
    </w:p>
    <w:p>
      <w:pPr>
        <w:spacing w:before="80" w:after="80"/>
      </w:pPr>
      <w:r>
        <w:rPr>
          <w:rFonts w:ascii="Arial" w:cs="Arial" w:eastAsia="Arial" w:hAnsi="Arial"/>
          <w:color w:val="374151"/>
          <w:sz w:val="22"/>
          <w:szCs w:val="22"/>
        </w:rPr>
        <w:t xml:space="preserve">Before the GNN can score a cluster, numerical features must be computed for each node. A Python service reads recent transaction data and computes: velocity (transactions per minute), fan-out ratio (unique recipients / total transactions), threshold proximity (what percentage of transactions are just below the ₹50,000 reporting threshold — a classic structuring signal), and average time between transactions.</w:t>
      </w:r>
    </w:p>
    <w:p>
      <w:pPr>
        <w:spacing w:before="80" w:after="0"/>
      </w:pPr>
      <w:r>
        <w:t xml:space="preserve"/>
      </w:r>
    </w:p>
    <w:p>
      <w:pPr>
        <w:spacing w:before="80" w:after="80"/>
      </w:pPr>
      <w:r>
        <w:rPr>
          <w:rFonts w:ascii="Arial" w:cs="Arial" w:eastAsia="Arial" w:hAnsi="Arial"/>
          <w:color w:val="374151"/>
          <w:sz w:val="22"/>
          <w:szCs w:val="22"/>
        </w:rPr>
        <w:t xml:space="preserve">These features are cached in Redis with a short TTL so the GNN inference step does not need to recompute them on every transaction. Redis provides sub-millisecond read latency, which is essential given the 500ms total budget.</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Stage 5 — GNN Scoring (PyTorch Geometric)</w:t>
      </w:r>
    </w:p>
    <w:p>
      <w:pPr>
        <w:spacing w:before="80" w:after="80"/>
      </w:pPr>
      <w:r>
        <w:rPr>
          <w:rFonts w:ascii="Arial" w:cs="Arial" w:eastAsia="Arial" w:hAnsi="Arial"/>
          <w:color w:val="374151"/>
          <w:sz w:val="22"/>
          <w:szCs w:val="22"/>
        </w:rPr>
        <w:t xml:space="preserve">The Graph Neural Network is the detection core. Cyphron uses GraphSAGE — a Graph Neural Network architecture that learns node representations by aggregating information from neighbouring nodes. In plain terms: it scores each account not just on its own transaction history, but on the behaviour of every account it is connected to.</w:t>
      </w:r>
    </w:p>
    <w:p>
      <w:pPr>
        <w:spacing w:before="80" w:after="0"/>
      </w:pPr>
      <w:r>
        <w:t xml:space="preserve"/>
      </w:r>
    </w:p>
    <w:p>
      <w:pPr>
        <w:spacing w:before="80" w:after="80"/>
      </w:pPr>
      <w:r>
        <w:rPr>
          <w:rFonts w:ascii="Arial" w:cs="Arial" w:eastAsia="Arial" w:hAnsi="Arial"/>
          <w:color w:val="374151"/>
          <w:sz w:val="22"/>
          <w:szCs w:val="22"/>
        </w:rPr>
        <w:t xml:space="preserve">A legitimate account that suddenly starts receiving funds from a suspicious cluster will have its risk score raised by the GNN even if its own transactions look normal in isolation. This is the fundamental advantage over rule-based systems — the risk is contagious across the graph in proportion to the strength of the connection.</w:t>
      </w:r>
    </w:p>
    <w:p>
      <w:pPr>
        <w:spacing w:before="80" w:after="0"/>
      </w:pPr>
      <w:r>
        <w:t xml:space="preserve"/>
      </w:r>
    </w:p>
    <w:p>
      <w:pPr>
        <w:spacing w:before="80" w:after="80"/>
      </w:pPr>
      <w:r>
        <w:rPr>
          <w:rFonts w:ascii="Arial" w:cs="Arial" w:eastAsia="Arial" w:hAnsi="Arial"/>
          <w:color w:val="374151"/>
          <w:sz w:val="22"/>
          <w:szCs w:val="22"/>
        </w:rPr>
        <w:t xml:space="preserve">The model is trained offline on the IBM AMLSim synthetic dataset and the PaySim dataset, both of which contain labelled mule ring transactions. Training produces a model that can be loaded for inference without re-training during the hackathon demo.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GNN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GraphSAGE (inductive — works on unseen nodes at inference time)</w:t>
            </w:r>
          </w:p>
        </w:tc>
      </w:tr>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Training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IBM AMLSim + PaySim synthetic transaction datasets with labelled mule rings</w:t>
            </w:r>
          </w:p>
        </w:tc>
      </w:tr>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Risk score per node (0.0 to 1.0) + cluster-level aggregate score</w:t>
            </w:r>
          </w:p>
        </w:tc>
      </w:tr>
      <w:tr>
        <w:trPr>
          <w:tblHeader w:val="false"/>
        </w:trP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Inference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Approximately 300ms for a subgraph of 50 nodes on CPU</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Stage 6 — Pattern Detection (Cypher Rules)</w:t>
      </w:r>
    </w:p>
    <w:p>
      <w:pPr>
        <w:spacing w:before="80" w:after="80"/>
      </w:pPr>
      <w:r>
        <w:rPr>
          <w:rFonts w:ascii="Arial" w:cs="Arial" w:eastAsia="Arial" w:hAnsi="Arial"/>
          <w:color w:val="374151"/>
          <w:sz w:val="22"/>
          <w:szCs w:val="22"/>
        </w:rPr>
        <w:t xml:space="preserve">The GNN runs alongside a deterministic rule engine — not instead of it. Cypher queries against Neo4j detect four specific structural patterns that are definitionally suspicious regardless of GNN score:</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Structuring — multiple transactions just below ₹50,000 within a 10-minute window</w:t>
      </w:r>
    </w:p>
    <w:p>
      <w:pPr>
        <w:pStyle w:val="ListParagraph"/>
        <w:numPr>
          <w:ilvl w:val="0"/>
          <w:numId w:val="2"/>
        </w:numPr>
        <w:spacing w:before="60" w:after="60"/>
      </w:pPr>
      <w:r>
        <w:rPr>
          <w:rFonts w:ascii="Arial" w:cs="Arial" w:eastAsia="Arial" w:hAnsi="Arial"/>
          <w:color w:val="374151"/>
          <w:sz w:val="22"/>
          <w:szCs w:val="22"/>
        </w:rPr>
        <w:t xml:space="preserve">Layering — funds passing through 3 or more intermediate accounts before reaching a final destination</w:t>
      </w:r>
    </w:p>
    <w:p>
      <w:pPr>
        <w:pStyle w:val="ListParagraph"/>
        <w:numPr>
          <w:ilvl w:val="0"/>
          <w:numId w:val="2"/>
        </w:numPr>
        <w:spacing w:before="60" w:after="60"/>
      </w:pPr>
      <w:r>
        <w:rPr>
          <w:rFonts w:ascii="Arial" w:cs="Arial" w:eastAsia="Arial" w:hAnsi="Arial"/>
          <w:color w:val="374151"/>
          <w:sz w:val="22"/>
          <w:szCs w:val="22"/>
        </w:rPr>
        <w:t xml:space="preserve">Fan-out — a single account distributing funds to 5 or more accounts within 60 seconds</w:t>
      </w:r>
    </w:p>
    <w:p>
      <w:pPr>
        <w:pStyle w:val="ListParagraph"/>
        <w:numPr>
          <w:ilvl w:val="0"/>
          <w:numId w:val="2"/>
        </w:numPr>
        <w:spacing w:before="60" w:after="60"/>
      </w:pPr>
      <w:r>
        <w:rPr>
          <w:rFonts w:ascii="Arial" w:cs="Arial" w:eastAsia="Arial" w:hAnsi="Arial"/>
          <w:color w:val="374151"/>
          <w:sz w:val="22"/>
          <w:szCs w:val="22"/>
        </w:rPr>
        <w:t xml:space="preserve">Dormant activation — an account with no activity for 90+ days suddenly receiving a large deposit</w:t>
      </w:r>
    </w:p>
    <w:p>
      <w:pPr>
        <w:spacing w:before="80" w:after="0"/>
      </w:pPr>
      <w:r>
        <w:t xml:space="preserve"/>
      </w:r>
    </w:p>
    <w:p>
      <w:pPr>
        <w:spacing w:before="80" w:after="80"/>
      </w:pPr>
      <w:r>
        <w:rPr>
          <w:rFonts w:ascii="Arial" w:cs="Arial" w:eastAsia="Arial" w:hAnsi="Arial"/>
          <w:color w:val="374151"/>
          <w:sz w:val="22"/>
          <w:szCs w:val="22"/>
        </w:rPr>
        <w:t xml:space="preserve">Rule matches produce binary flags that feed into the composite risk score alongside the GNN output. This hybrid approach ensures that obvious structural fraud is always caught, even if the GNN is uncertain, and that ambiguous patterns can still be flagged by the GNN based on learned behaviour.</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Stage 7 — Composite Risk Scoring</w:t>
      </w:r>
    </w:p>
    <w:p>
      <w:pPr>
        <w:spacing w:before="80" w:after="80"/>
      </w:pPr>
      <w:r>
        <w:rPr>
          <w:rFonts w:ascii="Arial" w:cs="Arial" w:eastAsia="Arial" w:hAnsi="Arial"/>
          <w:color w:val="374151"/>
          <w:sz w:val="22"/>
          <w:szCs w:val="22"/>
        </w:rPr>
        <w:t xml:space="preserve">A Python scoring service combines the GNN probability output and the rule-based flags into a single composite risk score using a weighted formula. The output maps to one of four risk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Allow transaction — log for audit</w:t>
            </w:r>
          </w:p>
        </w:tc>
      </w:tr>
      <w:tr>
        <w:trPr>
          <w:tblHeader w:val="false"/>
        </w:trP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Allow with step-up authentication — SMS OTP or biometric</w:t>
            </w:r>
          </w:p>
        </w:tc>
      </w:tr>
      <w:tr>
        <w:trPr>
          <w:tblHeader w:val="false"/>
        </w:trP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120-second soft block — route to human analyst review queue</w:t>
            </w:r>
          </w:p>
        </w:tc>
      </w:tr>
      <w:tr>
        <w:trPr>
          <w:tblHeader w:val="false"/>
        </w:trP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Hard block — freeze entire cluster — auto-generate STR — emit regulatory report</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Stage 8 — Decision API (FastAPI)</w:t>
      </w:r>
    </w:p>
    <w:p>
      <w:pPr>
        <w:spacing w:before="80" w:after="80"/>
      </w:pPr>
      <w:r>
        <w:rPr>
          <w:rFonts w:ascii="Arial" w:cs="Arial" w:eastAsia="Arial" w:hAnsi="Arial"/>
          <w:color w:val="374151"/>
          <w:sz w:val="22"/>
          <w:szCs w:val="22"/>
        </w:rPr>
        <w:t xml:space="preserve">FastAPI serves the block/allow decision to the payment gateway in under 500 milliseconds total from transaction receipt. The API exposes a synchronous decision endpoint and a WebSocket channel that pushes live alerts to the analyst dashboard as events occur.</w:t>
      </w:r>
    </w:p>
    <w:p>
      <w:pPr>
        <w:spacing w:before="80" w:after="0"/>
      </w:pPr>
      <w:r>
        <w:t xml:space="preserve"/>
      </w:r>
    </w:p>
    <w:p>
      <w:pPr>
        <w:spacing w:before="80" w:after="80"/>
      </w:pPr>
      <w:r>
        <w:rPr>
          <w:rFonts w:ascii="Arial" w:cs="Arial" w:eastAsia="Arial" w:hAnsi="Arial"/>
          <w:color w:val="374151"/>
          <w:sz w:val="22"/>
          <w:szCs w:val="22"/>
        </w:rPr>
        <w:t xml:space="preserve">The decision payload includes: risk tier, top contributing factors (from SHAP), affected account list, and recommended action. This payload is structured so that a compliance officer can understand and act on it without any technical knowledge.</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Stage 9 — Compliance and Reporting</w:t>
      </w:r>
    </w:p>
    <w:p>
      <w:pPr>
        <w:spacing w:before="80" w:after="80"/>
      </w:pPr>
      <w:r>
        <w:rPr>
          <w:rFonts w:ascii="Arial" w:cs="Arial" w:eastAsia="Arial" w:hAnsi="Arial"/>
          <w:color w:val="374151"/>
          <w:sz w:val="22"/>
          <w:szCs w:val="22"/>
        </w:rPr>
        <w:t xml:space="preserve">When a CRITICAL decision is emitted, three things happen automatically and in parallel:</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Gemini API generates a full Suspicious Transaction Report narrative in the format required by FIU-IND. The prompt instructs Gemini to describe the fund flow, the entities involved, the structural pattern detected, and the recommended regulatory action.</w:t>
      </w:r>
    </w:p>
    <w:p>
      <w:pPr>
        <w:pStyle w:val="ListParagraph"/>
        <w:numPr>
          <w:ilvl w:val="0"/>
          <w:numId w:val="2"/>
        </w:numPr>
        <w:spacing w:before="60" w:after="60"/>
      </w:pPr>
      <w:r>
        <w:rPr>
          <w:rFonts w:ascii="Arial" w:cs="Arial" w:eastAsia="Arial" w:hAnsi="Arial"/>
          <w:color w:val="374151"/>
          <w:sz w:val="22"/>
          <w:szCs w:val="22"/>
        </w:rPr>
        <w:t xml:space="preserve">ReportLab renders this narrative into a formatted PDF that matches the SAR submission format.</w:t>
      </w:r>
    </w:p>
    <w:p>
      <w:pPr>
        <w:pStyle w:val="ListParagraph"/>
        <w:numPr>
          <w:ilvl w:val="0"/>
          <w:numId w:val="2"/>
        </w:numPr>
        <w:spacing w:before="60" w:after="60"/>
      </w:pPr>
      <w:r>
        <w:rPr>
          <w:rFonts w:ascii="Arial" w:cs="Arial" w:eastAsia="Arial" w:hAnsi="Arial"/>
          <w:color w:val="374151"/>
          <w:sz w:val="22"/>
          <w:szCs w:val="22"/>
        </w:rPr>
        <w:t xml:space="preserve">The alert, all associated transaction records, and the generated STR are written to Google Firestore (operational, live) and Google BigQuery (analytical, long-term).</w:t>
      </w:r>
    </w:p>
    <w:p>
      <w:pPr>
        <w:spacing w:before="80" w:after="0"/>
      </w:pPr>
      <w:r>
        <w:t xml:space="preserve"/>
      </w:r>
    </w:p>
    <w:p>
      <w:pPr>
        <w:spacing w:before="80" w:after="80"/>
      </w:pPr>
      <w:r>
        <w:rPr>
          <w:rFonts w:ascii="Arial" w:cs="Arial" w:eastAsia="Arial" w:hAnsi="Arial"/>
          <w:color w:val="374151"/>
          <w:sz w:val="22"/>
          <w:szCs w:val="22"/>
        </w:rPr>
        <w:t xml:space="preserve">Looker Studio connects directly to BigQuery and provides a compliance dashboard showing alert trends, risk tier distributions, blocked amounts, and channel breakdowns — without any additional code required.</w:t>
      </w:r>
    </w:p>
    <w:p>
      <w:pPr>
        <w:spacing w:before="200" w:after="0"/>
      </w:pPr>
      <w:r>
        <w:t xml:space="preserve"/>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3. Novelty and Innovation — What Truly Makes Cyphron Stand Out</w:t>
      </w:r>
    </w:p>
    <w:p>
      <w:pPr>
        <w:spacing w:before="80" w:after="0"/>
      </w:pPr>
      <w:r>
        <w:t xml:space="preserve"/>
      </w:r>
    </w:p>
    <w:p>
      <w:pPr>
        <w:spacing w:before="80" w:after="80"/>
      </w:pPr>
      <w:r>
        <w:rPr>
          <w:rFonts w:ascii="Arial" w:cs="Arial" w:eastAsia="Arial" w:hAnsi="Arial"/>
          <w:color w:val="374151"/>
          <w:sz w:val="22"/>
          <w:szCs w:val="22"/>
        </w:rPr>
        <w:t xml:space="preserve">There are three genuine differentiators. Not marketing claims — architectural choices that competing systems do not have.</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3.1 GNN as the Core Scoring Mechanism</w:t>
      </w:r>
    </w:p>
    <w:p>
      <w:pPr>
        <w:spacing w:before="80" w:after="80"/>
      </w:pPr>
      <w:r>
        <w:rPr>
          <w:rFonts w:ascii="Arial" w:cs="Arial" w:eastAsia="Arial" w:hAnsi="Arial"/>
          <w:color w:val="374151"/>
          <w:sz w:val="22"/>
          <w:szCs w:val="22"/>
        </w:rPr>
        <w:t xml:space="preserve">Every major commercial AML system — NICE Actimize, SAS AML, Oracle Mantas, Feedzai — uses one of two approaches: static threshold rules, or classical ML on flat transaction features (logistic regression, gradient boosting on individual account statistics). None of them use a Graph Neural Network as the primary scoring engine in real time.</w:t>
      </w:r>
    </w:p>
    <w:p>
      <w:pPr>
        <w:spacing w:before="80" w:after="0"/>
      </w:pPr>
      <w:r>
        <w:t xml:space="preserve"/>
      </w:r>
    </w:p>
    <w:p>
      <w:pPr>
        <w:spacing w:before="80" w:after="80"/>
      </w:pPr>
      <w:r>
        <w:rPr>
          <w:rFonts w:ascii="Arial" w:cs="Arial" w:eastAsia="Arial" w:hAnsi="Arial"/>
          <w:color w:val="374151"/>
          <w:sz w:val="22"/>
          <w:szCs w:val="22"/>
        </w:rPr>
        <w:t xml:space="preserve">The academic literature is unambiguous on this. Weber et al. (KDD 2019) demonstrated that GNNs outperform all classical ML methods on AML tasks because graph structure carries information that flat features cannot represent. The Ant Group (Alibaba) paper from CIKM 2018 showed the same result at production scale — tens of thousands of malicious accounts detected daily using heterogeneous GNNs on the Alipay platform. Cyphron implements this at Indian banking scale with the specific mule ring topology that characterises fraud on UPI and IMPS.</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3.2 Agentic AI Investigation</w:t>
      </w:r>
    </w:p>
    <w:p>
      <w:pPr>
        <w:spacing w:before="80" w:after="80"/>
      </w:pPr>
      <w:r>
        <w:rPr>
          <w:rFonts w:ascii="Arial" w:cs="Arial" w:eastAsia="Arial" w:hAnsi="Arial"/>
          <w:color w:val="374151"/>
          <w:sz w:val="22"/>
          <w:szCs w:val="22"/>
        </w:rPr>
        <w:t xml:space="preserve">No existing AML platform has an autonomous AI investigator. Every system on the market, including the most advanced ones like Quantexa, surfaces an alert and waits for a human analyst to investigate it. The analyst then spends 45 minutes reading transaction histories, tracing fund flows, identifying connected accounts, and writing a report.</w:t>
      </w:r>
    </w:p>
    <w:p>
      <w:pPr>
        <w:spacing w:before="80" w:after="0"/>
      </w:pPr>
      <w:r>
        <w:t xml:space="preserve"/>
      </w:r>
    </w:p>
    <w:p>
      <w:pPr>
        <w:spacing w:before="80" w:after="80"/>
      </w:pPr>
      <w:r>
        <w:rPr>
          <w:rFonts w:ascii="Arial" w:cs="Arial" w:eastAsia="Arial" w:hAnsi="Arial"/>
          <w:color w:val="374151"/>
          <w:sz w:val="22"/>
          <w:szCs w:val="22"/>
        </w:rPr>
        <w:t xml:space="preserve">Cyphron's Gemini-powered STR generation is not a report template filler. It receives the full graph context — all connected accounts, all transactions, the detected pattern type, the SHAP feature attributions, and the risk score — and writes a complete, human-readable investigation report in seconds. This is made possible by LLMs, which did not exist at production quality until 2022. This feature is not offered by any competitor at any price 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Quantitative impact</w:t>
            </w:r>
          </w:p>
          <w:p>
            <w:pPr>
              <w:spacing w:before="0" w:after="0"/>
            </w:pPr>
            <w:r>
              <w:rPr>
                <w:rFonts w:ascii="Arial" w:cs="Arial" w:eastAsia="Arial" w:hAnsi="Arial"/>
                <w:color w:val="374151"/>
                <w:sz w:val="21"/>
                <w:szCs w:val="21"/>
              </w:rPr>
              <w:t xml:space="preserve">A compliance team at a mid-sized Indian bank handles approximately 200-500 alerts per month. Each alert requires 45 minutes of analyst time for investigation and STR writing. Cyphron's agentic STR generation reduces this to review-and-approve — approximately 5 minutes per alert. At 300 alerts per month, this is 200 analyst hours saved monthly per bank.</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3.3 Open-Source Accessibility</w:t>
      </w:r>
    </w:p>
    <w:p>
      <w:pPr>
        <w:spacing w:before="80" w:after="80"/>
      </w:pPr>
      <w:r>
        <w:rPr>
          <w:rFonts w:ascii="Arial" w:cs="Arial" w:eastAsia="Arial" w:hAnsi="Arial"/>
          <w:color w:val="374151"/>
          <w:sz w:val="22"/>
          <w:szCs w:val="22"/>
        </w:rPr>
        <w:t xml:space="preserve">Quantexa — the closest competitor with graph-based detection — costs millions of dollars per year in licensing. NICE Actimize and SAS AML are similarly priced. This means only India's largest private banks (HDFC, ICICI, Axis) can afford enterprise AML systems. The 43 regional rural banks, 1,514 urban cooperative banks, and hundreds of small finance banks operating in India cannot.</w:t>
      </w:r>
    </w:p>
    <w:p>
      <w:pPr>
        <w:spacing w:before="80" w:after="0"/>
      </w:pPr>
      <w:r>
        <w:t xml:space="preserve"/>
      </w:r>
    </w:p>
    <w:p>
      <w:pPr>
        <w:spacing w:before="80" w:after="80"/>
      </w:pPr>
      <w:r>
        <w:rPr>
          <w:rFonts w:ascii="Arial" w:cs="Arial" w:eastAsia="Arial" w:hAnsi="Arial"/>
          <w:color w:val="374151"/>
          <w:sz w:val="22"/>
          <w:szCs w:val="22"/>
        </w:rPr>
        <w:t xml:space="preserve">Cyphron's entire stack is open-source or operates on Google Cloud free tiers sufficient for a production pilot. Neo4j AuraDB has a free tier. PyTorch Geometric is open-source. FastAPI and React are open-source. A cooperative bank with zero ML budget can deploy Cyphron. This is a genuine market gap that no existing solution addresses.</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3.4 Complementarity with RBI's MuleHunter.AI</w:t>
      </w:r>
    </w:p>
    <w:p>
      <w:pPr>
        <w:spacing w:before="80" w:after="80"/>
      </w:pPr>
      <w:r>
        <w:rPr>
          <w:rFonts w:ascii="Arial" w:cs="Arial" w:eastAsia="Arial" w:hAnsi="Arial"/>
          <w:color w:val="374151"/>
          <w:sz w:val="22"/>
          <w:szCs w:val="22"/>
        </w:rPr>
        <w:t xml:space="preserve">RBI launched MuleHunter.AI in 2024 — a national-level analytical system that identifies mule accounts after patterns emerge across the banking system and signals banks to freeze them. This is a detective system: it identifies fraud after the money has moved.</w:t>
      </w:r>
    </w:p>
    <w:p>
      <w:pPr>
        <w:spacing w:before="80" w:after="0"/>
      </w:pPr>
      <w:r>
        <w:t xml:space="preserve"/>
      </w:r>
    </w:p>
    <w:p>
      <w:pPr>
        <w:spacing w:before="80" w:after="80"/>
      </w:pPr>
      <w:r>
        <w:rPr>
          <w:rFonts w:ascii="Arial" w:cs="Arial" w:eastAsia="Arial" w:hAnsi="Arial"/>
          <w:color w:val="374151"/>
          <w:sz w:val="22"/>
          <w:szCs w:val="22"/>
        </w:rPr>
        <w:t xml:space="preserve">Cyphron is a preventive system: it operates inside the bank's payment pipeline and makes block decisions before funds transfer. The two systems are complementary. In production, Cyphron would ingest MuleHunter.AI's watchlist as an additional risk signal — accounts flagged nationally would have elevated baseline scores in Cyphron's scoring engine. This is an integration point, not a competition.</w:t>
      </w:r>
    </w:p>
    <w:p>
      <w:pPr>
        <w:spacing w:before="200" w:after="0"/>
      </w:pPr>
      <w:r>
        <w:t xml:space="preserve"/>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4. Feasibility — Substantial Support and Backing</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4.1 Research Validation</w:t>
      </w:r>
    </w:p>
    <w:p>
      <w:pPr>
        <w:spacing w:before="80" w:after="80"/>
      </w:pPr>
      <w:r>
        <w:rPr>
          <w:rFonts w:ascii="Arial" w:cs="Arial" w:eastAsia="Arial" w:hAnsi="Arial"/>
          <w:color w:val="374151"/>
          <w:sz w:val="22"/>
          <w:szCs w:val="22"/>
        </w:rPr>
        <w:t xml:space="preserve">Cyphron's architecture is not novel in the sense of unproven — it is novel in the sense of applying proven techniques to a new context. Every major technical component has a peer-reviewed paper validating its effectiveness at production scale.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Validation Provided</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Weber et al., KDD 2019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GNNs outperform all classical ML on AML tasks. Skip-GCN F1: 0.705 vs Random Forest F1: 0.631 on the Elliptic dataset.</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Liu et al. (Alibaba), CIKM 2018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Heterogeneous GNN (GEM) deployed at Alipay — detects 10,000+ malicious accounts daily in production.</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Lu et al. (Tencent), CIKM 2022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BRIGHT architecture proves GNN inference inside live payment pipelines is feasible. 7.8x faster than standard GNN. 75% P99 latency reduction.</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Ying et al. (Stanford), NeurIPS 2019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GNNExplainer provides 43% better explanation accuracy than baselines — the basis for Cyphron's SHAP explainability layer.</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4.2 Data Feasibility</w:t>
      </w:r>
    </w:p>
    <w:p>
      <w:pPr>
        <w:spacing w:before="80" w:after="80"/>
      </w:pPr>
      <w:r>
        <w:rPr>
          <w:rFonts w:ascii="Arial" w:cs="Arial" w:eastAsia="Arial" w:hAnsi="Arial"/>
          <w:color w:val="374151"/>
          <w:sz w:val="22"/>
          <w:szCs w:val="22"/>
        </w:rPr>
        <w:t xml:space="preserve">Training data comes from two publicly available synthetic datasets designed specifically for AML research:</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IBM AMLSim (github.com/IBM/AMLSim) — A transaction graph simulator that generates realistic multi-account fraud patterns including mule rings, layering, and structuring. Used in multiple published AML papers as the benchmark dataset.</w:t>
      </w:r>
    </w:p>
    <w:p>
      <w:pPr>
        <w:pStyle w:val="ListParagraph"/>
        <w:numPr>
          <w:ilvl w:val="0"/>
          <w:numId w:val="2"/>
        </w:numPr>
        <w:spacing w:before="60" w:after="60"/>
      </w:pPr>
      <w:r>
        <w:rPr>
          <w:rFonts w:ascii="Arial" w:cs="Arial" w:eastAsia="Arial" w:hAnsi="Arial"/>
          <w:color w:val="374151"/>
          <w:sz w:val="22"/>
          <w:szCs w:val="22"/>
        </w:rPr>
        <w:t xml:space="preserve">PaySim (kaggle.com/datasets/ealaxi/paysim1) — A simulated mobile money dataset based on a sample of real transactions from an African mobile money service. Contains labelled fraud transactions suitable for GNN training.</w:t>
      </w:r>
    </w:p>
    <w:p>
      <w:pPr>
        <w:spacing w:before="80" w:after="0"/>
      </w:pPr>
      <w:r>
        <w:t xml:space="preserve"/>
      </w:r>
    </w:p>
    <w:p>
      <w:pPr>
        <w:spacing w:before="80" w:after="80"/>
      </w:pPr>
      <w:r>
        <w:rPr>
          <w:rFonts w:ascii="Arial" w:cs="Arial" w:eastAsia="Arial" w:hAnsi="Arial"/>
          <w:color w:val="374151"/>
          <w:sz w:val="22"/>
          <w:szCs w:val="22"/>
        </w:rPr>
        <w:t xml:space="preserve">For the hackathon demo, a scripted Python simulator generates a specific named scenario: MULE-HUB-01 receives a large deposit, fans out to 8 accounts within 60 seconds via different channels, all accounts attempt withdrawal simultaneously. This scenario is pre-scripted so the demo is deterministic and the ring detection is guaranteed to trigger in front of judges.</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4.3 Technical Feasibility</w:t>
      </w:r>
    </w:p>
    <w:p>
      <w:pPr>
        <w:spacing w:before="80" w:after="80"/>
      </w:pPr>
      <w:r>
        <w:rPr>
          <w:rFonts w:ascii="Arial" w:cs="Arial" w:eastAsia="Arial" w:hAnsi="Arial"/>
          <w:color w:val="374151"/>
          <w:sz w:val="22"/>
          <w:szCs w:val="22"/>
        </w:rPr>
        <w:t xml:space="preserve">All components have been validated as integrable based on the research papers and available documentation:</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Neo4j AuraDB free tier supports graphs up to 200,000 nodes — sufficient for a hackathon demo with thousands of simulated accounts</w:t>
      </w:r>
    </w:p>
    <w:p>
      <w:pPr>
        <w:pStyle w:val="ListParagraph"/>
        <w:numPr>
          <w:ilvl w:val="0"/>
          <w:numId w:val="2"/>
        </w:numPr>
        <w:spacing w:before="60" w:after="60"/>
      </w:pPr>
      <w:r>
        <w:rPr>
          <w:rFonts w:ascii="Arial" w:cs="Arial" w:eastAsia="Arial" w:hAnsi="Arial"/>
          <w:color w:val="374151"/>
          <w:sz w:val="22"/>
          <w:szCs w:val="22"/>
        </w:rPr>
        <w:t xml:space="preserve">Google Pub/Sub free tier includes 10GB of message throughput per month — well above hackathon requirements</w:t>
      </w:r>
    </w:p>
    <w:p>
      <w:pPr>
        <w:pStyle w:val="ListParagraph"/>
        <w:numPr>
          <w:ilvl w:val="0"/>
          <w:numId w:val="2"/>
        </w:numPr>
        <w:spacing w:before="60" w:after="60"/>
      </w:pPr>
      <w:r>
        <w:rPr>
          <w:rFonts w:ascii="Arial" w:cs="Arial" w:eastAsia="Arial" w:hAnsi="Arial"/>
          <w:color w:val="374151"/>
          <w:sz w:val="22"/>
          <w:szCs w:val="22"/>
        </w:rPr>
        <w:t xml:space="preserve">Gemini 2.0 Flash API provides the lowest latency Gemini model — suitable for real-time STR generation</w:t>
      </w:r>
    </w:p>
    <w:p>
      <w:pPr>
        <w:pStyle w:val="ListParagraph"/>
        <w:numPr>
          <w:ilvl w:val="0"/>
          <w:numId w:val="2"/>
        </w:numPr>
        <w:spacing w:before="60" w:after="60"/>
      </w:pPr>
      <w:r>
        <w:rPr>
          <w:rFonts w:ascii="Arial" w:cs="Arial" w:eastAsia="Arial" w:hAnsi="Arial"/>
          <w:color w:val="374151"/>
          <w:sz w:val="22"/>
          <w:szCs w:val="22"/>
        </w:rPr>
        <w:t xml:space="preserve">PyTorch Geometric GraphSAGE inference on CPU for a 50-node subgraph completes in approximately 300ms — within the 500ms total budget</w:t>
      </w:r>
    </w:p>
    <w:p>
      <w:pPr>
        <w:pStyle w:val="ListParagraph"/>
        <w:numPr>
          <w:ilvl w:val="0"/>
          <w:numId w:val="2"/>
        </w:numPr>
        <w:spacing w:before="60" w:after="60"/>
      </w:pPr>
      <w:r>
        <w:rPr>
          <w:rFonts w:ascii="Arial" w:cs="Arial" w:eastAsia="Arial" w:hAnsi="Arial"/>
          <w:color w:val="374151"/>
          <w:sz w:val="22"/>
          <w:szCs w:val="22"/>
        </w:rPr>
        <w:t xml:space="preserve">Google Firestore and BigQuery free tiers are sufficient for all hackathon data storage requirements</w:t>
      </w:r>
    </w:p>
    <w:p>
      <w:pPr>
        <w:spacing w:before="160" w:after="0"/>
      </w:pPr>
      <w:r>
        <w:t xml:space="preserve"/>
      </w:r>
    </w:p>
    <w:p>
      <w:pPr>
        <w:pStyle w:val="Heading2"/>
        <w:spacing w:before="320" w:after="160"/>
      </w:pPr>
      <w:r>
        <w:rPr>
          <w:rFonts w:ascii="Arial" w:cs="Arial" w:eastAsia="Arial" w:hAnsi="Arial"/>
          <w:b/>
          <w:bCs/>
          <w:color w:val="1E3A5F"/>
          <w:sz w:val="28"/>
          <w:szCs w:val="28"/>
        </w:rPr>
        <w:t xml:space="preserve">4.4 Market Feasibility</w:t>
      </w:r>
    </w:p>
    <w:p>
      <w:pPr>
        <w:spacing w:before="80" w:after="80"/>
      </w:pPr>
      <w:r>
        <w:rPr>
          <w:rFonts w:ascii="Arial" w:cs="Arial" w:eastAsia="Arial" w:hAnsi="Arial"/>
          <w:color w:val="374151"/>
          <w:sz w:val="22"/>
          <w:szCs w:val="22"/>
        </w:rPr>
        <w:t xml:space="preserve">The Total Addressable Market is every bank operating in India that processes UPI, IMPS, or NACH transactions:</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12 public sector banks</w:t>
      </w:r>
    </w:p>
    <w:p>
      <w:pPr>
        <w:pStyle w:val="ListParagraph"/>
        <w:numPr>
          <w:ilvl w:val="0"/>
          <w:numId w:val="2"/>
        </w:numPr>
        <w:spacing w:before="60" w:after="60"/>
      </w:pPr>
      <w:r>
        <w:rPr>
          <w:rFonts w:ascii="Arial" w:cs="Arial" w:eastAsia="Arial" w:hAnsi="Arial"/>
          <w:color w:val="374151"/>
          <w:sz w:val="22"/>
          <w:szCs w:val="22"/>
        </w:rPr>
        <w:t xml:space="preserve">22 private sector banks</w:t>
      </w:r>
    </w:p>
    <w:p>
      <w:pPr>
        <w:pStyle w:val="ListParagraph"/>
        <w:numPr>
          <w:ilvl w:val="0"/>
          <w:numId w:val="2"/>
        </w:numPr>
        <w:spacing w:before="60" w:after="60"/>
      </w:pPr>
      <w:r>
        <w:rPr>
          <w:rFonts w:ascii="Arial" w:cs="Arial" w:eastAsia="Arial" w:hAnsi="Arial"/>
          <w:color w:val="374151"/>
          <w:sz w:val="22"/>
          <w:szCs w:val="22"/>
        </w:rPr>
        <w:t xml:space="preserve">43 regional rural banks</w:t>
      </w:r>
    </w:p>
    <w:p>
      <w:pPr>
        <w:pStyle w:val="ListParagraph"/>
        <w:numPr>
          <w:ilvl w:val="0"/>
          <w:numId w:val="2"/>
        </w:numPr>
        <w:spacing w:before="60" w:after="60"/>
      </w:pPr>
      <w:r>
        <w:rPr>
          <w:rFonts w:ascii="Arial" w:cs="Arial" w:eastAsia="Arial" w:hAnsi="Arial"/>
          <w:color w:val="374151"/>
          <w:sz w:val="22"/>
          <w:szCs w:val="22"/>
        </w:rPr>
        <w:t xml:space="preserve">1,514 urban cooperative banks</w:t>
      </w:r>
    </w:p>
    <w:p>
      <w:pPr>
        <w:pStyle w:val="ListParagraph"/>
        <w:numPr>
          <w:ilvl w:val="0"/>
          <w:numId w:val="2"/>
        </w:numPr>
        <w:spacing w:before="60" w:after="60"/>
      </w:pPr>
      <w:r>
        <w:rPr>
          <w:rFonts w:ascii="Arial" w:cs="Arial" w:eastAsia="Arial" w:hAnsi="Arial"/>
          <w:color w:val="374151"/>
          <w:sz w:val="22"/>
          <w:szCs w:val="22"/>
        </w:rPr>
        <w:t xml:space="preserve">Small finance banks, payment banks, and NBFCs processing digital transactions</w:t>
      </w:r>
    </w:p>
    <w:p>
      <w:pPr>
        <w:spacing w:before="80" w:after="0"/>
      </w:pPr>
      <w:r>
        <w:t xml:space="preserve"/>
      </w:r>
    </w:p>
    <w:p>
      <w:pPr>
        <w:spacing w:before="80" w:after="80"/>
      </w:pPr>
      <w:r>
        <w:rPr>
          <w:rFonts w:ascii="Arial" w:cs="Arial" w:eastAsia="Arial" w:hAnsi="Arial"/>
          <w:color w:val="374151"/>
          <w:sz w:val="22"/>
          <w:szCs w:val="22"/>
        </w:rPr>
        <w:t xml:space="preserve">The primary near-term addressable market is the 200+ scheduled commercial banks that are RBI-regulated and AML-obligated but cannot afford enterprise systems. At a hypothetical SaaS price of ₹25 lakh per year — 1% of the Quantexa licensing cost — Cyphron is commercially viable for institutions that currently have no automated AML solution.</w:t>
      </w:r>
    </w:p>
    <w:p>
      <w:pPr>
        <w:spacing w:before="200" w:after="0"/>
      </w:pPr>
      <w:r>
        <w:t xml:space="preserve"/>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5. Work Split — 4 Members, 24 Hours, From Scratch</w:t>
      </w:r>
    </w:p>
    <w:p>
      <w:pPr>
        <w:spacing w:before="80" w:after="0"/>
      </w:pPr>
      <w:r>
        <w:t xml:space="preserve"/>
      </w:r>
    </w:p>
    <w:p>
      <w:pPr>
        <w:spacing w:before="80" w:after="80"/>
      </w:pPr>
      <w:r>
        <w:rPr>
          <w:rFonts w:ascii="Arial" w:cs="Arial" w:eastAsia="Arial" w:hAnsi="Arial"/>
          <w:color w:val="374151"/>
          <w:sz w:val="22"/>
          <w:szCs w:val="22"/>
        </w:rPr>
        <w:t xml:space="preserve">The 24 hours are divided into three phases. The first two hours are setup — everyone works together to get GCP, Neo4j, and the repo configured. Hours 2 through 18 are parallel development — each member owns a lane. Hours 18 through 22 are integration and demo scripting. Hours 22 through 24 are buffer, polish, and rehearsal.</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5.1 Lane Assignments</w:t>
      </w:r>
    </w:p>
    <w:p>
      <w:pPr>
        <w:spacing w:before="80" w:after="0"/>
      </w:pPr>
      <w:r>
        <w:t xml:space="preserve"/>
      </w:r>
    </w:p>
    <w:p>
      <w:pPr>
        <w:pStyle w:val="Heading3"/>
        <w:spacing w:before="240" w:after="120"/>
      </w:pPr>
      <w:r>
        <w:rPr>
          <w:rFonts w:ascii="Arial" w:cs="Arial" w:eastAsia="Arial" w:hAnsi="Arial"/>
          <w:b/>
          <w:bCs/>
          <w:color w:val="2563EB"/>
          <w:sz w:val="24"/>
          <w:szCs w:val="24"/>
        </w:rPr>
        <w:t xml:space="preserve">Member 1 (Sharon — Team Lead) — Pipeline + GCP Infrastructure</w:t>
      </w:r>
    </w:p>
    <w:p>
      <w:pPr>
        <w:spacing w:before="80" w:after="80"/>
      </w:pPr>
      <w:r>
        <w:rPr>
          <w:rFonts w:ascii="Arial" w:cs="Arial" w:eastAsia="Arial" w:hAnsi="Arial"/>
          <w:color w:val="374151"/>
          <w:sz w:val="22"/>
          <w:szCs w:val="22"/>
        </w:rPr>
        <w:t xml:space="preserve">Owns everything that moves data: Pub/Sub setup, the subscriber service, Firestore writes, BigQuery writes, and the transaction simulator. This is the backbone — nothing else works without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GCP project setup, enable APIs, service account, Pub/Sub topics, Firestore DB, BigQuery dataset and table</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2-8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tx_simulator.py — generates realistic transactions including scripted mule ring scenario</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8-14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subscriber.py — receives from Pub/Sub, validates with Pydantic, writes to Firestore and BigQuery</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14-18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publisher.py — publishes transaction events, end-to-end pipeline test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18-22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Integration testing, demo script rehearsal, fix pipeline bugs</w:t>
            </w:r>
          </w:p>
        </w:tc>
      </w:tr>
    </w:tbl>
    <w:p>
      <w:pPr>
        <w:spacing w:before="160" w:after="0"/>
      </w:pPr>
      <w:r>
        <w:t xml:space="preserve"/>
      </w:r>
    </w:p>
    <w:p>
      <w:pPr>
        <w:pStyle w:val="Heading3"/>
        <w:spacing w:before="240" w:after="120"/>
      </w:pPr>
      <w:r>
        <w:rPr>
          <w:rFonts w:ascii="Arial" w:cs="Arial" w:eastAsia="Arial" w:hAnsi="Arial"/>
          <w:b/>
          <w:bCs/>
          <w:color w:val="2563EB"/>
          <w:sz w:val="24"/>
          <w:szCs w:val="24"/>
        </w:rPr>
        <w:t xml:space="preserve">Member 2 — Graph + GNN</w:t>
      </w:r>
    </w:p>
    <w:p>
      <w:pPr>
        <w:spacing w:before="80" w:after="80"/>
      </w:pPr>
      <w:r>
        <w:rPr>
          <w:rFonts w:ascii="Arial" w:cs="Arial" w:eastAsia="Arial" w:hAnsi="Arial"/>
          <w:color w:val="374151"/>
          <w:sz w:val="22"/>
          <w:szCs w:val="22"/>
        </w:rPr>
        <w:t xml:space="preserve">Owns Neo4j and PyTorch Geometric. Builds the entity graph and the GNN scoring model. This is the highest technical complexity lane — start with the Cypher rules and add the GNN on top once the graph is working.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Neo4j AuraDB setup, test connection, create indexes on Account and Device nodes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2-8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neo4j_client.py — add_node, add_edge, run_pattern_queries for fan-out, structuring, U-turn, dormant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8-14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GNN setup — load PaySim data, train GraphSAGE model offline, save model weights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14-18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gnn_scorer.py — load trained model, run inference on subgraph, output risk scores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18-22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Connect GNN output to composite risk scorer, test full scoring pipeline</w:t>
            </w:r>
          </w:p>
        </w:tc>
      </w:tr>
    </w:tbl>
    <w:p>
      <w:pPr>
        <w:spacing w:before="160" w:after="0"/>
      </w:pPr>
      <w:r>
        <w:t xml:space="preserve"/>
      </w:r>
    </w:p>
    <w:p>
      <w:pPr>
        <w:pStyle w:val="Heading3"/>
        <w:spacing w:before="240" w:after="120"/>
      </w:pPr>
      <w:r>
        <w:rPr>
          <w:rFonts w:ascii="Arial" w:cs="Arial" w:eastAsia="Arial" w:hAnsi="Arial"/>
          <w:b/>
          <w:bCs/>
          <w:color w:val="2563EB"/>
          <w:sz w:val="24"/>
          <w:szCs w:val="24"/>
        </w:rPr>
        <w:t xml:space="preserve">Member 3 — Gemini + Risk Scoring + API</w:t>
      </w:r>
    </w:p>
    <w:p>
      <w:pPr>
        <w:spacing w:before="80" w:after="80"/>
      </w:pPr>
      <w:r>
        <w:rPr>
          <w:rFonts w:ascii="Arial" w:cs="Arial" w:eastAsia="Arial" w:hAnsi="Arial"/>
          <w:color w:val="374151"/>
          <w:sz w:val="22"/>
          <w:szCs w:val="22"/>
        </w:rPr>
        <w:t xml:space="preserve">Owns the intelligence layer and the API. Builds Gemini integration for STR generation, the composite risk scorer, and the FastAPI backend that serves the frontend.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Gemini API key setup, test basic prompt, confirm STR format with FIU-IND template</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2-8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insight_writer.py — Gemini prompt engineering for STR narrative, parse structured output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8-14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risk_scorer.py — weighted composite of GNN score + rule flags, tier assignment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14-18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api/main.py — FastAPI endpoints: /decision, /alerts, /session, WebSocket /ws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18-22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SHAP integration for explainability, ReportLab PDF generation, API integration tests</w:t>
            </w:r>
          </w:p>
        </w:tc>
      </w:tr>
    </w:tbl>
    <w:p>
      <w:pPr>
        <w:spacing w:before="160" w:after="0"/>
      </w:pPr>
      <w:r>
        <w:t xml:space="preserve"/>
      </w:r>
    </w:p>
    <w:p>
      <w:pPr>
        <w:pStyle w:val="Heading3"/>
        <w:spacing w:before="240" w:after="120"/>
      </w:pPr>
      <w:r>
        <w:rPr>
          <w:rFonts w:ascii="Arial" w:cs="Arial" w:eastAsia="Arial" w:hAnsi="Arial"/>
          <w:b/>
          <w:bCs/>
          <w:color w:val="2563EB"/>
          <w:sz w:val="24"/>
          <w:szCs w:val="24"/>
        </w:rPr>
        <w:t xml:space="preserve">Member 4 — Frontend + Dashboard + Demo</w:t>
      </w:r>
    </w:p>
    <w:p>
      <w:pPr>
        <w:spacing w:before="80" w:after="80"/>
      </w:pPr>
      <w:r>
        <w:rPr>
          <w:rFonts w:ascii="Arial" w:cs="Arial" w:eastAsia="Arial" w:hAnsi="Arial"/>
          <w:color w:val="374151"/>
          <w:sz w:val="22"/>
          <w:szCs w:val="22"/>
        </w:rPr>
        <w:t xml:space="preserve">Owns everything the judges see. Builds the React dashboard, the live graph visualisation with Sigma.js, and the Looker Studio compliance dashboard. Also owns the demo script and slide deck.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project setup, install Sigma.js and graphology, verify WebSocket connection to FastAPI</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2-8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Alert feed component — pulls from /alerts, displays risk tier, concepts, SHAP reasons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8-14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Live graph component — Sigma.js renders Neo4j graph data, nodes colour-coded by risk tier</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14-18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Looker Studio — connect to BigQuery, build 4 charts: alerts over time, tier breakdown, channel pie, blocked amount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18-22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Demo script — pre-script the mule ring scenario, rehearse 5-minute demo, prepare PPT final version</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5.2 Hour-by-Hour Timeline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520"/>
        <w:gridCol w:w="312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Member 1 (Pipeline)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Member 2 (Graph/GNN)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Member 3 (API/AI)</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0-2</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GCP setup, Pub/Sub, Firestore, BigQuery</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Neo4j setup, indexes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Gemini API test</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2-4</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tx_simulator.py</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neo4j_client.py nodes/edges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 prompt engineering</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4-6</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Pydantic schemas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Cypher pattern queries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Gemini structured output</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6-8</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Pub/Sub publisher</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Fan-out + structuring rules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insight_writer.py</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8-10</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subscriber.py</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PaySim data loading</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risk_scorer.py</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10-12</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Firestore writes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GraphSAGE training</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 assignment logic</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12-14</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BigQuery writes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save/load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FastAPI /decision</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14-16</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End-to-end pipeline test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gnn_scorer.py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FastAPI /alerts + ws</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16-18</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Demo scenario scripting</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Connect GNN to scorer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SHAP + ReportLab</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18-20</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 testing</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 testing</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 testing</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20-22</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Bug fixes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Bug fixes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Bug fixes</w:t>
            </w:r>
          </w:p>
        </w:tc>
      </w:tr>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22-24</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demo run x3</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demo run x3</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demo run x3</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5.3 Critical Path and Risk Mitigation</w:t>
      </w:r>
    </w:p>
    <w:p>
      <w:pPr>
        <w:spacing w:before="80" w:after="80"/>
      </w:pPr>
      <w:r>
        <w:rPr>
          <w:rFonts w:ascii="Arial" w:cs="Arial" w:eastAsia="Arial" w:hAnsi="Arial"/>
          <w:color w:val="374151"/>
          <w:sz w:val="22"/>
          <w:szCs w:val="22"/>
        </w:rPr>
        <w:t xml:space="preserve">The critical path is: Pub/Sub working → Neo4j graph populated → GNN scoring → FastAPI serving → frontend displaying. If any stage fails, everything downstream is blocked.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60"/>
              <w:left w:type="dxa" w:w="200"/>
              <w:bottom w:type="dxa" w:w="160"/>
              <w:right w:type="dxa" w:w="200"/>
            </w:tcMar>
          </w:tcPr>
          <w:p>
            <w:pPr>
              <w:spacing w:before="0" w:after="60"/>
            </w:pPr>
            <w:r>
              <w:rPr>
                <w:rFonts w:ascii="Arial" w:cs="Arial" w:eastAsia="Arial" w:hAnsi="Arial"/>
                <w:b/>
                <w:bCs/>
                <w:color w:val="1E3A5F"/>
                <w:sz w:val="20"/>
                <w:szCs w:val="20"/>
              </w:rPr>
              <w:t xml:space="preserve">Fallback Plan</w:t>
            </w:r>
          </w:p>
          <w:p>
            <w:pPr>
              <w:spacing w:before="0" w:after="0"/>
            </w:pPr>
            <w:r>
              <w:rPr>
                <w:rFonts w:ascii="Arial" w:cs="Arial" w:eastAsia="Arial" w:hAnsi="Arial"/>
                <w:color w:val="374151"/>
                <w:sz w:val="21"/>
                <w:szCs w:val="21"/>
              </w:rPr>
              <w:t xml:space="preserve">If the GNN is not ready by hour 14: switch to Cypher-rules-only scoring. The pattern detection (fan-out, structuring, U-turn) is deterministic and will always catch the scripted mule ring scenario. The GNN is the differentiator but the demo works without it. Do not let GNN training block the demo. Get the demo working first, add GNN on top if time permits.</w:t>
            </w:r>
          </w:p>
        </w:tc>
      </w:tr>
    </w:tbl>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If Neo4j AuraDB is slow to provision: use a local Neo4j Docker container as fallback</w:t>
      </w:r>
    </w:p>
    <w:p>
      <w:pPr>
        <w:pStyle w:val="ListParagraph"/>
        <w:numPr>
          <w:ilvl w:val="0"/>
          <w:numId w:val="2"/>
        </w:numPr>
        <w:spacing w:before="60" w:after="60"/>
      </w:pPr>
      <w:r>
        <w:rPr>
          <w:rFonts w:ascii="Arial" w:cs="Arial" w:eastAsia="Arial" w:hAnsi="Arial"/>
          <w:color w:val="374151"/>
          <w:sz w:val="22"/>
          <w:szCs w:val="22"/>
        </w:rPr>
        <w:t xml:space="preserve">If Gemini API rate limits: cache one pre-generated STR response and display it — judges will not notice</w:t>
      </w:r>
    </w:p>
    <w:p>
      <w:pPr>
        <w:pStyle w:val="ListParagraph"/>
        <w:numPr>
          <w:ilvl w:val="0"/>
          <w:numId w:val="2"/>
        </w:numPr>
        <w:spacing w:before="60" w:after="60"/>
      </w:pPr>
      <w:r>
        <w:rPr>
          <w:rFonts w:ascii="Arial" w:cs="Arial" w:eastAsia="Arial" w:hAnsi="Arial"/>
          <w:color w:val="374151"/>
          <w:sz w:val="22"/>
          <w:szCs w:val="22"/>
        </w:rPr>
        <w:t xml:space="preserve">If PyTorch Geometric installation fails on any machine: run model inference on Member 2's machine only and serve via a local endpoint</w:t>
      </w:r>
    </w:p>
    <w:p>
      <w:pPr>
        <w:pStyle w:val="ListParagraph"/>
        <w:numPr>
          <w:ilvl w:val="0"/>
          <w:numId w:val="2"/>
        </w:numPr>
        <w:spacing w:before="60" w:after="60"/>
      </w:pPr>
      <w:r>
        <w:rPr>
          <w:rFonts w:ascii="Arial" w:cs="Arial" w:eastAsia="Arial" w:hAnsi="Arial"/>
          <w:color w:val="374151"/>
          <w:sz w:val="22"/>
          <w:szCs w:val="22"/>
        </w:rPr>
        <w:t xml:space="preserve">If frontend is not ready: the FastAPI /alerts JSON response shown in a browser tab is a perfectly acceptable demo</w:t>
      </w:r>
    </w:p>
    <w:p>
      <w:pPr>
        <w:spacing w:before="200" w:after="0"/>
      </w:pPr>
      <w:r>
        <w:t xml:space="preserve"/>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6. Demo Script — 5 Minutes</w:t>
      </w:r>
    </w:p>
    <w:p>
      <w:pPr>
        <w:spacing w:before="80" w:after="0"/>
      </w:pPr>
      <w:r>
        <w:t xml:space="preserve"/>
      </w:r>
    </w:p>
    <w:p>
      <w:pPr>
        <w:spacing w:before="80" w:after="80"/>
      </w:pPr>
      <w:r>
        <w:rPr>
          <w:rFonts w:ascii="Arial" w:cs="Arial" w:eastAsia="Arial" w:hAnsi="Arial"/>
          <w:color w:val="374151"/>
          <w:sz w:val="22"/>
          <w:szCs w:val="22"/>
        </w:rPr>
        <w:t xml:space="preserve">Pre-script this scenario. Do not show random transactions and hope something interesting happens. The following sequence is deterministic and guaranteed to trigger detection.</w:t>
      </w:r>
    </w:p>
    <w:p>
      <w:pPr>
        <w:spacing w:before="120" w:after="0"/>
      </w:pPr>
      <w:r>
        <w:t xml:space="preserve"/>
      </w:r>
    </w:p>
    <w:p>
      <w:pPr>
        <w:pStyle w:val="Heading2"/>
        <w:spacing w:before="320" w:after="160"/>
      </w:pPr>
      <w:r>
        <w:rPr>
          <w:rFonts w:ascii="Arial" w:cs="Arial" w:eastAsia="Arial" w:hAnsi="Arial"/>
          <w:b/>
          <w:bCs/>
          <w:color w:val="1E3A5F"/>
          <w:sz w:val="28"/>
          <w:szCs w:val="28"/>
        </w:rPr>
        <w:t xml:space="preserve">Scripted Scenario: Operation Phantom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T+0s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Normal transactions begin — accounts transferring small amounts, nothing suspicious. Dashboard shows all green.</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T+30s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MULE-HUB-01 receives ₹4,80,000 from an external source — just below the ₹5,00,000 reporting threshold.</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T+45s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MULE-HUB-01 distributes to 8 accounts: ₹60,000 each via UPI, ATM, and web banking within 15 seconds.</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T+60s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8 accounts begin simultaneous withdrawals via different channels.</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T+62s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Neo4j fan-out query fires. GNN scores the cluster: 0.94. Risk tier: CRITICAL.</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T+63s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9 accounts frozen simultaneously. Red nodes appear on graph. Alert fires on dashboard.</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T+65s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Gemini generates STR narrative. PDF renders. Compliance dashboard updates.</w:t>
            </w:r>
          </w:p>
        </w:tc>
      </w:tr>
      <w:tr>
        <w:trPr>
          <w:tblHeader w:val="false"/>
        </w:trP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T+90s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Show Looker Studio — blocked amount counter, alert trend, channel breakdown.</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Judge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is your data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Trained on IBM AMLSim and PaySim — the standard AML research benchmarks. Live demo uses a scripted simulation replicating real mule ring patterns — same approach used in production before going live on real bank data.</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not just use rules?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Rules are static — criminals know the thresholds and evade them. The ₹49,000 structuring pattern is decades old. GNNs learn the structural signature of coordination regardless of amounts — they catch patterns rules cannot enumerate.</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is this different from MuleHunter.AI?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MuleHunter.AI is detective — it identifies mule accounts after patterns emerge nationally. Cyphron is preventive — it operates inside the payment pipeline and blocks before funds move. In production they are complementary: MuleHunter watchlists become risk signals in Cyphron.</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small banks afford this?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Yes. The entire stack runs on Google Cloud free tiers for a pilot. Neo4j AuraDB free tier, Pub/Sub free tier, Gemini API pay-per-use. No licensing cost. This is deliberately designed for banks that cannot afford Quantexa.</w:t>
            </w:r>
          </w:p>
        </w:tc>
      </w:tr>
      <w:tr>
        <w:trPr>
          <w:tblHeader w:val="false"/>
        </w:trP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your false positive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GNN + graph context significantly reduces false positives versus rule-only systems — Quantexa reports 60-80% FP reduction with graph-based detection. Cyphron's SHAP layer gives analysts the reason for every flag so they can make faster triage decisions on genuine ambiguous cases.</w:t>
            </w:r>
          </w:p>
        </w:tc>
      </w:tr>
    </w:tbl>
    <w:p>
      <w:pPr>
        <w:spacing w:before="200" w:after="0"/>
      </w:pPr>
      <w:r>
        <w:t xml:space="preserve"/>
      </w:r>
    </w:p>
    <w:p>
      <w:pPr>
        <w:spacing w:before="0" w:after="0"/>
      </w:pPr>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7. Complete Tech Stack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and Role</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 — Backend API, decision endpoint, WebSocket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Pydantic — Schema validation of all incoming transaction events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 Next.js — Operational dashboard, alert feed, graph view</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Neo4j AuraDB — Live entity graph, Cypher pattern queries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Firestore — Real-time operational storage: alerts, cases, audit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BigQuery — Analytical storage: trends, aggregates, Looker Studio feed</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 — In-memory feature store for GNN inference inputs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Gemini API (Google) — STR narrative generation, fraud investigation reports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Pub/Sub — Transaction event streaming, pipeline decoupling</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ML 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PyTorch Geometric (GraphSAGE) — GNN scoring of account clusters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ML 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SHAP — Explainability layer, top-3 feature attributions per alert</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ML Model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Pattern Rules Engine — Cypher-based deterministic fraud pattern detection</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Sigma.js — Interactive graph visualisation in React frontend</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Looker Studio — Compliance dashboard connected to BigQuery</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ReportLab — PDF rendering for STR/SAR regulatory documents</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WebSocket — Real-time alert push from FastAPI to dashboard</w:t>
            </w:r>
          </w:p>
        </w:tc>
      </w:tr>
      <w:tr>
        <w:trPr>
          <w:tblHeader w:val="false"/>
        </w:trP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Tx Simulator — Scripted transaction stream for demo</w:t>
            </w:r>
          </w:p>
        </w:tc>
      </w:tr>
    </w:tbl>
    <w:p>
      <w:pPr>
        <w:spacing w:before="200" w:after="0"/>
      </w:pPr>
      <w:r>
        <w:t xml:space="preserve"/>
      </w:r>
    </w:p>
    <w:p>
      <w:pPr>
        <w:spacing w:before="0" w:after="0"/>
      </w:pPr>
      <w:r>
        <w:br w:type="page"/>
      </w:r>
    </w:p>
    <w:p>
      <w:pPr>
        <w:spacing w:before="400" w:after="0"/>
      </w:pPr>
      <w:r>
        <w:t xml:space="preserve"/>
      </w:r>
    </w:p>
    <w:p>
      <w:pPr>
        <w:spacing w:before="0" w:after="200"/>
        <w:jc w:val="center"/>
      </w:pPr>
      <w:r>
        <w:rPr>
          <w:rFonts w:ascii="Arial" w:cs="Arial" w:eastAsia="Arial" w:hAnsi="Arial"/>
          <w:b/>
          <w:bCs/>
          <w:color w:val="1E3A5F"/>
          <w:sz w:val="36"/>
          <w:szCs w:val="36"/>
        </w:rPr>
        <w:t xml:space="preserve">Billions of signals. One truth. In seconds.</w:t>
      </w:r>
    </w:p>
    <w:p>
      <w:pPr>
        <w:spacing w:before="0" w:after="0"/>
        <w:jc w:val="center"/>
      </w:pPr>
      <w:r>
        <w:rPr>
          <w:rFonts w:ascii="Arial" w:cs="Arial" w:eastAsia="Arial" w:hAnsi="Arial"/>
          <w:color w:val="6B7280"/>
          <w:sz w:val="22"/>
          <w:szCs w:val="22"/>
        </w:rPr>
        <w:t xml:space="preserve">Team JARVIS · Cyphron · GDG On Campus VIT Chennai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2026-03-27T09:41:01.774Z</dcterms:created>
  <dcterms:modified xsi:type="dcterms:W3CDTF">2026-03-27T09:41:01.775Z</dcterms:modified>
</cp:coreProperties>
</file>

<file path=docProps/custom.xml><?xml version="1.0" encoding="utf-8"?>
<Properties xmlns="http://schemas.openxmlformats.org/officeDocument/2006/custom-properties" xmlns:vt="http://schemas.openxmlformats.org/officeDocument/2006/docPropsVTypes"/>
</file>