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EnterpriseRAG Sample Dataset</w:t>
      </w:r>
    </w:p>
    <w:p>
      <w:r>
        <w:t>This sample document is intended for testing the DocxLoader component.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ID</w:t>
            </w:r>
          </w:p>
        </w:tc>
        <w:tc>
          <w:tcPr>
            <w:tcW w:type="dxa" w:w="2160"/>
          </w:tcPr>
          <w:p>
            <w:r>
              <w:t>Source Type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Content</w:t>
            </w:r>
          </w:p>
        </w:tc>
      </w:tr>
      <w:tr>
        <w:tc>
          <w:tcPr>
            <w:tcW w:type="dxa" w:w="2160"/>
          </w:tcPr>
          <w:p>
            <w:r>
              <w:t>DOC-0001</w:t>
            </w:r>
          </w:p>
        </w:tc>
        <w:tc>
          <w:tcPr>
            <w:tcW w:type="dxa" w:w="2160"/>
          </w:tcPr>
          <w:p>
            <w:r>
              <w:t>Confluence</w:t>
            </w:r>
          </w:p>
        </w:tc>
        <w:tc>
          <w:tcPr>
            <w:tcW w:type="dxa" w:w="2160"/>
          </w:tcPr>
          <w:p>
            <w:r>
              <w:t>Deployment Runbook</w:t>
            </w:r>
          </w:p>
        </w:tc>
        <w:tc>
          <w:tcPr>
            <w:tcW w:type="dxa" w:w="2160"/>
          </w:tcPr>
          <w:p>
            <w:r>
              <w:t>Steps to deploy and validate the production service.</w:t>
            </w:r>
          </w:p>
        </w:tc>
      </w:tr>
      <w:tr>
        <w:tc>
          <w:tcPr>
            <w:tcW w:type="dxa" w:w="2160"/>
          </w:tcPr>
          <w:p>
            <w:r>
              <w:t>DOC-0002</w:t>
            </w:r>
          </w:p>
        </w:tc>
        <w:tc>
          <w:tcPr>
            <w:tcW w:type="dxa" w:w="2160"/>
          </w:tcPr>
          <w:p>
            <w:r>
              <w:t>Wiki</w:t>
            </w:r>
          </w:p>
        </w:tc>
        <w:tc>
          <w:tcPr>
            <w:tcW w:type="dxa" w:w="2160"/>
          </w:tcPr>
          <w:p>
            <w:r>
              <w:t>Employee Handbook</w:t>
            </w:r>
          </w:p>
        </w:tc>
        <w:tc>
          <w:tcPr>
            <w:tcW w:type="dxa" w:w="2160"/>
          </w:tcPr>
          <w:p>
            <w:r>
              <w:t>Company policies, leave rules, and onboarding process.</w:t>
            </w:r>
          </w:p>
        </w:tc>
      </w:tr>
      <w:tr>
        <w:tc>
          <w:tcPr>
            <w:tcW w:type="dxa" w:w="2160"/>
          </w:tcPr>
          <w:p>
            <w:r>
              <w:t>DOC-0003</w:t>
            </w:r>
          </w:p>
        </w:tc>
        <w:tc>
          <w:tcPr>
            <w:tcW w:type="dxa" w:w="2160"/>
          </w:tcPr>
          <w:p>
            <w:r>
              <w:t>Support KB</w:t>
            </w:r>
          </w:p>
        </w:tc>
        <w:tc>
          <w:tcPr>
            <w:tcW w:type="dxa" w:w="2160"/>
          </w:tcPr>
          <w:p>
            <w:r>
              <w:t>Password Reset Guide</w:t>
            </w:r>
          </w:p>
        </w:tc>
        <w:tc>
          <w:tcPr>
            <w:tcW w:type="dxa" w:w="2160"/>
          </w:tcPr>
          <w:p>
            <w:r>
              <w:t>Instructions for resetting passwords and MFA recovery.</w:t>
            </w:r>
          </w:p>
        </w:tc>
      </w:tr>
      <w:tr>
        <w:tc>
          <w:tcPr>
            <w:tcW w:type="dxa" w:w="2160"/>
          </w:tcPr>
          <w:p>
            <w:r>
              <w:t>DOC-0004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Database Backup</w:t>
            </w:r>
          </w:p>
        </w:tc>
        <w:tc>
          <w:tcPr>
            <w:tcW w:type="dxa" w:w="2160"/>
          </w:tcPr>
          <w:p>
            <w:r>
              <w:t>Daily backup schedule and restore procedure.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