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Pymaceuticals Inc., a burgeoning pharmaceutical company based out of San Diego. Pymaceuticals specializes in anti-cancer pharmaceuticals. In its most recent efforts, it began screening for potential treatments for squamous cell carcinoma (SCC), a commonly occurring form of skin cancer.  </w:t>
      </w:r>
      <w:r>
        <w:rPr/>
        <w:t xml:space="preserve">Two hundred forty eight mice were tested with various drug regimens.  </w:t>
      </w:r>
      <w:r>
        <w:rPr/>
        <w:t xml:space="preserve">The purpose of this study was to compare the performance of Pymaceuticals' drug of interest, Capomulin, versus the other treatment regimens.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an effort to evaluate if the drugs had an effect on tumor volume, a variety of statistical analyses were calculated.  See the summary statistics table for results.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9140" cy="3116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a close review of mouse ‘g316,’ the drug Capomulin seems to have a large impact on reducing the tumor volume over time.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4840" cy="27051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LibreOffice/7.0.4.2$Windows_X86_64 LibreOffice_project/dcf040e67528d9187c66b2379df5ea4407429775</Application>
  <AppVersion>15.0000</AppVersion>
  <Pages>1</Pages>
  <Words>122</Words>
  <Characters>664</Characters>
  <CharactersWithSpaces>787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2021-04-17T21:31:01Z</dcterms:created>
  <dc:creator/>
  <dc:description/>
  <dc:language>en-US</dc:language>
  <cp:lastModifiedBy/>
  <dcterms:modified xsi:type="dcterms:W3CDTF">2021-04-17T21:43:58Z</dcterms:modified>
  <cp:revision>1</cp:revision>
  <dc:subject/>
  <dc:title/>
</cp:coreProperties>
</file>