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0000"/>
          <w:sz w:val="28"/>
        </w:rPr>
        <w:t>README — Original Data and Code Archive</w:t>
      </w:r>
    </w:p>
    <w:p>
      <w:pPr>
        <w:spacing w:line="360" w:lineRule="auto" w:after="120"/>
      </w:pPr>
      <w:r>
        <w:rPr>
          <w:rFonts w:ascii="Times New Roman" w:hAnsi="Times New Roman"/>
          <w:b w:val="0"/>
          <w:i w:val="0"/>
          <w:color w:val="000000"/>
          <w:sz w:val="24"/>
        </w:rPr>
        <w:t>Manuscript: Predicting High-Burden Central-Compartment Lymph Node Metastasis (≥3 positive nodes) in Papillary Thyroid Carcinoma: A Habitat Radiomics Framework Based on Reconstructed Contrast-Enhanced CT (Sun et al.)</w:t>
      </w:r>
    </w:p>
    <w:p>
      <w:r>
        <w:rPr>
          <w:rFonts w:ascii="Times New Roman" w:hAnsi="Times New Roman"/>
          <w:b/>
          <w:color w:val="000000"/>
          <w:sz w:val="26"/>
        </w:rPr>
        <w:t>Purpose</w:t>
      </w:r>
    </w:p>
    <w:p>
      <w:pPr>
        <w:spacing w:line="360" w:lineRule="auto" w:after="120"/>
      </w:pPr>
      <w:r>
        <w:rPr>
          <w:rFonts w:ascii="Times New Roman" w:hAnsi="Times New Roman"/>
          <w:b w:val="0"/>
          <w:i w:val="0"/>
          <w:color w:val="000000"/>
          <w:sz w:val="24"/>
        </w:rPr>
        <w:t>This archive contains the complete raw data and code used to generate every numeric value reported in the manuscript, the Support information, and the three Provenance Documents. The archive is provided to allow independent verification of data authenticity and full reproducibility of all reported statistics.</w:t>
      </w:r>
    </w:p>
    <w:p>
      <w:r>
        <w:rPr>
          <w:rFonts w:ascii="Times New Roman" w:hAnsi="Times New Roman"/>
          <w:b/>
          <w:color w:val="000000"/>
          <w:sz w:val="26"/>
        </w:rPr>
        <w:t>Top-level structure</w:t>
      </w:r>
    </w:p>
    <w:p>
      <w:pPr>
        <w:spacing w:line="360" w:lineRule="auto"/>
        <w:ind w:left="432"/>
      </w:pPr>
      <w:r>
        <w:rPr>
          <w:rFonts w:ascii="Consolas" w:hAnsi="Consolas"/>
          <w:color w:val="000000"/>
          <w:sz w:val="20"/>
        </w:rPr>
        <w:t>Original_Data/</w:t>
      </w:r>
    </w:p>
    <w:p>
      <w:pPr>
        <w:spacing w:line="360" w:lineRule="auto"/>
        <w:ind w:left="432"/>
      </w:pPr>
      <w:r>
        <w:rPr>
          <w:rFonts w:ascii="Consolas" w:hAnsi="Consolas"/>
          <w:color w:val="000000"/>
          <w:sz w:val="20"/>
        </w:rPr>
        <w:t>├── clinical.csv            # 119 patients x 9 clinical variables</w:t>
      </w:r>
    </w:p>
    <w:p>
      <w:pPr>
        <w:spacing w:line="360" w:lineRule="auto"/>
        <w:ind w:left="432"/>
      </w:pPr>
      <w:r>
        <w:rPr>
          <w:rFonts w:ascii="Consolas" w:hAnsi="Consolas"/>
          <w:color w:val="000000"/>
          <w:sz w:val="20"/>
        </w:rPr>
        <w:t>├── label.csv               # per-patient imaging file, label, cohort</w:t>
      </w:r>
    </w:p>
    <w:p>
      <w:pPr>
        <w:spacing w:line="360" w:lineRule="auto"/>
        <w:ind w:left="432"/>
      </w:pPr>
      <w:r>
        <w:rPr>
          <w:rFonts w:ascii="Consolas" w:hAnsi="Consolas"/>
          <w:color w:val="000000"/>
          <w:sz w:val="20"/>
        </w:rPr>
        <w:t>├── Original_Resolution_Data/   # pipeline on raw-resolution CT</w:t>
      </w:r>
    </w:p>
    <w:p>
      <w:pPr>
        <w:spacing w:line="360" w:lineRule="auto"/>
        <w:ind w:left="432"/>
      </w:pPr>
      <w:r>
        <w:rPr>
          <w:rFonts w:ascii="Consolas" w:hAnsi="Consolas"/>
          <w:color w:val="000000"/>
          <w:sz w:val="20"/>
        </w:rPr>
        <w:t>└── Super_Resolution_Data/      # pipeline on 3D SR-reconstructed CT</w:t>
      </w:r>
    </w:p>
    <w:p>
      <w:r>
        <w:rPr>
          <w:rFonts w:ascii="Times New Roman" w:hAnsi="Times New Roman"/>
          <w:b/>
          <w:color w:val="000000"/>
          <w:sz w:val="26"/>
        </w:rPr>
        <w:t>Root-level patient tables</w:t>
      </w:r>
    </w:p>
    <w:p>
      <w:pPr>
        <w:spacing w:line="360" w:lineRule="auto" w:after="120"/>
      </w:pPr>
      <w:r>
        <w:rPr>
          <w:rFonts w:ascii="Times New Roman" w:hAnsi="Times New Roman"/>
          <w:b/>
          <w:i w:val="0"/>
          <w:color w:val="000000"/>
          <w:sz w:val="24"/>
        </w:rPr>
        <w:t>clinical.csv (119 rows, 9 clinical variables):</w:t>
      </w:r>
    </w:p>
    <w:p>
      <w:pPr>
        <w:pStyle w:val="ListBullet"/>
        <w:spacing w:line="360" w:lineRule="auto" w:after="60"/>
      </w:pPr>
      <w:r>
        <w:rPr>
          <w:rFonts w:ascii="Times New Roman" w:hAnsi="Times New Roman"/>
          <w:color w:val="000000"/>
          <w:sz w:val="24"/>
        </w:rPr>
        <w:t>ID: anonymized patient identifier (1 to 119)</w:t>
      </w:r>
    </w:p>
    <w:p>
      <w:pPr>
        <w:pStyle w:val="ListBullet"/>
        <w:spacing w:line="360" w:lineRule="auto" w:after="60"/>
      </w:pPr>
      <w:r>
        <w:rPr>
          <w:rFonts w:ascii="Times New Roman" w:hAnsi="Times New Roman"/>
          <w:color w:val="000000"/>
          <w:sz w:val="24"/>
        </w:rPr>
        <w:t>Hashimotodisease: 0 = no, 1 = yes</w:t>
      </w:r>
    </w:p>
    <w:p>
      <w:pPr>
        <w:pStyle w:val="ListBullet"/>
        <w:spacing w:line="360" w:lineRule="auto" w:after="60"/>
      </w:pPr>
      <w:r>
        <w:rPr>
          <w:rFonts w:ascii="Times New Roman" w:hAnsi="Times New Roman"/>
          <w:color w:val="000000"/>
          <w:sz w:val="24"/>
        </w:rPr>
        <w:t>FT3, FT4, TSH: thyroid function panel (pmol/L, pmol/L, mIU/L)</w:t>
      </w:r>
    </w:p>
    <w:p>
      <w:pPr>
        <w:pStyle w:val="ListBullet"/>
        <w:spacing w:line="360" w:lineRule="auto" w:after="60"/>
      </w:pPr>
      <w:r>
        <w:rPr>
          <w:rFonts w:ascii="Times New Roman" w:hAnsi="Times New Roman"/>
          <w:color w:val="000000"/>
          <w:sz w:val="24"/>
        </w:rPr>
        <w:t>TgAb, TPOAb: anti-thyroglobulin and anti-thyroid peroxidase antibodies (IU/mL)</w:t>
      </w:r>
    </w:p>
    <w:p>
      <w:pPr>
        <w:pStyle w:val="ListBullet"/>
        <w:spacing w:line="360" w:lineRule="auto" w:after="60"/>
      </w:pPr>
      <w:r>
        <w:rPr>
          <w:rFonts w:ascii="Times New Roman" w:hAnsi="Times New Roman"/>
          <w:color w:val="000000"/>
          <w:sz w:val="24"/>
        </w:rPr>
        <w:t>Tg: thyroglobulin (ng/mL)</w:t>
      </w:r>
    </w:p>
    <w:p>
      <w:pPr>
        <w:pStyle w:val="ListBullet"/>
        <w:spacing w:line="360" w:lineRule="auto" w:after="60"/>
      </w:pPr>
      <w:r>
        <w:rPr>
          <w:rFonts w:ascii="Times New Roman" w:hAnsi="Times New Roman"/>
          <w:color w:val="000000"/>
          <w:sz w:val="24"/>
        </w:rPr>
        <w:t>gender: 0 = female, 1 = male</w:t>
      </w:r>
    </w:p>
    <w:p>
      <w:pPr>
        <w:pStyle w:val="ListBullet"/>
        <w:spacing w:line="360" w:lineRule="auto" w:after="60"/>
      </w:pPr>
      <w:r>
        <w:rPr>
          <w:rFonts w:ascii="Times New Roman" w:hAnsi="Times New Roman"/>
          <w:color w:val="000000"/>
          <w:sz w:val="24"/>
        </w:rPr>
        <w:t>age: age at surgery (years)</w:t>
      </w:r>
    </w:p>
    <w:p>
      <w:pPr>
        <w:spacing w:line="360" w:lineRule="auto" w:after="120"/>
      </w:pPr>
      <w:r>
        <w:rPr>
          <w:rFonts w:ascii="Times New Roman" w:hAnsi="Times New Roman"/>
          <w:b/>
          <w:i w:val="0"/>
          <w:color w:val="000000"/>
          <w:sz w:val="24"/>
        </w:rPr>
        <w:t>label.csv (119 rows):</w:t>
      </w:r>
    </w:p>
    <w:p>
      <w:pPr>
        <w:pStyle w:val="ListBullet"/>
        <w:spacing w:line="360" w:lineRule="auto" w:after="60"/>
      </w:pPr>
      <w:r>
        <w:rPr>
          <w:rFonts w:ascii="Times New Roman" w:hAnsi="Times New Roman"/>
          <w:color w:val="000000"/>
          <w:sz w:val="24"/>
        </w:rPr>
        <w:t>ID: anonymized imaging filename (1.nii.gz to 119.nii.gz)</w:t>
      </w:r>
    </w:p>
    <w:p>
      <w:pPr>
        <w:pStyle w:val="ListBullet"/>
        <w:spacing w:line="360" w:lineRule="auto" w:after="60"/>
      </w:pPr>
      <w:r>
        <w:rPr>
          <w:rFonts w:ascii="Times New Roman" w:hAnsi="Times New Roman"/>
          <w:color w:val="000000"/>
          <w:sz w:val="24"/>
        </w:rPr>
        <w:t>label: 0 = low-burden (&lt;3 positive central-compartment lymph nodes), 1 = high-burden (≥3 positive central-compartment lymph nodes)</w:t>
      </w:r>
    </w:p>
    <w:p>
      <w:pPr>
        <w:pStyle w:val="ListBullet"/>
        <w:spacing w:line="360" w:lineRule="auto" w:after="60"/>
      </w:pPr>
      <w:r>
        <w:rPr>
          <w:rFonts w:ascii="Times New Roman" w:hAnsi="Times New Roman"/>
          <w:color w:val="000000"/>
          <w:sz w:val="24"/>
        </w:rPr>
        <w:t>group: train or test (split fixed across the manuscript, the Support information, and the Provenance Documents)</w:t>
      </w:r>
    </w:p>
    <w:p>
      <w:r>
        <w:rPr>
          <w:rFonts w:ascii="Times New Roman" w:hAnsi="Times New Roman"/>
          <w:b/>
          <w:color w:val="000000"/>
          <w:sz w:val="26"/>
        </w:rPr>
        <w:t>Pipeline subfolders (identical structure for Original_Resolution_Data and Super_Resolution_Data)</w:t>
      </w:r>
    </w:p>
    <w:p>
      <w:pPr>
        <w:spacing w:line="360" w:lineRule="auto"/>
        <w:ind w:left="432"/>
      </w:pPr>
      <w:r>
        <w:rPr>
          <w:rFonts w:ascii="Consolas" w:hAnsi="Consolas"/>
          <w:color w:val="000000"/>
          <w:sz w:val="20"/>
        </w:rPr>
        <w:t>Original_Resolution_Data/         Super_Resolution_Data/</w:t>
      </w:r>
    </w:p>
    <w:p>
      <w:pPr>
        <w:spacing w:line="360" w:lineRule="auto"/>
        <w:ind w:left="432"/>
      </w:pPr>
      <w:r>
        <w:rPr>
          <w:rFonts w:ascii="Consolas" w:hAnsi="Consolas"/>
          <w:color w:val="000000"/>
          <w:sz w:val="20"/>
        </w:rPr>
        <w:t>├── Click_to_run.bat              ├── Click_to_run.bat</w:t>
      </w:r>
    </w:p>
    <w:p>
      <w:pPr>
        <w:spacing w:line="360" w:lineRule="auto"/>
        <w:ind w:left="432"/>
      </w:pPr>
      <w:r>
        <w:rPr>
          <w:rFonts w:ascii="Consolas" w:hAnsi="Consolas"/>
          <w:color w:val="000000"/>
          <w:sz w:val="20"/>
        </w:rPr>
        <w:t>├── config.yaml                   ├── config.yaml</w:t>
      </w:r>
    </w:p>
    <w:p>
      <w:pPr>
        <w:spacing w:line="360" w:lineRule="auto"/>
        <w:ind w:left="432"/>
      </w:pPr>
      <w:r>
        <w:rPr>
          <w:rFonts w:ascii="Consolas" w:hAnsi="Consolas"/>
          <w:color w:val="000000"/>
          <w:sz w:val="20"/>
        </w:rPr>
        <w:t>├── nomogram.png                 ├── nomogram.png</w:t>
      </w:r>
    </w:p>
    <w:p>
      <w:pPr>
        <w:spacing w:line="360" w:lineRule="auto"/>
        <w:ind w:left="432"/>
      </w:pPr>
      <w:r>
        <w:rPr>
          <w:rFonts w:ascii="Consolas" w:hAnsi="Consolas"/>
          <w:color w:val="000000"/>
          <w:sz w:val="20"/>
        </w:rPr>
        <w:t>├── clinic_sel.csv                ├── clinic_sel.csv</w:t>
      </w:r>
    </w:p>
    <w:p>
      <w:pPr>
        <w:spacing w:line="360" w:lineRule="auto"/>
        <w:ind w:left="432"/>
      </w:pPr>
      <w:r>
        <w:rPr>
          <w:rFonts w:ascii="Consolas" w:hAnsi="Consolas"/>
          <w:color w:val="000000"/>
          <w:sz w:val="20"/>
        </w:rPr>
        <w:t>├── stats1.csv                    ├── stats1.csv</w:t>
      </w:r>
    </w:p>
    <w:p>
      <w:pPr>
        <w:spacing w:line="360" w:lineRule="auto"/>
        <w:ind w:left="432"/>
      </w:pPr>
      <w:r>
        <w:rPr>
          <w:rFonts w:ascii="Consolas" w:hAnsi="Consolas"/>
          <w:color w:val="000000"/>
          <w:sz w:val="20"/>
        </w:rPr>
        <w:t>├── custom_settings/              ├── custom_settings/</w:t>
      </w:r>
    </w:p>
    <w:p>
      <w:pPr>
        <w:spacing w:line="360" w:lineRule="auto"/>
        <w:ind w:left="432"/>
      </w:pPr>
      <w:r>
        <w:rPr>
          <w:rFonts w:ascii="Consolas" w:hAnsi="Consolas"/>
          <w:color w:val="000000"/>
          <w:sz w:val="20"/>
        </w:rPr>
        <w:t>│   ├── config19.yaml             │   ├── config19.yaml</w:t>
      </w:r>
    </w:p>
    <w:p>
      <w:pPr>
        <w:spacing w:line="360" w:lineRule="auto"/>
        <w:ind w:left="432"/>
      </w:pPr>
      <w:r>
        <w:rPr>
          <w:rFonts w:ascii="Consolas" w:hAnsi="Consolas"/>
          <w:color w:val="000000"/>
          <w:sz w:val="20"/>
        </w:rPr>
        <w:t>│   ├── exampleCT.yaml            │   ├── exampleCT.yaml</w:t>
      </w:r>
    </w:p>
    <w:p>
      <w:pPr>
        <w:spacing w:line="360" w:lineRule="auto"/>
        <w:ind w:left="432"/>
      </w:pPr>
      <w:r>
        <w:rPr>
          <w:rFonts w:ascii="Consolas" w:hAnsi="Consolas"/>
          <w:color w:val="000000"/>
          <w:sz w:val="20"/>
        </w:rPr>
        <w:t>│   ├── exampleMR_3mm.yaml        │   ├── exampleMR_3mm.yaml</w:t>
      </w:r>
    </w:p>
    <w:p>
      <w:pPr>
        <w:spacing w:line="360" w:lineRule="auto"/>
        <w:ind w:left="432"/>
      </w:pPr>
      <w:r>
        <w:rPr>
          <w:rFonts w:ascii="Consolas" w:hAnsi="Consolas"/>
          <w:color w:val="000000"/>
          <w:sz w:val="20"/>
        </w:rPr>
        <w:t>│   ├── exampleMR_5mm.yaml        │   ├── exampleMR_5mm.yaml</w:t>
      </w:r>
    </w:p>
    <w:p>
      <w:pPr>
        <w:spacing w:line="360" w:lineRule="auto"/>
        <w:ind w:left="432"/>
      </w:pPr>
      <w:r>
        <w:rPr>
          <w:rFonts w:ascii="Consolas" w:hAnsi="Consolas"/>
          <w:color w:val="000000"/>
          <w:sz w:val="20"/>
        </w:rPr>
        <w:t>│   └── examplePET.yaml           │   └── examplePET.yaml</w:t>
      </w:r>
    </w:p>
    <w:p>
      <w:pPr>
        <w:spacing w:line="360" w:lineRule="auto"/>
        <w:ind w:left="432"/>
      </w:pPr>
      <w:r>
        <w:rPr>
          <w:rFonts w:ascii="Consolas" w:hAnsi="Consolas"/>
          <w:color w:val="000000"/>
          <w:sz w:val="20"/>
        </w:rPr>
        <w:t>├── data/                         ├── data/</w:t>
      </w:r>
    </w:p>
    <w:p>
      <w:pPr>
        <w:spacing w:line="360" w:lineRule="auto"/>
        <w:ind w:left="432"/>
      </w:pPr>
      <w:r>
        <w:rPr>
          <w:rFonts w:ascii="Consolas" w:hAnsi="Consolas"/>
          <w:color w:val="000000"/>
          <w:sz w:val="20"/>
        </w:rPr>
        <w:t>│   └── clinical.csv              │   └── clinical.csv</w:t>
      </w:r>
    </w:p>
    <w:p>
      <w:pPr>
        <w:spacing w:line="360" w:lineRule="auto"/>
        <w:ind w:left="432"/>
      </w:pPr>
      <w:r>
        <w:rPr>
          <w:rFonts w:ascii="Consolas" w:hAnsi="Consolas"/>
          <w:color w:val="000000"/>
          <w:sz w:val="20"/>
        </w:rPr>
        <w:t>├── features/                     ├── features/</w:t>
      </w:r>
    </w:p>
    <w:p>
      <w:pPr>
        <w:spacing w:line="360" w:lineRule="auto"/>
        <w:ind w:left="432"/>
      </w:pPr>
      <w:r>
        <w:rPr>
          <w:rFonts w:ascii="Consolas" w:hAnsi="Consolas"/>
          <w:color w:val="000000"/>
          <w:sz w:val="20"/>
        </w:rPr>
        <w:t>│   ├── rad_features.csv          │   ├── rad_features.csv</w:t>
      </w:r>
    </w:p>
    <w:p>
      <w:pPr>
        <w:spacing w:line="360" w:lineRule="auto"/>
        <w:ind w:left="432"/>
      </w:pPr>
      <w:r>
        <w:rPr>
          <w:rFonts w:ascii="Consolas" w:hAnsi="Consolas"/>
          <w:color w:val="000000"/>
          <w:sz w:val="20"/>
        </w:rPr>
        <w:t>│   ├── INTRA_rad_features_1.csv  │   ├── INTRA_rad_features_1.csv</w:t>
      </w:r>
    </w:p>
    <w:p>
      <w:pPr>
        <w:spacing w:line="360" w:lineRule="auto"/>
        <w:ind w:left="432"/>
      </w:pPr>
      <w:r>
        <w:rPr>
          <w:rFonts w:ascii="Consolas" w:hAnsi="Consolas"/>
          <w:color w:val="000000"/>
          <w:sz w:val="20"/>
        </w:rPr>
        <w:t>│   ├── rad_features_h1.csv       │   ├── rad_features_h1.csv</w:t>
      </w:r>
    </w:p>
    <w:p>
      <w:pPr>
        <w:spacing w:line="360" w:lineRule="auto"/>
        <w:ind w:left="432"/>
      </w:pPr>
      <w:r>
        <w:rPr>
          <w:rFonts w:ascii="Consolas" w:hAnsi="Consolas"/>
          <w:color w:val="000000"/>
          <w:sz w:val="20"/>
        </w:rPr>
        <w:t>│   ├── rad_features_h2.csv       │   ├── rad_features_h2.csv</w:t>
      </w:r>
    </w:p>
    <w:p>
      <w:pPr>
        <w:spacing w:line="360" w:lineRule="auto"/>
        <w:ind w:left="432"/>
      </w:pPr>
      <w:r>
        <w:rPr>
          <w:rFonts w:ascii="Consolas" w:hAnsi="Consolas"/>
          <w:color w:val="000000"/>
          <w:sz w:val="20"/>
        </w:rPr>
        <w:t>│   ├── rad_features_h3.csv       │   ├── rad_features_h3.csv</w:t>
      </w:r>
    </w:p>
    <w:p>
      <w:pPr>
        <w:spacing w:line="360" w:lineRule="auto"/>
        <w:ind w:left="432"/>
      </w:pPr>
      <w:r>
        <w:rPr>
          <w:rFonts w:ascii="Consolas" w:hAnsi="Consolas"/>
          <w:color w:val="000000"/>
          <w:sz w:val="20"/>
        </w:rPr>
        <w:t>│   └── rad_features_h4.csv       │   └── rad_features_h4.csv</w:t>
      </w:r>
    </w:p>
    <w:p>
      <w:pPr>
        <w:spacing w:line="360" w:lineRule="auto"/>
        <w:ind w:left="432"/>
      </w:pPr>
      <w:r>
        <w:rPr>
          <w:rFonts w:ascii="Consolas" w:hAnsi="Consolas"/>
          <w:color w:val="000000"/>
          <w:sz w:val="20"/>
        </w:rPr>
        <w:t>├── img/                          ├── img/</w:t>
      </w:r>
    </w:p>
    <w:p>
      <w:pPr>
        <w:spacing w:line="360" w:lineRule="auto"/>
        <w:ind w:left="432"/>
      </w:pPr>
      <w:r>
        <w:rPr>
          <w:rFonts w:ascii="Consolas" w:hAnsi="Consolas"/>
          <w:color w:val="000000"/>
          <w:sz w:val="20"/>
        </w:rPr>
        <w:t>│   └── (ROC, DCA, calibration,   │   └── (ROC, DCA, calibration,</w:t>
      </w:r>
    </w:p>
    <w:p>
      <w:pPr>
        <w:spacing w:line="360" w:lineRule="auto"/>
        <w:ind w:left="432"/>
      </w:pPr>
      <w:r>
        <w:rPr>
          <w:rFonts w:ascii="Consolas" w:hAnsi="Consolas"/>
          <w:color w:val="000000"/>
          <w:sz w:val="20"/>
        </w:rPr>
        <w:t>│        nomogram, lasso, mccv,   │        nomogram, lasso, mccv,</w:t>
      </w:r>
    </w:p>
    <w:p>
      <w:pPr>
        <w:spacing w:line="360" w:lineRule="auto"/>
        <w:ind w:left="432"/>
      </w:pPr>
      <w:r>
        <w:rPr>
          <w:rFonts w:ascii="Consolas" w:hAnsi="Consolas"/>
          <w:color w:val="000000"/>
          <w:sz w:val="20"/>
        </w:rPr>
        <w:t>│        confusion-matrix SVGs)   │        confusion-matrix SVGs)</w:t>
      </w:r>
    </w:p>
    <w:p>
      <w:pPr>
        <w:spacing w:line="360" w:lineRule="auto"/>
        <w:ind w:left="432"/>
      </w:pPr>
      <w:r>
        <w:rPr>
          <w:rFonts w:ascii="Consolas" w:hAnsi="Consolas"/>
          <w:color w:val="000000"/>
          <w:sz w:val="20"/>
        </w:rPr>
        <w:t>├── models/                       ├── models/</w:t>
      </w:r>
    </w:p>
    <w:p>
      <w:pPr>
        <w:spacing w:line="360" w:lineRule="auto"/>
        <w:ind w:left="432"/>
      </w:pPr>
      <w:r>
        <w:rPr>
          <w:rFonts w:ascii="Consolas" w:hAnsi="Consolas"/>
          <w:color w:val="000000"/>
          <w:sz w:val="20"/>
        </w:rPr>
        <w:t>│   └── (joblib .pkl files for    │   └── (joblib .pkl files for</w:t>
      </w:r>
    </w:p>
    <w:p>
      <w:pPr>
        <w:spacing w:line="360" w:lineRule="auto"/>
        <w:ind w:left="432"/>
      </w:pPr>
      <w:r>
        <w:rPr>
          <w:rFonts w:ascii="Consolas" w:hAnsi="Consolas"/>
          <w:color w:val="000000"/>
          <w:sz w:val="20"/>
        </w:rPr>
        <w:t>│        Habitat__XGBoost,        │        Habitat__XGBoost,</w:t>
      </w:r>
    </w:p>
    <w:p>
      <w:pPr>
        <w:spacing w:line="360" w:lineRule="auto"/>
        <w:ind w:left="432"/>
      </w:pPr>
      <w:r>
        <w:rPr>
          <w:rFonts w:ascii="Consolas" w:hAnsi="Consolas"/>
          <w:color w:val="000000"/>
          <w:sz w:val="20"/>
        </w:rPr>
        <w:t>│        INTRA_XGBoost, and 5     │        INTRA_XGBoost, and 5</w:t>
      </w:r>
    </w:p>
    <w:p>
      <w:pPr>
        <w:spacing w:line="360" w:lineRule="auto"/>
        <w:ind w:left="432"/>
      </w:pPr>
      <w:r>
        <w:rPr>
          <w:rFonts w:ascii="Consolas" w:hAnsi="Consolas"/>
          <w:color w:val="000000"/>
          <w:sz w:val="20"/>
        </w:rPr>
        <w:t>│        other classifiers)       │        other classifiers)</w:t>
      </w:r>
    </w:p>
    <w:p>
      <w:pPr>
        <w:spacing w:line="360" w:lineRule="auto"/>
        <w:ind w:left="432"/>
      </w:pPr>
      <w:r>
        <w:rPr>
          <w:rFonts w:ascii="Consolas" w:hAnsi="Consolas"/>
          <w:color w:val="000000"/>
          <w:sz w:val="20"/>
        </w:rPr>
        <w:t>├── results/                      ├── results/</w:t>
      </w:r>
    </w:p>
    <w:p>
      <w:pPr>
        <w:spacing w:line="360" w:lineRule="auto"/>
        <w:ind w:left="432"/>
      </w:pPr>
      <w:r>
        <w:rPr>
          <w:rFonts w:ascii="Consolas" w:hAnsi="Consolas"/>
          <w:color w:val="000000"/>
          <w:sz w:val="20"/>
        </w:rPr>
        <w:t>│   └── (per-sample train/test    │   └── (per-sample train/test</w:t>
      </w:r>
    </w:p>
    <w:p>
      <w:pPr>
        <w:spacing w:line="360" w:lineRule="auto"/>
        <w:ind w:left="432"/>
      </w:pPr>
      <w:r>
        <w:rPr>
          <w:rFonts w:ascii="Consolas" w:hAnsi="Consolas"/>
          <w:color w:val="000000"/>
          <w:sz w:val="20"/>
        </w:rPr>
        <w:t>│        prediction CSVs for      │        prediction CSVs for</w:t>
      </w:r>
    </w:p>
    <w:p>
      <w:pPr>
        <w:spacing w:line="360" w:lineRule="auto"/>
        <w:ind w:left="432"/>
      </w:pPr>
      <w:r>
        <w:rPr>
          <w:rFonts w:ascii="Consolas" w:hAnsi="Consolas"/>
          <w:color w:val="000000"/>
          <w:sz w:val="20"/>
        </w:rPr>
        <w:t>│        Habitat, INTRA, Clinic,  │        Habitat, INTRA, Clinic,</w:t>
      </w:r>
    </w:p>
    <w:p>
      <w:pPr>
        <w:spacing w:line="360" w:lineRule="auto"/>
        <w:ind w:left="432"/>
      </w:pPr>
      <w:r>
        <w:rPr>
          <w:rFonts w:ascii="Consolas" w:hAnsi="Consolas"/>
          <w:color w:val="000000"/>
          <w:sz w:val="20"/>
        </w:rPr>
        <w:t>│        and Nomo across 7 ML     │        and Nomo across 7 ML</w:t>
      </w:r>
    </w:p>
    <w:p>
      <w:pPr>
        <w:spacing w:line="360" w:lineRule="auto"/>
        <w:ind w:left="432"/>
      </w:pPr>
      <w:r>
        <w:rPr>
          <w:rFonts w:ascii="Consolas" w:hAnsi="Consolas"/>
          <w:color w:val="000000"/>
          <w:sz w:val="20"/>
        </w:rPr>
        <w:t>│        models)                  │        models)</w:t>
      </w:r>
    </w:p>
    <w:p>
      <w:pPr>
        <w:spacing w:line="360" w:lineRule="auto"/>
        <w:ind w:left="432"/>
      </w:pPr>
      <w:r>
        <w:rPr>
          <w:rFonts w:ascii="Consolas" w:hAnsi="Consolas"/>
          <w:color w:val="000000"/>
          <w:sz w:val="20"/>
        </w:rPr>
        <w:t>├── Step0. Generate_synthetic_data.ipynb</w:t>
      </w:r>
    </w:p>
    <w:p>
      <w:pPr>
        <w:spacing w:line="360" w:lineRule="auto"/>
        <w:ind w:left="432"/>
      </w:pPr>
      <w:r>
        <w:rPr>
          <w:rFonts w:ascii="Consolas" w:hAnsi="Consolas"/>
          <w:color w:val="000000"/>
          <w:sz w:val="20"/>
        </w:rPr>
        <w:t>├── Step1. Rad-intratumoral.ipynb</w:t>
      </w:r>
    </w:p>
    <w:p>
      <w:pPr>
        <w:spacing w:line="360" w:lineRule="auto"/>
        <w:ind w:left="432"/>
      </w:pPr>
      <w:r>
        <w:rPr>
          <w:rFonts w:ascii="Consolas" w:hAnsi="Consolas"/>
          <w:color w:val="000000"/>
          <w:sz w:val="20"/>
        </w:rPr>
        <w:t>├── Step2. Habitat.ipynb</w:t>
      </w:r>
    </w:p>
    <w:p>
      <w:pPr>
        <w:spacing w:line="360" w:lineRule="auto"/>
        <w:ind w:left="432"/>
      </w:pPr>
      <w:r>
        <w:rPr>
          <w:rFonts w:ascii="Consolas" w:hAnsi="Consolas"/>
          <w:color w:val="000000"/>
          <w:sz w:val="20"/>
        </w:rPr>
        <w:t>├── Step3. Habitat_feature_visualization.ipynb</w:t>
      </w:r>
    </w:p>
    <w:p>
      <w:pPr>
        <w:spacing w:line="360" w:lineRule="auto"/>
        <w:ind w:left="432"/>
      </w:pPr>
      <w:r>
        <w:rPr>
          <w:rFonts w:ascii="Consolas" w:hAnsi="Consolas"/>
          <w:color w:val="000000"/>
          <w:sz w:val="20"/>
        </w:rPr>
        <w:t>├── Step4. Clinical_baseline_statistical_analysis.ipynb</w:t>
      </w:r>
    </w:p>
    <w:p>
      <w:pPr>
        <w:spacing w:line="360" w:lineRule="auto"/>
        <w:ind w:left="432"/>
      </w:pPr>
      <w:r>
        <w:rPr>
          <w:rFonts w:ascii="Consolas" w:hAnsi="Consolas"/>
          <w:color w:val="000000"/>
          <w:sz w:val="20"/>
        </w:rPr>
        <w:t>├── Step5. Clinical.ipynb</w:t>
      </w:r>
    </w:p>
    <w:p>
      <w:pPr>
        <w:spacing w:line="360" w:lineRule="auto"/>
        <w:ind w:left="432"/>
      </w:pPr>
      <w:r>
        <w:rPr>
          <w:rFonts w:ascii="Consolas" w:hAnsi="Consolas"/>
          <w:color w:val="000000"/>
          <w:sz w:val="20"/>
        </w:rPr>
        <w:t>└── Step6. Metrics_summary-Nomogram.ipynb</w:t>
      </w:r>
    </w:p>
    <w:p>
      <w:r>
        <w:rPr>
          <w:rFonts w:ascii="Times New Roman" w:hAnsi="Times New Roman"/>
          <w:b/>
          <w:color w:val="000000"/>
          <w:sz w:val="26"/>
        </w:rPr>
        <w:t>Notebook purpose (per Step)</w:t>
      </w:r>
    </w:p>
    <w:p>
      <w:pPr>
        <w:pStyle w:val="ListBullet"/>
        <w:spacing w:line="360" w:lineRule="auto" w:after="60"/>
      </w:pPr>
      <w:r>
        <w:rPr>
          <w:rFonts w:ascii="Times New Roman" w:hAnsi="Times New Roman"/>
          <w:color w:val="000000"/>
          <w:sz w:val="24"/>
        </w:rPr>
        <w:t>Step0. Generate_synthetic_data: synthetic data generator for single-center / multi-center configurations and data-split utility.</w:t>
      </w:r>
    </w:p>
    <w:p>
      <w:pPr>
        <w:pStyle w:val="ListBullet"/>
        <w:spacing w:line="360" w:lineRule="auto" w:after="60"/>
      </w:pPr>
      <w:r>
        <w:rPr>
          <w:rFonts w:ascii="Times New Roman" w:hAnsi="Times New Roman"/>
          <w:color w:val="000000"/>
          <w:sz w:val="24"/>
        </w:rPr>
        <w:t>Step1. Rad-intratumoral: intratumoral radiomics feature extraction (PyRadiomics, IBSI-compliant) using the same parameter set for both Original and Super-Resolution pipelines.</w:t>
      </w:r>
    </w:p>
    <w:p>
      <w:pPr>
        <w:pStyle w:val="ListBullet"/>
        <w:spacing w:line="360" w:lineRule="auto" w:after="60"/>
      </w:pPr>
      <w:r>
        <w:rPr>
          <w:rFonts w:ascii="Times New Roman" w:hAnsi="Times New Roman"/>
          <w:color w:val="000000"/>
          <w:sz w:val="24"/>
        </w:rPr>
        <w:t>Step2. Habitat: k-means habitat clustering (4-cluster BIC-optimal), per-habitat feature extraction, feature concatenation, ICC thresholding, and LASSO feature selection.</w:t>
      </w:r>
    </w:p>
    <w:p>
      <w:pPr>
        <w:pStyle w:val="ListBullet"/>
        <w:spacing w:line="360" w:lineRule="auto" w:after="60"/>
      </w:pPr>
      <w:r>
        <w:rPr>
          <w:rFonts w:ascii="Times New Roman" w:hAnsi="Times New Roman"/>
          <w:color w:val="000000"/>
          <w:sz w:val="24"/>
        </w:rPr>
        <w:t>Step3. Habitat_feature_visualization: 2D / 3D visualization of habitat clusters, intra-cluster feature distribution, and weight inspection.</w:t>
      </w:r>
    </w:p>
    <w:p>
      <w:pPr>
        <w:pStyle w:val="ListBullet"/>
        <w:spacing w:line="360" w:lineRule="auto" w:after="60"/>
      </w:pPr>
      <w:r>
        <w:rPr>
          <w:rFonts w:ascii="Times New Roman" w:hAnsi="Times New Roman"/>
          <w:color w:val="000000"/>
          <w:sz w:val="24"/>
        </w:rPr>
        <w:t>Step4. Clinical_baseline_statistical_analysis: clinical-baseline statistics (Table 1), univariable logistic regression (Table S3), and univariable / multivariable forest plots.</w:t>
      </w:r>
    </w:p>
    <w:p>
      <w:pPr>
        <w:pStyle w:val="ListBullet"/>
        <w:spacing w:line="360" w:lineRule="auto" w:after="60"/>
      </w:pPr>
      <w:r>
        <w:rPr>
          <w:rFonts w:ascii="Times New Roman" w:hAnsi="Times New Roman"/>
          <w:color w:val="000000"/>
          <w:sz w:val="24"/>
        </w:rPr>
        <w:t>Step5. Clinical: clinical-only ML pipeline (LR, SVM, Random Forest, Extra Trees, XGBoost, LightGBM, MLP) with 5-fold cross-validation.</w:t>
      </w:r>
    </w:p>
    <w:p>
      <w:pPr>
        <w:pStyle w:val="ListBullet"/>
        <w:spacing w:line="360" w:lineRule="auto" w:after="60"/>
      </w:pPr>
      <w:r>
        <w:rPr>
          <w:rFonts w:ascii="Times New Roman" w:hAnsi="Times New Roman"/>
          <w:color w:val="000000"/>
          <w:sz w:val="24"/>
        </w:rPr>
        <w:t>Step6. Metrics_summary-Nomogram: aggregates metrics across all 7 classifiers, builds the nomogram (sex + habitat Rad-score), runs the permutation test, and exports the per-sample CSVs that feed Table 2 and Table S2.</w:t>
      </w:r>
    </w:p>
    <w:p>
      <w:r>
        <w:rPr>
          <w:rFonts w:ascii="Times New Roman" w:hAnsi="Times New Roman"/>
          <w:b/>
          <w:color w:val="000000"/>
          <w:sz w:val="26"/>
        </w:rPr>
        <w:t>Reproducing every reported statistic</w:t>
      </w:r>
    </w:p>
    <w:p>
      <w:pPr>
        <w:spacing w:line="360" w:lineRule="auto" w:after="120"/>
      </w:pPr>
      <w:r>
        <w:rPr>
          <w:rFonts w:ascii="Times New Roman" w:hAnsi="Times New Roman"/>
          <w:b w:val="0"/>
          <w:i w:val="0"/>
          <w:color w:val="000000"/>
          <w:sz w:val="24"/>
        </w:rPr>
        <w:t>Every numeric value in Table 1, Table 2, Table S2, Figure 3, Figure 4, and Figure S5 can be reproduced from the contents of this archive. Concretely:</w:t>
      </w:r>
    </w:p>
    <w:p>
      <w:pPr>
        <w:pStyle w:val="ListBullet"/>
        <w:spacing w:line="360" w:lineRule="auto" w:after="60"/>
      </w:pPr>
      <w:r>
        <w:rPr>
          <w:rFonts w:ascii="Times New Roman" w:hAnsi="Times New Roman"/>
          <w:color w:val="000000"/>
          <w:sz w:val="24"/>
        </w:rPr>
        <w:t>Table 1 baseline statistics: clinical.csv + label.csv → Step4.</w:t>
      </w:r>
    </w:p>
    <w:p>
      <w:pPr>
        <w:pStyle w:val="ListBullet"/>
        <w:spacing w:line="360" w:lineRule="auto" w:after="60"/>
      </w:pPr>
      <w:r>
        <w:rPr>
          <w:rFonts w:ascii="Times New Roman" w:hAnsi="Times New Roman"/>
          <w:color w:val="000000"/>
          <w:sz w:val="24"/>
        </w:rPr>
        <w:t>Table 2 classifier metrics: Step1 / Step2 / Step5 / Step6 → Super_Resolution_Data/results/ and Original_Resolution_Data/results/ → verify against Table 2 Provenance Document.docx.</w:t>
      </w:r>
    </w:p>
    <w:p>
      <w:pPr>
        <w:pStyle w:val="ListBullet"/>
        <w:spacing w:line="360" w:lineRule="auto" w:after="60"/>
      </w:pPr>
      <w:r>
        <w:rPr>
          <w:rFonts w:ascii="Times New Roman" w:hAnsi="Times New Roman"/>
          <w:color w:val="000000"/>
          <w:sz w:val="24"/>
        </w:rPr>
        <w:t>Table S2 7-classifier × 2-resolution metrics: same as Table 2 + Original_Resolution_Data/results/ → verify against Table S2 Provenance Document.docx.</w:t>
      </w:r>
    </w:p>
    <w:p>
      <w:pPr>
        <w:pStyle w:val="ListBullet"/>
        <w:spacing w:line="360" w:lineRule="auto" w:after="60"/>
      </w:pPr>
      <w:r>
        <w:rPr>
          <w:rFonts w:ascii="Times New Roman" w:hAnsi="Times New Roman"/>
          <w:color w:val="000000"/>
          <w:sz w:val="24"/>
        </w:rPr>
        <w:t>Table S3 univariable logistic regression: Step4 → verify against Table 1 Provenance Document.docx.</w:t>
      </w:r>
    </w:p>
    <w:p>
      <w:pPr>
        <w:pStyle w:val="ListBullet"/>
        <w:spacing w:line="360" w:lineRule="auto" w:after="60"/>
      </w:pPr>
      <w:r>
        <w:rPr>
          <w:rFonts w:ascii="Times New Roman" w:hAnsi="Times New Roman"/>
          <w:color w:val="000000"/>
          <w:sz w:val="24"/>
        </w:rPr>
        <w:t>Figure 3 ROC / DCA / calibration: Super_Resolution_Data/img/ and Original_Resolution_Data/img/.</w:t>
      </w:r>
    </w:p>
    <w:p>
      <w:pPr>
        <w:pStyle w:val="ListBullet"/>
        <w:spacing w:line="360" w:lineRule="auto" w:after="60"/>
      </w:pPr>
      <w:r>
        <w:rPr>
          <w:rFonts w:ascii="Times New Roman" w:hAnsi="Times New Roman"/>
          <w:color w:val="000000"/>
          <w:sz w:val="24"/>
        </w:rPr>
        <w:t>Figure 4 nomogram: Super_Resolution_Data/nomogram.png and Original_Resolution_Data/nomogram.png.</w:t>
      </w:r>
    </w:p>
    <w:p>
      <w:pPr>
        <w:pStyle w:val="ListBullet"/>
        <w:spacing w:line="360" w:lineRule="auto" w:after="60"/>
      </w:pPr>
      <w:r>
        <w:rPr>
          <w:rFonts w:ascii="Times New Roman" w:hAnsi="Times New Roman"/>
          <w:color w:val="000000"/>
          <w:sz w:val="24"/>
        </w:rPr>
        <w:t>Figure S5 / S6 DeLong tests: per-sample CSVs in Super_Resolution_Data/results/ → Z = 0.155 (habitat vs. nomogram, p = 0.877) and Z = 4.918 (habitat vs. clinical, p &lt; 0.0001) are reproducible from the Sun-Xu 2014 analytic DeLong implementation.</w:t>
      </w:r>
    </w:p>
    <w:p>
      <w:r>
        <w:rPr>
          <w:rFonts w:ascii="Times New Roman" w:hAnsi="Times New Roman"/>
          <w:b/>
          <w:color w:val="000000"/>
          <w:sz w:val="26"/>
        </w:rPr>
        <w:t>Software requirements</w:t>
      </w:r>
    </w:p>
    <w:p>
      <w:pPr>
        <w:pStyle w:val="ListBullet"/>
        <w:spacing w:line="360" w:lineRule="auto" w:after="60"/>
      </w:pPr>
      <w:r>
        <w:rPr>
          <w:rFonts w:ascii="Times New Roman" w:hAnsi="Times New Roman"/>
          <w:color w:val="000000"/>
          <w:sz w:val="24"/>
        </w:rPr>
        <w:t>Python ≥ 3.9 with the libraries listed in custom_settings/.</w:t>
      </w:r>
    </w:p>
    <w:p>
      <w:pPr>
        <w:pStyle w:val="ListBullet"/>
        <w:spacing w:line="360" w:lineRule="auto" w:after="60"/>
      </w:pPr>
      <w:r>
        <w:rPr>
          <w:rFonts w:ascii="Times New Roman" w:hAnsi="Times New Roman"/>
          <w:color w:val="000000"/>
          <w:sz w:val="24"/>
        </w:rPr>
        <w:t>onekey_algo (the radiomics pipeline orchestrator used in the manuscript) is the recommended way to re-run the notebooks end-to-end; Click_to_run.bat at the top of each pipeline subfolder is the conventional entry point.</w:t>
      </w:r>
    </w:p>
    <w:p>
      <w:pPr>
        <w:pStyle w:val="ListBullet"/>
        <w:spacing w:line="360" w:lineRule="auto" w:after="60"/>
      </w:pPr>
      <w:r>
        <w:rPr>
          <w:rFonts w:ascii="Times New Roman" w:hAnsi="Times New Roman"/>
          <w:color w:val="000000"/>
          <w:sz w:val="24"/>
        </w:rPr>
        <w:t>Joblib is used for .pkl serialization (standard scikit-learn 1.0+ persistence). The Habitat and INTRA pickle files contain the LASSO-selected feature names, the trained classifier, and the cross-validated probability outputs used to generate Figure 3 and Figure S5.</w:t>
      </w:r>
    </w:p>
    <w:p>
      <w:r>
        <w:rPr>
          <w:rFonts w:ascii="Times New Roman" w:hAnsi="Times New Roman"/>
          <w:b/>
          <w:color w:val="000000"/>
          <w:sz w:val="26"/>
        </w:rPr>
        <w:t>Privacy and data minimization</w:t>
      </w:r>
    </w:p>
    <w:p>
      <w:pPr>
        <w:spacing w:line="360" w:lineRule="auto" w:after="120"/>
      </w:pPr>
      <w:r>
        <w:rPr>
          <w:rFonts w:ascii="Times New Roman" w:hAnsi="Times New Roman"/>
          <w:b w:val="0"/>
          <w:i w:val="0"/>
          <w:color w:val="000000"/>
          <w:sz w:val="24"/>
        </w:rPr>
        <w:t>Patient imaging files are referenced by the anonymized identifiers 1.nii.gz to 119.nii.gz in label.csv. The raw NIfTI volumes are not included in this archive to minimize data transfer; the radiomic feature CSVs in features/ contain the full IBSI feature set used in the manuscript and are sufficient to reproduce every reported classifier metric. The original NIfTI volumes are available from the corresponding author on reasonable request subject to institutional data-sharing agreements.</w:t>
      </w:r>
    </w:p>
    <w:p>
      <w:r>
        <w:rPr>
          <w:rFonts w:ascii="Times New Roman" w:hAnsi="Times New Roman"/>
          <w:b/>
          <w:color w:val="000000"/>
          <w:sz w:val="26"/>
        </w:rPr>
        <w:t>Contact</w:t>
      </w:r>
    </w:p>
    <w:p>
      <w:pPr>
        <w:spacing w:line="360" w:lineRule="auto" w:after="120"/>
      </w:pPr>
      <w:r>
        <w:rPr>
          <w:rFonts w:ascii="Times New Roman" w:hAnsi="Times New Roman"/>
          <w:b w:val="0"/>
          <w:i w:val="0"/>
          <w:color w:val="000000"/>
          <w:sz w:val="24"/>
        </w:rPr>
        <w:t>For questions about this archive, please contact the corresponding author at the email listed in the manuscript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