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Body"/>
        <w:jc w:val="center"/>
        <w:rPr>
          <w:b w:val="1"/>
          <w:bCs w:val="1"/>
          <w:u w:val="single"/>
        </w:rPr>
      </w:pPr>
      <w:r>
        <w:rPr>
          <w:b w:val="1"/>
          <w:bCs w:val="1"/>
          <w:u w:val="single"/>
          <w:rtl w:val="0"/>
          <w:lang w:val="en-US"/>
        </w:rPr>
        <w:t>EE 522 - PsiQuantum Group - Weekly Report 6</w:t>
      </w:r>
    </w:p>
    <w:p>
      <w:pPr>
        <w:pStyle w:val="Body"/>
        <w:jc w:val="center"/>
        <w:rPr>
          <w:b w:val="1"/>
          <w:bCs w:val="1"/>
          <w:u w:val="single"/>
        </w:rPr>
      </w:pPr>
    </w:p>
    <w:p>
      <w:pPr>
        <w:pStyle w:val="Body"/>
        <w:jc w:val="center"/>
      </w:pPr>
      <w:r>
        <w:rPr>
          <w:rtl w:val="0"/>
          <w:lang w:val="en-US"/>
        </w:rPr>
        <w:t xml:space="preserve">Kush </w:t>
      </w:r>
      <w:r>
        <w:rPr>
          <w:rtl w:val="0"/>
          <w:lang w:val="sv-SE"/>
        </w:rPr>
        <w:t>Aggarwal</w:t>
      </w:r>
    </w:p>
    <w:p>
      <w:pPr>
        <w:pStyle w:val="Body"/>
        <w:jc w:val="center"/>
      </w:pPr>
      <w:r>
        <w:rPr>
          <w:rtl w:val="0"/>
          <w:lang w:val="en-US"/>
        </w:rPr>
        <w:t>Thomas Huang</w:t>
      </w:r>
    </w:p>
    <w:p>
      <w:pPr>
        <w:pStyle w:val="Body"/>
        <w:jc w:val="center"/>
      </w:pPr>
      <w:r>
        <w:rPr>
          <w:rtl w:val="0"/>
          <w:lang w:val="en-US"/>
        </w:rPr>
        <w:t>Christopher Sharp</w:t>
      </w:r>
    </w:p>
    <w:p>
      <w:pPr>
        <w:pStyle w:val="Body"/>
        <w:jc w:val="center"/>
      </w:pPr>
    </w:p>
    <w:p>
      <w:pPr>
        <w:pStyle w:val="Body"/>
        <w:jc w:val="left"/>
        <w:rPr>
          <w:i w:val="1"/>
          <w:iCs w:val="1"/>
        </w:rPr>
      </w:pPr>
      <w:r>
        <w:rPr>
          <w:i w:val="1"/>
          <w:iCs w:val="1"/>
          <w:rtl w:val="0"/>
          <w:lang w:val="en-US"/>
        </w:rPr>
        <w:t>Previous Meeting Items</w:t>
      </w:r>
    </w:p>
    <w:p>
      <w:pPr>
        <w:pStyle w:val="Body"/>
        <w:jc w:val="left"/>
        <w:rPr>
          <w:i w:val="1"/>
          <w:iCs w:val="1"/>
        </w:rPr>
      </w:pPr>
    </w:p>
    <w:p>
      <w:pPr>
        <w:pStyle w:val="Body"/>
        <w:jc w:val="left"/>
      </w:pPr>
      <w:r>
        <w:rPr>
          <w:rtl w:val="0"/>
          <w:lang w:val="en-US"/>
        </w:rPr>
        <w:t xml:space="preserve">We had to develop a common testing base, checking for things like </w:t>
      </w:r>
      <w:r>
        <w:rPr>
          <w:rtl w:val="0"/>
          <w:lang w:val="en-US"/>
        </w:rPr>
        <w:t>“</w:t>
      </w:r>
      <w:r>
        <w:rPr>
          <w:rtl w:val="0"/>
          <w:lang w:val="en-US"/>
        </w:rPr>
        <w:t>uncomputing</w:t>
      </w:r>
      <w:r>
        <w:rPr>
          <w:rtl w:val="0"/>
          <w:lang w:val="en-US"/>
        </w:rPr>
        <w:t xml:space="preserve">” </w:t>
      </w:r>
      <w:r>
        <w:rPr>
          <w:rtl w:val="0"/>
          <w:lang w:val="en-US"/>
        </w:rPr>
        <w:t>qubits i.e. make sure the user</w:t>
      </w:r>
      <w:r>
        <w:rPr>
          <w:rtl w:val="0"/>
          <w:lang w:val="en-US"/>
        </w:rPr>
        <w:t>’</w:t>
      </w:r>
      <w:r>
        <w:rPr>
          <w:rtl w:val="0"/>
          <w:lang w:val="en-US"/>
        </w:rPr>
        <w:t>s qubit registers are going in are what they get coming out. We wanted to better work with the Workbench framework so that algorithms handle the way they are expected. We needed to select new algorithms.</w:t>
      </w:r>
    </w:p>
    <w:p>
      <w:pPr>
        <w:pStyle w:val="Body"/>
        <w:jc w:val="left"/>
      </w:pPr>
    </w:p>
    <w:p>
      <w:pPr>
        <w:pStyle w:val="Body"/>
        <w:jc w:val="left"/>
        <w:rPr>
          <w:i w:val="1"/>
          <w:iCs w:val="1"/>
        </w:rPr>
      </w:pPr>
      <w:r>
        <w:rPr>
          <w:i w:val="1"/>
          <w:iCs w:val="1"/>
          <w:rtl w:val="0"/>
          <w:lang w:val="en-US"/>
        </w:rPr>
        <w:t>Future Plan</w:t>
      </w:r>
    </w:p>
    <w:p>
      <w:pPr>
        <w:pStyle w:val="Body"/>
        <w:jc w:val="left"/>
        <w:rPr>
          <w:i w:val="1"/>
          <w:iCs w:val="1"/>
        </w:rPr>
      </w:pPr>
    </w:p>
    <w:p>
      <w:pPr>
        <w:pStyle w:val="Body"/>
        <w:jc w:val="left"/>
      </w:pPr>
      <w:r>
        <w:rPr>
          <w:rtl w:val="0"/>
          <w:lang w:val="en-US"/>
        </w:rPr>
        <w:t>We have the base for a common testing base, i.e. not all edge cases are covered but the basics are there for moving forward with adders. We are finishing benchmarking ahead of the midterm report for the existing algorithms. We have chosen new algorithms to implement. We have a soft deadline of May 20 to make sure work is completed in time to make and print the poster for the poster session.</w:t>
      </w:r>
    </w:p>
    <w:p>
      <w:pPr>
        <w:pStyle w:val="Body"/>
        <w:jc w:val="left"/>
      </w:pPr>
    </w:p>
    <w:p>
      <w:pPr>
        <w:pStyle w:val="Body"/>
        <w:jc w:val="left"/>
        <w:rPr>
          <w:i w:val="0"/>
          <w:iCs w:val="0"/>
        </w:rPr>
      </w:pPr>
      <w:r>
        <w:rPr>
          <w:i w:val="1"/>
          <w:iCs w:val="1"/>
          <w:rtl w:val="0"/>
          <w:lang w:val="en-US"/>
        </w:rPr>
        <w:t>Problems</w:t>
      </w:r>
    </w:p>
    <w:p>
      <w:pPr>
        <w:pStyle w:val="Body"/>
        <w:jc w:val="left"/>
        <w:rPr>
          <w:i w:val="0"/>
          <w:iCs w:val="0"/>
        </w:rPr>
      </w:pPr>
    </w:p>
    <w:p>
      <w:pPr>
        <w:pStyle w:val="Body"/>
        <w:jc w:val="left"/>
      </w:pPr>
      <w:r>
        <w:rPr>
          <w:i w:val="0"/>
          <w:iCs w:val="0"/>
          <w:rtl w:val="0"/>
          <w:lang w:val="en-US"/>
        </w:rPr>
        <w:t>We had an issue with reliably accessing our Workbench cloud instances over the previous weekend. Mariia shared a known solution to one of the versions of the problem and as for the other sent a report to the internal PsiQuantum team.</w:t>
      </w:r>
    </w:p>
    <w:sectPr>
      <w:headerReference w:type="default" r:id="rId4"/>
      <w:footerReference w:type="default" r:id="rId5"/>
      <w:pgSz w:w="12240" w:h="15840" w:orient="portrait"/>
      <w:pgMar w:top="1440" w:right="1440" w:bottom="1440" w:left="1440" w:header="720" w:footer="864"/>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hdr>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Body">
    <w:name w:val="Body"/>
    <w:next w:val="Body"/>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2"/>
      <w:szCs w:val="22"/>
      <w:u w:val="none"/>
      <w:shd w:val="nil" w:color="auto" w:fill="auto"/>
      <w:vertAlign w:val="baseline"/>
      <w:lang w:val="en-US"/>
      <w14:textOutline>
        <w14:noFill/>
      </w14:textOutline>
      <w14:textFill>
        <w14:solidFill>
          <w14:srgbClr w14:val="000000"/>
        </w14:solidFill>
      </w14:textFill>
    </w:r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Blank">
  <a:themeElements>
    <a:clrScheme name="Blank">
      <a:dk1>
        <a:srgbClr val="000000"/>
      </a:dk1>
      <a:lt1>
        <a:srgbClr val="FFFFFF"/>
      </a:lt1>
      <a:dk2>
        <a:srgbClr val="5E5E5E"/>
      </a:dk2>
      <a:lt2>
        <a:srgbClr val="D5D5D5"/>
      </a:lt2>
      <a:accent1>
        <a:srgbClr val="00A2FF"/>
      </a:accent1>
      <a:accent2>
        <a:srgbClr val="16E7CF"/>
      </a:accent2>
      <a:accent3>
        <a:srgbClr val="61D836"/>
      </a:accent3>
      <a:accent4>
        <a:srgbClr val="FFD932"/>
      </a:accent4>
      <a:accent5>
        <a:srgbClr val="FF644E"/>
      </a:accent5>
      <a:accent6>
        <a:srgbClr val="FF42A1"/>
      </a:accent6>
      <a:hlink>
        <a:srgbClr val="0000FF"/>
      </a:hlink>
      <a:folHlink>
        <a:srgbClr val="FF00FF"/>
      </a:folHlink>
    </a:clrScheme>
    <a:fontScheme name="Blank">
      <a:majorFont>
        <a:latin typeface="Helvetica Neue"/>
        <a:ea typeface="Helvetica Neue"/>
        <a:cs typeface="Helvetica Neue"/>
      </a:majorFont>
      <a:minorFont>
        <a:latin typeface="Helvetica Neue"/>
        <a:ea typeface="Helvetica Neue"/>
        <a:cs typeface="Helvetica Neue"/>
      </a:minorFont>
    </a:fontScheme>
    <a:fmtScheme name="Blan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000000"/>
        </a:solidFill>
        <a:ln w="12700" cap="flat">
          <a:noFill/>
          <a:miter lim="400000"/>
        </a:ln>
        <a:effectLst/>
        <a:sp3d/>
      </a:spPr>
      <a:bodyPr rot="0" spcFirstLastPara="1" vertOverflow="overflow" horzOverflow="overflow" vert="horz" wrap="square" lIns="50800" tIns="50800" rIns="50800" bIns="50800" numCol="1" spcCol="38100" rtlCol="0" anchor="ctr" upright="0">
        <a:spAutoFit/>
      </a:bodyPr>
      <a:lstStyle>
        <a:defPPr marL="0" marR="0" indent="0" algn="ctr" defTabSz="584200" rtl="0" fontAlgn="auto" latinLnBrk="0" hangingPunct="0">
          <a:lnSpc>
            <a:spcPct val="100000"/>
          </a:lnSpc>
          <a:spcBef>
            <a:spcPts val="0"/>
          </a:spcBef>
          <a:spcAft>
            <a:spcPts val="0"/>
          </a:spcAft>
          <a:buClrTx/>
          <a:buSzTx/>
          <a:buFontTx/>
          <a:buNone/>
          <a:tabLst/>
          <a:defRPr b="0" baseline="0" cap="none" i="0" spc="0" strike="noStrike" sz="1200" u="none" kumimoji="0" normalizeH="0">
            <a:ln>
              <a:noFill/>
            </a:ln>
            <a:solidFill>
              <a:srgbClr val="FFFFFF"/>
            </a:solidFill>
            <a:effectLst/>
            <a:uFillTx/>
            <a:latin typeface="Helvetica Neue Medium"/>
            <a:ea typeface="Helvetica Neue Medium"/>
            <a:cs typeface="Helvetica Neue Medium"/>
            <a:sym typeface="Helvetica Neue Medium"/>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rgbClr val="000000"/>
          </a:solidFill>
          <a:prstDash val="solid"/>
          <a:miter lim="400000"/>
        </a:ln>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upright="0">
        <a:spAutoFit/>
      </a:bodyPr>
      <a:lstStyle>
        <a:defPPr marL="0" marR="0" indent="0" algn="l" defTabSz="457200" rtl="0" fontAlgn="auto" latinLnBrk="0" hangingPunct="0">
          <a:lnSpc>
            <a:spcPct val="100000"/>
          </a:lnSpc>
          <a:spcBef>
            <a:spcPts val="0"/>
          </a:spcBef>
          <a:spcAft>
            <a:spcPts val="0"/>
          </a:spcAft>
          <a:buClrTx/>
          <a:buSzTx/>
          <a:buFontTx/>
          <a:buNone/>
          <a:tabLst/>
          <a:defRPr b="0" baseline="0" cap="none" i="0" spc="0" strike="noStrike" sz="1100" u="none" kumimoji="0" normalizeH="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