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xmlns:wpc="http://schemas.microsoft.com/office/word/2010/wordprocessingCanvas" xmlns:mo="http://schemas.microsoft.com/office/mac/office/2008/main" xmlns:mc="http://schemas.openxmlformats.org/markup-compatibility/2006" xmlns:mv="urn:schemas-microsoft-com:mac:vml" xmlns:o="urn:schemas-microsoft-com:office:office" xmlns:m="http://schemas.openxmlformats.org/officeDocument/2006/math" xmlns:v="urn:schemas-microsoft-com:vml" xmlns:wp14="http://schemas.microsoft.com/office/word/2010/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ns1:Ignorable="w14 wp14">
  <w:body>
    <w:p>
      <w:pPr>
        <w:pStyle w:val="Title"/>
        <w:spacing w:after="90" w:line="260" w:lineRule="auto"/>
      </w:pPr>
      <w:r>
        <w:rPr>
          <w:rFonts w:ascii="DejaVu Sans" w:hAnsi="DejaVu Sans"/>
          <w:b/>
          <w:sz w:val="44"/>
        </w:rPr>
        <w:t xml:space="preserve">Android MCP bridge design</w:t>
      </w:r>
    </w:p>
    <w:p>
      <w:pPr>
        <w:spacing w:after="90" w:line="260" w:lineRule="auto"/>
      </w:pPr>
      <w:r>
        <w:rPr>
          <w:rFonts w:ascii="DejaVu Sans" w:hAnsi="DejaVu Sans"/>
          <w:sz w:val="21"/>
        </w:rPr>
        <w:t xml:space="preserve">Avalonia 12 permission management and SQLite client configuration</w:t>
      </w:r>
    </w:p>
    <w:p>
      <w:pPr>
        <w:spacing w:after="90" w:line="260" w:lineRule="auto"/>
      </w:pPr>
      <w:r>
        <w:rPr>
          <w:rFonts w:ascii="DejaVu Sans" w:hAnsi="DejaVu Sans"/>
          <w:sz w:val="21"/>
        </w:rPr>
        <w:t xml:space="preserve">Design specification  •  27 October 2026  •  Architecture, catalog and reference implementation; Android runtime not deployed</w:t>
      </w:r>
    </w:p>
    <w:p>
      <w:pPr>
        <w:pStyle w:val="Heading1"/>
        <w:keepNext/>
        <w:spacing w:after="90" w:line="260" w:lineRule="auto"/>
      </w:pPr>
      <w:r>
        <w:rPr>
          <w:rFonts w:ascii="DejaVu Sans" w:hAnsi="DejaVu Sans"/>
          <w:b/>
          <w:sz w:val="30"/>
        </w:rPr>
        <w:t xml:space="preserve">1 Recommended design</w:t>
      </w:r>
    </w:p>
    <w:p>
      <w:pPr>
        <w:spacing w:after="90" w:line="260" w:lineRule="auto"/>
      </w:pPr>
      <w:r>
        <w:rPr>
          <w:rFonts w:ascii="DejaVu Sans" w:hAnsi="DejaVu Sans"/>
          <w:sz w:val="21"/>
        </w:rPr>
        <w:t xml:space="preserve">Build an Android application that maps the full declared Android binding surface, rather than a curated list of hand-written bindings, and exposes it through MCP. The MCP server runs in a persistent foreground service independently of the UI, with optional start on boot. It exposes generated and schema-driven tools to on-device agents through authenticated loopback Streamable HTTP. Owner-paired ADB provides app-agnostic, on-demand rendered screen state and coordinate taps for uninstrumented Android apps. The calling agent decides when to poll, how to interpret pixels and where to tap; the bridge contains no app-specific workflows or scheduler. Public Android APIs, known Binder AIDL interfaces and optional Avalonia.RemoteControl cover narrower integrations. Avalonia 12 manages permissions; SQLite stores client, target, connection and logging configuration.</w:t>
      </w:r>
    </w:p>
    <w:p>
      <w:pPr>
        <w:spacing w:after="90" w:line="260" w:lineRule="auto"/>
      </w:pPr>
      <w:r>
        <w:rPr>
          <w:rFonts w:ascii="DejaVu Sans" w:hAnsi="DejaVu Sans"/>
          <w:sz w:val="21"/>
        </w:rPr>
        <w:t xml:space="preserve">At startup, resolve the running device's version-compatible bindings and types into an atomic view, retaining the complete inventory with unavailable/unknown reasons. Generic Binder invocation requires verified wire contracts and codecs plus the shared policy/admission gate; availability never grants authority.</w:t>
      </w:r>
    </w:p>
    <w:p>
      <w:pPr>
        <w:spacing w:after="90" w:line="260" w:lineRule="auto"/>
      </w:pPr>
      <w:r>
        <w:rPr>
          <w:rFonts w:ascii="DejaVu Sans" w:hAnsi="DejaVu Sans"/>
          <w:sz w:val="21"/>
        </w:rPr>
        <w:t xml:space="preserve">The bridge is a comprehensive binding gateway and a security boundary. Inventory completeness is separate from permission to invoke a binding. Native API and Binder calls use the bridge UID; authorized ADB commands normally use the Android shell identity. Neither preserves the MCP caller identity. Authenticate and authorize every client before dispatch. Effective authority is the intersection of bridge policy, adapter constraints and the selected backend’s actual Android authority. Root and hidden-API bypass are not assumed. A separately permissioned low-level Binder transaction interface exposes reachable endpoints without promising that Android will authorize every call.</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Layer</w:t>
            </w:r>
          </w:p>
        </w:tc>
        <w:tc>
          <w:tcPr>
            <w:tcW w:w="7668" w:type="dxa"/>
            <w:shd w:fill="E4EDF5"/>
            <w:vAlign w:val="top"/>
          </w:tcPr>
          <w:p>
            <w:pPr>
              <w:spacing w:after="60" w:line="235" w:lineRule="auto"/>
            </w:pPr>
            <w:r>
              <w:rPr>
                <w:rFonts w:ascii="DejaVu Sans" w:hAnsi="DejaVu Sans"/>
                <w:b/>
                <w:sz w:val="18"/>
              </w:rPr>
              <w:t xml:space="preserve">Responsibility and boundary</w:t>
            </w:r>
          </w:p>
        </w:tc>
      </w:tr>
      <w:tr>
        <w:trPr>
          <w:cantSplit/>
        </w:trPr>
        <w:tc>
          <w:tcPr>
            <w:tcW w:w="2556" w:type="dxa"/>
            <w:shd w:fill="FFFFFF"/>
            <w:vAlign w:val="top"/>
          </w:tcPr>
          <w:p>
            <w:pPr>
              <w:spacing w:after="60" w:line="235" w:lineRule="auto"/>
            </w:pPr>
            <w:r>
              <w:rPr>
                <w:rFonts w:ascii="DejaVu Sans" w:hAnsi="DejaVu Sans"/>
                <w:sz w:val="18"/>
              </w:rPr>
              <w:t xml:space="preserve">On device MCP clients</w:t>
            </w:r>
          </w:p>
        </w:tc>
        <w:tc>
          <w:tcPr>
            <w:tcW w:w="7668" w:type="dxa"/>
            <w:shd w:fill="FFFFFF"/>
            <w:vAlign w:val="top"/>
          </w:tcPr>
          <w:p>
            <w:pPr>
              <w:spacing w:after="60" w:line="235" w:lineRule="auto"/>
            </w:pPr>
            <w:r>
              <w:rPr>
                <w:rFonts w:ascii="DejaVu Sans" w:hAnsi="DejaVu Sans"/>
                <w:sz w:val="18"/>
              </w:rPr>
              <w:t xml:space="preserve">Untrusted agent processes. A credential identifies a client; names and package headers do not.</w:t>
            </w:r>
          </w:p>
        </w:tc>
      </w:tr>
      <w:tr>
        <w:trPr>
          <w:cantSplit/>
        </w:trPr>
        <w:tc>
          <w:tcPr>
            <w:tcW w:w="2556" w:type="dxa"/>
            <w:shd w:fill="FFFFFF"/>
            <w:vAlign w:val="top"/>
          </w:tcPr>
          <w:p>
            <w:pPr>
              <w:spacing w:after="60" w:line="235" w:lineRule="auto"/>
            </w:pPr>
            <w:r>
              <w:rPr>
                <w:rFonts w:ascii="DejaVu Sans" w:hAnsi="DejaVu Sans"/>
                <w:sz w:val="18"/>
              </w:rPr>
              <w:t xml:space="preserve">Loopback transport</w:t>
            </w:r>
          </w:p>
        </w:tc>
        <w:tc>
          <w:tcPr>
            <w:tcW w:w="7668" w:type="dxa"/>
            <w:shd w:fill="FFFFFF"/>
            <w:vAlign w:val="top"/>
          </w:tcPr>
          <w:p>
            <w:pPr>
              <w:spacing w:after="60" w:line="235" w:lineRule="auto"/>
            </w:pPr>
            <w:r>
              <w:rPr>
                <w:rFonts w:ascii="DejaVu Sans" w:hAnsi="DejaVu Sans"/>
                <w:sz w:val="18"/>
              </w:rPr>
              <w:t xml:space="preserve">Authenticate each HTTP request, validate host and origin, enforce resource limits and isolate sessions.</w:t>
            </w:r>
          </w:p>
        </w:tc>
      </w:tr>
      <w:tr>
        <w:trPr>
          <w:cantSplit/>
        </w:trPr>
        <w:tc>
          <w:tcPr>
            <w:tcW w:w="2556" w:type="dxa"/>
            <w:shd w:fill="FFFFFF"/>
            <w:vAlign w:val="top"/>
          </w:tcPr>
          <w:p>
            <w:pPr>
              <w:spacing w:after="60" w:line="235" w:lineRule="auto"/>
            </w:pPr>
            <w:r>
              <w:rPr>
                <w:rFonts w:ascii="DejaVu Sans" w:hAnsi="DejaVu Sans"/>
                <w:sz w:val="18"/>
              </w:rPr>
              <w:t xml:space="preserve">Bridge application core</w:t>
            </w:r>
          </w:p>
        </w:tc>
        <w:tc>
          <w:tcPr>
            <w:tcW w:w="7668" w:type="dxa"/>
            <w:shd w:fill="FFFFFF"/>
            <w:vAlign w:val="top"/>
          </w:tcPr>
          <w:p>
            <w:pPr>
              <w:spacing w:after="60" w:line="235" w:lineRule="auto"/>
            </w:pPr>
            <w:r>
              <w:rPr>
                <w:rFonts w:ascii="DejaVu Sans" w:hAnsi="DejaVu Sans"/>
                <w:sz w:val="18"/>
              </w:rPr>
              <w:t xml:space="preserve">Validate typed arguments, evaluate policy, obtain request specific approval and admit execution.</w:t>
            </w:r>
          </w:p>
        </w:tc>
      </w:tr>
      <w:tr>
        <w:trPr>
          <w:cantSplit/>
        </w:trPr>
        <w:tc>
          <w:tcPr>
            <w:tcW w:w="2556" w:type="dxa"/>
            <w:shd w:fill="FFFFFF"/>
            <w:vAlign w:val="top"/>
          </w:tcPr>
          <w:p>
            <w:pPr>
              <w:spacing w:after="60" w:line="235" w:lineRule="auto"/>
            </w:pPr>
            <w:r>
              <w:rPr>
                <w:rFonts w:ascii="DejaVu Sans" w:hAnsi="DejaVu Sans"/>
                <w:sz w:val="18"/>
              </w:rPr>
              <w:t xml:space="preserve">Binding registry and executors</w:t>
            </w:r>
          </w:p>
        </w:tc>
        <w:tc>
          <w:tcPr>
            <w:tcW w:w="7668" w:type="dxa"/>
            <w:shd w:fill="FFFFFF"/>
            <w:vAlign w:val="top"/>
          </w:tcPr>
          <w:p>
            <w:pPr>
              <w:spacing w:after="60" w:line="235" w:lineRule="auto"/>
            </w:pPr>
            <w:r>
              <w:rPr>
                <w:rFonts w:ascii="DejaVu Sans" w:hAnsi="DejaVu Sans"/>
                <w:sz w:val="18"/>
              </w:rPr>
              <w:t xml:space="preserve">Generated SDK/AIDL/protocol inventory, generic invocation and optional low-level Binder transactions; ADB and Avalonia executors. Mapping is not a grant.</w:t>
            </w:r>
          </w:p>
        </w:tc>
      </w:tr>
      <w:tr>
        <w:trPr>
          <w:cantSplit/>
        </w:trPr>
        <w:tc>
          <w:tcPr>
            <w:tcW w:w="2556" w:type="dxa"/>
            <w:shd w:fill="FFFFFF"/>
            <w:vAlign w:val="top"/>
          </w:tcPr>
          <w:p>
            <w:pPr>
              <w:spacing w:after="60" w:line="235" w:lineRule="auto"/>
            </w:pPr>
            <w:r>
              <w:rPr>
                <w:rFonts w:ascii="DejaVu Sans" w:hAnsi="DejaVu Sans"/>
                <w:sz w:val="18"/>
              </w:rPr>
              <w:t xml:space="preserve">Android platform and services</w:t>
            </w:r>
          </w:p>
        </w:tc>
        <w:tc>
          <w:tcPr>
            <w:tcW w:w="7668" w:type="dxa"/>
            <w:shd w:fill="FFFFFF"/>
            <w:vAlign w:val="top"/>
          </w:tcPr>
          <w:p>
            <w:pPr>
              <w:spacing w:after="60" w:line="235" w:lineRule="auto"/>
            </w:pPr>
            <w:r>
              <w:rPr>
                <w:rFonts w:ascii="DejaVu Sans" w:hAnsi="DejaVu Sans"/>
                <w:sz w:val="18"/>
              </w:rPr>
              <w:t xml:space="preserve">Final OS permission checks, target application permissions and lifecycle constraints.</w:t>
            </w:r>
          </w:p>
        </w:tc>
      </w:tr>
    </w:tbl>
    <w:p>
      <w:pPr>
        <w:spacing w:after="90" w:line="260" w:lineRule="auto"/>
      </w:pPr>
    </w:p>
    <w:p>
      <w:pPr>
        <w:pStyle w:val="Heading2"/>
        <w:keepNext/>
        <w:spacing w:after="90" w:line="260" w:lineRule="auto"/>
      </w:pPr>
      <w:r>
        <w:rPr>
          <w:rFonts w:ascii="DejaVu Sans" w:hAnsi="DejaVu Sans"/>
          <w:b/>
          <w:sz w:val="25"/>
        </w:rPr>
        <w:t xml:space="preserve">Design commitments</w:t>
      </w:r>
    </w:p>
    <w:p>
      <w:pPr>
        <w:numPr>
          <w:ilvl w:val="0"/>
          <w:numId w:val="1001"/>
        </w:numPr>
        <w:spacing w:after="90" w:line="260" w:lineRule="auto"/>
      </w:pPr>
      <w:r>
        <w:rPr>
          <w:rFonts w:ascii="DejaVu Sans" w:hAnsi="DejaVu Sans"/>
          <w:sz w:val="21"/>
        </w:rPr>
        <w:t xml:space="preserve">Deny by default. A new tool, client or widened schema never inherits an Allow rule.</w:t>
      </w:r>
    </w:p>
    <w:p>
      <w:pPr>
        <w:numPr>
          <w:ilvl w:val="0"/>
          <w:numId w:val="1001"/>
        </w:numPr>
        <w:spacing w:after="90" w:line="260" w:lineRule="auto"/>
      </w:pPr>
      <w:r>
        <w:rPr>
          <w:rFonts w:ascii="DejaVu Sans" w:hAnsi="DejaVu Sans"/>
          <w:sz w:val="21"/>
        </w:rPr>
        <w:t xml:space="preserve">Deny, Ask and Allow are policy choices. OS unavailable is a separate observed capability state, not a fourth policy setting.</w:t>
      </w:r>
    </w:p>
    <w:p>
      <w:pPr>
        <w:numPr>
          <w:ilvl w:val="0"/>
          <w:numId w:val="1001"/>
        </w:numPr>
        <w:spacing w:after="90" w:line="260" w:lineRule="auto"/>
      </w:pPr>
      <w:r>
        <w:rPr>
          <w:rFonts w:ascii="DejaVu Sans" w:hAnsi="DejaVu Sans"/>
          <w:sz w:val="21"/>
        </w:rPr>
        <w:t xml:space="preserve">Expose the complete declared binding inventory with mapping and availability reasons. Per-client policy governs invocation, not whether a binding exists in the inventory.</w:t>
      </w:r>
    </w:p>
    <w:p>
      <w:pPr>
        <w:numPr>
          <w:ilvl w:val="0"/>
          <w:numId w:val="1001"/>
        </w:numPr>
        <w:spacing w:after="90" w:line="260" w:lineRule="auto"/>
      </w:pPr>
      <w:r>
        <w:rPr>
          <w:rFonts w:ascii="DejaVu Sans" w:hAnsi="DejaVu Sans"/>
          <w:sz w:val="21"/>
        </w:rPr>
        <w:t xml:space="preserve">Permission edits and revocation have a defined dispatch boundary; already dispatched irreversible work cannot be recalled.</w:t>
      </w:r>
    </w:p>
    <w:p>
      <w:pPr>
        <w:spacing w:after="90" w:line="260" w:lineRule="auto"/>
      </w:pPr>
      <w:r>
        <w:rPr>
          <w:rFonts w:ascii="DejaVu Sans" w:hAnsi="DejaVu Sans"/>
          <w:sz w:val="21"/>
        </w:rPr>
        <w:t xml:space="preserve">This is a proposed design, not a tested Android implementation. Section 2 lists compatibility gates; Section 19 defines the evidence required before shipping. Sections 14 to 18 specify per-client logging and authorized ADB/remote-control modes; the binding coverage and registry sections define comprehensive exposure. Sources identify platform facts; limits and component boundaries are design decisions.</w:t>
      </w:r>
    </w:p>
    <w:p>
      <w:pPr>
        <w:pStyle w:val="Heading1"/>
        <w:keepNext/>
        <w:spacing w:after="90" w:line="260" w:lineRule="auto"/>
      </w:pPr>
      <w:r>
        <w:rPr>
          <w:rFonts w:ascii="DejaVu Sans" w:hAnsi="DejaVu Sans"/>
          <w:b/>
          <w:sz w:val="30"/>
        </w:rPr>
        <w:t xml:space="preserve">2 Components and compatibility gates</w:t>
      </w:r>
    </w:p>
    <w:p>
      <w:pPr>
        <w:spacing w:after="90" w:line="260" w:lineRule="auto"/>
      </w:pPr>
      <w:r>
        <w:rPr>
          <w:rFonts w:ascii="DejaVu Sans" w:hAnsi="DejaVu Sans"/>
          <w:sz w:val="21"/>
        </w:rPr>
        <w:t xml:space="preserve">Use one Android application process and UID initially. A persistent foreground service owns the MCP listener and recovery state while the Avalonia activity owns presentation; closing the activity must not stop the server. They call the same application interfaces in process; creating another Binder hop solely for UI control adds no security boundary. Keep internal Android services and receivers unexported; any deliberately exported Binder entry point independently checks caller identity before async handoff. A separate service process is a later reliability option, not a privilege boundary by itself.</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Proposed project</w:t>
            </w:r>
          </w:p>
        </w:tc>
        <w:tc>
          <w:tcPr>
            <w:tcW w:w="3987" w:type="dxa"/>
            <w:shd w:fill="E4EDF5"/>
            <w:vAlign w:val="top"/>
          </w:tcPr>
          <w:p>
            <w:pPr>
              <w:spacing w:after="60" w:line="235" w:lineRule="auto"/>
            </w:pPr>
            <w:r>
              <w:rPr>
                <w:rFonts w:ascii="DejaVu Sans" w:hAnsi="DejaVu Sans"/>
                <w:b/>
                <w:sz w:val="18"/>
              </w:rPr>
              <w:t xml:space="preserve">Contains</w:t>
            </w:r>
          </w:p>
        </w:tc>
        <w:tc>
          <w:tcPr>
            <w:tcW w:w="3988" w:type="dxa"/>
            <w:shd w:fill="E4EDF5"/>
            <w:vAlign w:val="top"/>
          </w:tcPr>
          <w:p>
            <w:pPr>
              <w:spacing w:after="60" w:line="235" w:lineRule="auto"/>
            </w:pPr>
            <w:r>
              <w:rPr>
                <w:rFonts w:ascii="DejaVu Sans" w:hAnsi="DejaVu Sans"/>
                <w:b/>
                <w:sz w:val="18"/>
              </w:rPr>
              <w:t xml:space="preserve">Must not contain</w:t>
            </w:r>
          </w:p>
        </w:tc>
      </w:tr>
      <w:tr>
        <w:trPr>
          <w:cantSplit/>
        </w:trPr>
        <w:tc>
          <w:tcPr>
            <w:tcW w:w="2249" w:type="dxa"/>
            <w:shd w:fill="FFFFFF"/>
            <w:vAlign w:val="top"/>
          </w:tcPr>
          <w:p>
            <w:pPr>
              <w:spacing w:after="60" w:line="235" w:lineRule="auto"/>
            </w:pPr>
            <w:r>
              <w:rPr>
                <w:rFonts w:ascii="DejaVu Sans" w:hAnsi="DejaVu Sans"/>
                <w:sz w:val="18"/>
              </w:rPr>
              <w:t xml:space="preserve">Bridge.Domain</w:t>
            </w:r>
          </w:p>
        </w:tc>
        <w:tc>
          <w:tcPr>
            <w:tcW w:w="3987" w:type="dxa"/>
            <w:shd w:fill="FFFFFF"/>
            <w:vAlign w:val="top"/>
          </w:tcPr>
          <w:p>
            <w:pPr>
              <w:spacing w:after="60" w:line="235" w:lineRule="auto"/>
            </w:pPr>
            <w:r>
              <w:rPr>
                <w:rFonts w:ascii="DejaVu Sans" w:hAnsi="DejaVu Sans"/>
                <w:sz w:val="18"/>
              </w:rPr>
              <w:t xml:space="preserve">Client identities, typed policy, canonical requests, decisions, revision values</w:t>
            </w:r>
          </w:p>
        </w:tc>
        <w:tc>
          <w:tcPr>
            <w:tcW w:w="3988" w:type="dxa"/>
            <w:shd w:fill="FFFFFF"/>
            <w:vAlign w:val="top"/>
          </w:tcPr>
          <w:p>
            <w:pPr>
              <w:spacing w:after="60" w:line="235" w:lineRule="auto"/>
            </w:pPr>
            <w:r>
              <w:rPr>
                <w:rFonts w:ascii="DejaVu Sans" w:hAnsi="DejaVu Sans"/>
                <w:sz w:val="18"/>
              </w:rPr>
              <w:t xml:space="preserve">Android or UI dependencies</w:t>
            </w:r>
          </w:p>
        </w:tc>
      </w:tr>
      <w:tr>
        <w:trPr>
          <w:cantSplit/>
        </w:trPr>
        <w:tc>
          <w:tcPr>
            <w:tcW w:w="2249" w:type="dxa"/>
            <w:shd w:fill="FFFFFF"/>
            <w:vAlign w:val="top"/>
          </w:tcPr>
          <w:p>
            <w:pPr>
              <w:spacing w:after="60" w:line="235" w:lineRule="auto"/>
            </w:pPr>
            <w:r>
              <w:rPr>
                <w:rFonts w:ascii="DejaVu Sans" w:hAnsi="DejaVu Sans"/>
                <w:sz w:val="18"/>
              </w:rPr>
              <w:t xml:space="preserve">Bridge.Application</w:t>
            </w:r>
          </w:p>
        </w:tc>
        <w:tc>
          <w:tcPr>
            <w:tcW w:w="3987" w:type="dxa"/>
            <w:shd w:fill="FFFFFF"/>
            <w:vAlign w:val="top"/>
          </w:tcPr>
          <w:p>
            <w:pPr>
              <w:spacing w:after="60" w:line="235" w:lineRule="auto"/>
            </w:pPr>
            <w:r>
              <w:rPr>
                <w:rFonts w:ascii="DejaVu Sans" w:hAnsi="DejaVu Sans"/>
                <w:sz w:val="18"/>
              </w:rPr>
              <w:t xml:space="preserve">Pairing, policy changes, approvals, admission gate, audit coordination</w:t>
            </w:r>
          </w:p>
        </w:tc>
        <w:tc>
          <w:tcPr>
            <w:tcW w:w="3988" w:type="dxa"/>
            <w:shd w:fill="FFFFFF"/>
            <w:vAlign w:val="top"/>
          </w:tcPr>
          <w:p>
            <w:pPr>
              <w:spacing w:after="60" w:line="235" w:lineRule="auto"/>
            </w:pPr>
            <w:r>
              <w:rPr>
                <w:rFonts w:ascii="DejaVu Sans" w:hAnsi="DejaVu Sans"/>
                <w:sz w:val="18"/>
              </w:rPr>
              <w:t xml:space="preserve">Direct Binder transactions</w:t>
            </w:r>
          </w:p>
        </w:tc>
      </w:tr>
      <w:tr>
        <w:trPr>
          <w:cantSplit/>
        </w:trPr>
        <w:tc>
          <w:tcPr>
            <w:tcW w:w="2249" w:type="dxa"/>
            <w:shd w:fill="FFFFFF"/>
            <w:vAlign w:val="top"/>
          </w:tcPr>
          <w:p>
            <w:pPr>
              <w:spacing w:after="60" w:line="235" w:lineRule="auto"/>
            </w:pPr>
            <w:r>
              <w:rPr>
                <w:rFonts w:ascii="DejaVu Sans" w:hAnsi="DejaVu Sans"/>
                <w:sz w:val="18"/>
              </w:rPr>
              <w:t xml:space="preserve">Bridge.Protocol</w:t>
            </w:r>
          </w:p>
        </w:tc>
        <w:tc>
          <w:tcPr>
            <w:tcW w:w="3987" w:type="dxa"/>
            <w:shd w:fill="FFFFFF"/>
            <w:vAlign w:val="top"/>
          </w:tcPr>
          <w:p>
            <w:pPr>
              <w:spacing w:after="60" w:line="235" w:lineRule="auto"/>
            </w:pPr>
            <w:r>
              <w:rPr>
                <w:rFonts w:ascii="DejaVu Sans" w:hAnsi="DejaVu Sans"/>
                <w:sz w:val="18"/>
              </w:rPr>
              <w:t xml:space="preserve">MCP mapping, paginated catalog and transport independent session dispatch</w:t>
            </w:r>
          </w:p>
        </w:tc>
        <w:tc>
          <w:tcPr>
            <w:tcW w:w="3988" w:type="dxa"/>
            <w:shd w:fill="FFFFFF"/>
            <w:vAlign w:val="top"/>
          </w:tcPr>
          <w:p>
            <w:pPr>
              <w:spacing w:after="60" w:line="235" w:lineRule="auto"/>
            </w:pPr>
            <w:r>
              <w:rPr>
                <w:rFonts w:ascii="DejaVu Sans" w:hAnsi="DejaVu Sans"/>
                <w:sz w:val="18"/>
              </w:rPr>
              <w:t xml:space="preserve">Permission decisions hidden in handlers</w:t>
            </w:r>
          </w:p>
        </w:tc>
      </w:tr>
      <w:tr>
        <w:trPr>
          <w:cantSplit/>
        </w:trPr>
        <w:tc>
          <w:tcPr>
            <w:tcW w:w="2249" w:type="dxa"/>
            <w:shd w:fill="FFFFFF"/>
            <w:vAlign w:val="top"/>
          </w:tcPr>
          <w:p>
            <w:pPr>
              <w:spacing w:after="60" w:line="235" w:lineRule="auto"/>
            </w:pPr>
            <w:r>
              <w:rPr>
                <w:rFonts w:ascii="DejaVu Sans" w:hAnsi="DejaVu Sans"/>
                <w:sz w:val="18"/>
              </w:rPr>
              <w:t xml:space="preserve">Bridge.Bindings</w:t>
            </w:r>
          </w:p>
        </w:tc>
        <w:tc>
          <w:tcPr>
            <w:tcW w:w="3987" w:type="dxa"/>
            <w:shd w:fill="FFFFFF"/>
            <w:vAlign w:val="top"/>
          </w:tcPr>
          <w:p>
            <w:pPr>
              <w:spacing w:after="60" w:line="235" w:lineRule="auto"/>
            </w:pPr>
            <w:r>
              <w:rPr>
                <w:rFonts w:ascii="DejaVu Sans" w:hAnsi="DejaVu Sans"/>
                <w:sz w:val="18"/>
              </w:rPr>
              <w:t xml:space="preserve">SDK/AIDL metadata ingestion, versioned schemas, code generation and generic marshalling</w:t>
            </w:r>
          </w:p>
        </w:tc>
        <w:tc>
          <w:tcPr>
            <w:tcW w:w="3988" w:type="dxa"/>
            <w:shd w:fill="FFFFFF"/>
            <w:vAlign w:val="top"/>
          </w:tcPr>
          <w:p>
            <w:pPr>
              <w:spacing w:after="60" w:line="235" w:lineRule="auto"/>
            </w:pPr>
            <w:r>
              <w:rPr>
                <w:rFonts w:ascii="DejaVu Sans" w:hAnsi="DejaVu Sans"/>
                <w:sz w:val="18"/>
              </w:rPr>
              <w:t xml:space="preserve">Assumed schemas for unknown private services</w:t>
            </w:r>
          </w:p>
        </w:tc>
      </w:tr>
      <w:tr>
        <w:trPr>
          <w:cantSplit/>
        </w:trPr>
        <w:tc>
          <w:tcPr>
            <w:tcW w:w="2249" w:type="dxa"/>
            <w:shd w:fill="FFFFFF"/>
            <w:vAlign w:val="top"/>
          </w:tcPr>
          <w:p>
            <w:pPr>
              <w:spacing w:after="60" w:line="235" w:lineRule="auto"/>
            </w:pPr>
            <w:r>
              <w:rPr>
                <w:rFonts w:ascii="DejaVu Sans" w:hAnsi="DejaVu Sans"/>
                <w:sz w:val="18"/>
              </w:rPr>
              <w:t xml:space="preserve">Bridge.Storage.Sqlite</w:t>
            </w:r>
          </w:p>
        </w:tc>
        <w:tc>
          <w:tcPr>
            <w:tcW w:w="3987" w:type="dxa"/>
            <w:shd w:fill="FFFFFF"/>
            <w:vAlign w:val="top"/>
          </w:tcPr>
          <w:p>
            <w:pPr>
              <w:spacing w:after="60" w:line="235" w:lineRule="auto"/>
            </w:pPr>
            <w:r>
              <w:rPr>
                <w:rFonts w:ascii="DejaVu Sans" w:hAnsi="DejaVu Sans"/>
                <w:sz w:val="18"/>
              </w:rPr>
              <w:t xml:space="preserve">Repositories, migrations and transactional outbox</w:t>
            </w:r>
          </w:p>
        </w:tc>
        <w:tc>
          <w:tcPr>
            <w:tcW w:w="3988" w:type="dxa"/>
            <w:shd w:fill="FFFFFF"/>
            <w:vAlign w:val="top"/>
          </w:tcPr>
          <w:p>
            <w:pPr>
              <w:spacing w:after="60" w:line="235" w:lineRule="auto"/>
            </w:pPr>
            <w:r>
              <w:rPr>
                <w:rFonts w:ascii="DejaVu Sans" w:hAnsi="DejaVu Sans"/>
                <w:sz w:val="18"/>
              </w:rPr>
              <w:t xml:space="preserve">Raw bearer secrets</w:t>
            </w:r>
          </w:p>
        </w:tc>
      </w:tr>
      <w:tr>
        <w:trPr>
          <w:cantSplit/>
        </w:trPr>
        <w:tc>
          <w:tcPr>
            <w:tcW w:w="2249" w:type="dxa"/>
            <w:shd w:fill="FFFFFF"/>
            <w:vAlign w:val="top"/>
          </w:tcPr>
          <w:p>
            <w:pPr>
              <w:spacing w:after="60" w:line="235" w:lineRule="auto"/>
            </w:pPr>
            <w:r>
              <w:rPr>
                <w:rFonts w:ascii="DejaVu Sans" w:hAnsi="DejaVu Sans"/>
                <w:sz w:val="18"/>
              </w:rPr>
              <w:t xml:space="preserve">Bridge.Android</w:t>
            </w:r>
          </w:p>
        </w:tc>
        <w:tc>
          <w:tcPr>
            <w:tcW w:w="3987" w:type="dxa"/>
            <w:shd w:fill="FFFFFF"/>
            <w:vAlign w:val="top"/>
          </w:tcPr>
          <w:p>
            <w:pPr>
              <w:spacing w:after="60" w:line="235" w:lineRule="auto"/>
            </w:pPr>
            <w:r>
              <w:rPr>
                <w:rFonts w:ascii="DejaVu Sans" w:hAnsi="DejaVu Sans"/>
                <w:sz w:val="18"/>
              </w:rPr>
              <w:t xml:space="preserve">Android lifecycle, Keystore, capability probes and native, ADB and optional Avalonia remote adapters</w:t>
            </w:r>
          </w:p>
        </w:tc>
        <w:tc>
          <w:tcPr>
            <w:tcW w:w="3988" w:type="dxa"/>
            <w:shd w:fill="FFFFFF"/>
            <w:vAlign w:val="top"/>
          </w:tcPr>
          <w:p>
            <w:pPr>
              <w:spacing w:after="60" w:line="235" w:lineRule="auto"/>
            </w:pPr>
            <w:r>
              <w:rPr>
                <w:rFonts w:ascii="DejaVu Sans" w:hAnsi="DejaVu Sans"/>
                <w:sz w:val="18"/>
              </w:rPr>
              <w:t xml:space="preserve">Policy bypass through reflection or raw dispatch</w:t>
            </w:r>
          </w:p>
        </w:tc>
      </w:tr>
      <w:tr>
        <w:trPr>
          <w:cantSplit/>
        </w:trPr>
        <w:tc>
          <w:tcPr>
            <w:tcW w:w="2249" w:type="dxa"/>
            <w:shd w:fill="FFFFFF"/>
            <w:vAlign w:val="top"/>
          </w:tcPr>
          <w:p>
            <w:pPr>
              <w:spacing w:after="60" w:line="235" w:lineRule="auto"/>
            </w:pPr>
            <w:r>
              <w:rPr>
                <w:rFonts w:ascii="DejaVu Sans" w:hAnsi="DejaVu Sans"/>
                <w:sz w:val="18"/>
              </w:rPr>
              <w:t xml:space="preserve">Bridge.UI</w:t>
            </w:r>
          </w:p>
        </w:tc>
        <w:tc>
          <w:tcPr>
            <w:tcW w:w="3987" w:type="dxa"/>
            <w:shd w:fill="FFFFFF"/>
            <w:vAlign w:val="top"/>
          </w:tcPr>
          <w:p>
            <w:pPr>
              <w:spacing w:after="60" w:line="235" w:lineRule="auto"/>
            </w:pPr>
            <w:r>
              <w:rPr>
                <w:rFonts w:ascii="DejaVu Sans" w:hAnsi="DejaVu Sans"/>
                <w:sz w:val="18"/>
              </w:rPr>
              <w:t xml:space="preserve">Avalonia views, view models, local admin workflows</w:t>
            </w:r>
          </w:p>
        </w:tc>
        <w:tc>
          <w:tcPr>
            <w:tcW w:w="3988" w:type="dxa"/>
            <w:shd w:fill="FFFFFF"/>
            <w:vAlign w:val="top"/>
          </w:tcPr>
          <w:p>
            <w:pPr>
              <w:spacing w:after="60" w:line="235" w:lineRule="auto"/>
            </w:pPr>
            <w:r>
              <w:rPr>
                <w:rFonts w:ascii="DejaVu Sans" w:hAnsi="DejaVu Sans"/>
                <w:sz w:val="18"/>
              </w:rPr>
              <w:t xml:space="preserve">Direct SQL writes or implicit catalog-admin authority</w:t>
            </w:r>
          </w:p>
        </w:tc>
      </w:tr>
      <w:tr>
        <w:trPr>
          <w:cantSplit/>
        </w:trPr>
        <w:tc>
          <w:tcPr>
            <w:tcW w:w="2249" w:type="dxa"/>
            <w:shd w:fill="FFFFFF"/>
            <w:vAlign w:val="top"/>
          </w:tcPr>
          <w:p>
            <w:pPr>
              <w:spacing w:after="60" w:line="235" w:lineRule="auto"/>
            </w:pPr>
            <w:r>
              <w:rPr>
                <w:rFonts w:ascii="DejaVu Sans" w:hAnsi="DejaVu Sans"/>
                <w:sz w:val="18"/>
              </w:rPr>
              <w:t xml:space="preserve">Bridge.Tests</w:t>
            </w:r>
          </w:p>
        </w:tc>
        <w:tc>
          <w:tcPr>
            <w:tcW w:w="3987" w:type="dxa"/>
            <w:shd w:fill="FFFFFF"/>
            <w:vAlign w:val="top"/>
          </w:tcPr>
          <w:p>
            <w:pPr>
              <w:spacing w:after="60" w:line="235" w:lineRule="auto"/>
            </w:pPr>
            <w:r>
              <w:rPr>
                <w:rFonts w:ascii="DejaVu Sans" w:hAnsi="DejaVu Sans"/>
                <w:sz w:val="18"/>
              </w:rPr>
              <w:t xml:space="preserve">Pure policy tests, contract clients, fake adapters, Android instrumentation</w:t>
            </w:r>
          </w:p>
        </w:tc>
        <w:tc>
          <w:tcPr>
            <w:tcW w:w="3988" w:type="dxa"/>
            <w:shd w:fill="FFFFFF"/>
            <w:vAlign w:val="top"/>
          </w:tcPr>
          <w:p>
            <w:pPr>
              <w:spacing w:after="60" w:line="235" w:lineRule="auto"/>
            </w:pPr>
            <w:r>
              <w:rPr>
                <w:rFonts w:ascii="DejaVu Sans" w:hAnsi="DejaVu Sans"/>
                <w:sz w:val="18"/>
              </w:rPr>
              <w:t xml:space="preserve">Assumptions that mocks prove OS access</w:t>
            </w:r>
          </w:p>
        </w:tc>
      </w:tr>
    </w:tbl>
    <w:p>
      <w:pPr>
        <w:spacing w:after="90" w:line="260" w:lineRule="auto"/>
      </w:pPr>
    </w:p>
    <w:p>
      <w:pPr>
        <w:pStyle w:val="Heading2"/>
        <w:keepNext/>
        <w:spacing w:after="90" w:line="260" w:lineRule="auto"/>
      </w:pPr>
      <w:r>
        <w:rPr>
          <w:rFonts w:ascii="DejaVu Sans" w:hAnsi="DejaVu Sans"/>
          <w:b/>
          <w:sz w:val="25"/>
        </w:rPr>
        <w:t xml:space="preserve">Baseline and release gates</w:t>
      </w:r>
    </w:p>
    <w:p>
      <w:pPr>
        <w:spacing w:after="90" w:line="260" w:lineRule="auto"/>
      </w:pPr>
      <w:r>
        <w:rPr>
          <w:rFonts w:ascii="DejaVu Sans" w:hAnsi="DejaVu Sans"/>
          <w:sz w:val="21"/>
        </w:rPr>
        <w:t xml:space="preserve">Avalonia 12 supports Android on .NET 10; target net10.0-android and pin a tested, consistent 12.x package set. Select minimum Android API and supported devices from product needs and current support tiers, not from a generic old template. [S1]</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Gate</w:t>
            </w:r>
          </w:p>
        </w:tc>
        <w:tc>
          <w:tcPr>
            <w:tcW w:w="7668" w:type="dxa"/>
            <w:shd w:fill="E4EDF5"/>
            <w:vAlign w:val="top"/>
          </w:tcPr>
          <w:p>
            <w:pPr>
              <w:spacing w:after="60" w:line="235" w:lineRule="auto"/>
            </w:pPr>
            <w:r>
              <w:rPr>
                <w:rFonts w:ascii="DejaVu Sans" w:hAnsi="DejaVu Sans"/>
                <w:b/>
                <w:sz w:val="18"/>
              </w:rPr>
              <w:t xml:space="preserve">Evidence required before choosing packages or shipping</w:t>
            </w:r>
          </w:p>
        </w:tc>
      </w:tr>
      <w:tr>
        <w:trPr>
          <w:cantSplit/>
        </w:trPr>
        <w:tc>
          <w:tcPr>
            <w:tcW w:w="2556" w:type="dxa"/>
            <w:shd w:fill="FFFFFF"/>
            <w:vAlign w:val="top"/>
          </w:tcPr>
          <w:p>
            <w:pPr>
              <w:spacing w:after="60" w:line="235" w:lineRule="auto"/>
            </w:pPr>
            <w:r>
              <w:rPr>
                <w:rFonts w:ascii="DejaVu Sans" w:hAnsi="DejaVu Sans"/>
                <w:sz w:val="18"/>
              </w:rPr>
              <w:t xml:space="preserve">Android hosting</w:t>
            </w:r>
          </w:p>
        </w:tc>
        <w:tc>
          <w:tcPr>
            <w:tcW w:w="7668" w:type="dxa"/>
            <w:shd w:fill="FFFFFF"/>
            <w:vAlign w:val="top"/>
          </w:tcPr>
          <w:p>
            <w:pPr>
              <w:spacing w:after="60" w:line="235" w:lineRule="auto"/>
            </w:pPr>
            <w:r>
              <w:rPr>
                <w:rFonts w:ascii="DejaVu Sans" w:hAnsi="DejaVu Sans"/>
                <w:sz w:val="18"/>
              </w:rPr>
              <w:t xml:space="preserve">Release build runs an Android compatible HTTP engine with the MCP protocol layer. Do not assume ASP.NET Core or Kestrel works on Android; hide the engine behind ILoopbackHost.</w:t>
            </w:r>
          </w:p>
        </w:tc>
      </w:tr>
      <w:tr>
        <w:trPr>
          <w:cantSplit/>
        </w:trPr>
        <w:tc>
          <w:tcPr>
            <w:tcW w:w="2556" w:type="dxa"/>
            <w:shd w:fill="FFFFFF"/>
            <w:vAlign w:val="top"/>
          </w:tcPr>
          <w:p>
            <w:pPr>
              <w:spacing w:after="60" w:line="235" w:lineRule="auto"/>
            </w:pPr>
            <w:r>
              <w:rPr>
                <w:rFonts w:ascii="DejaVu Sans" w:hAnsi="DejaVu Sans"/>
                <w:sz w:val="18"/>
              </w:rPr>
              <w:t xml:space="preserve">MCP compatibility</w:t>
            </w:r>
          </w:p>
        </w:tc>
        <w:tc>
          <w:tcPr>
            <w:tcW w:w="7668" w:type="dxa"/>
            <w:shd w:fill="FFFFFF"/>
            <w:vAlign w:val="top"/>
          </w:tcPr>
          <w:p>
            <w:pPr>
              <w:spacing w:after="60" w:line="235" w:lineRule="auto"/>
            </w:pPr>
            <w:r>
              <w:rPr>
                <w:rFonts w:ascii="DejaVu Sans" w:hAnsi="DejaVu Sans"/>
                <w:sz w:val="18"/>
              </w:rPr>
              <w:t xml:space="preserve">Pin the 2025-11-25 wire baseline and a compatible SDK release after a real client exchange. Later SDK protocol revisions require a separate review; never mix initialization or session semantics.</w:t>
            </w:r>
          </w:p>
        </w:tc>
      </w:tr>
      <w:tr>
        <w:trPr>
          <w:cantSplit/>
        </w:trPr>
        <w:tc>
          <w:tcPr>
            <w:tcW w:w="2556" w:type="dxa"/>
            <w:shd w:fill="FFFFFF"/>
            <w:vAlign w:val="top"/>
          </w:tcPr>
          <w:p>
            <w:pPr>
              <w:spacing w:after="60" w:line="235" w:lineRule="auto"/>
            </w:pPr>
            <w:r>
              <w:rPr>
                <w:rFonts w:ascii="DejaVu Sans" w:hAnsi="DejaVu Sans"/>
                <w:sz w:val="18"/>
              </w:rPr>
              <w:t xml:space="preserve">SQLite native load</w:t>
            </w:r>
          </w:p>
        </w:tc>
        <w:tc>
          <w:tcPr>
            <w:tcW w:w="7668" w:type="dxa"/>
            <w:shd w:fill="FFFFFF"/>
            <w:vAlign w:val="top"/>
          </w:tcPr>
          <w:p>
            <w:pPr>
              <w:spacing w:after="60" w:line="235" w:lineRule="auto"/>
            </w:pPr>
            <w:r>
              <w:rPr>
                <w:rFonts w:ascii="DejaVu Sans" w:hAnsi="DejaVu Sans"/>
                <w:sz w:val="18"/>
              </w:rPr>
              <w:t xml:space="preserve">Prove selected provider on each shipped ABI, trimmed release and chosen AOT mode. Microsoft.Data.Sqlite defaults to SQLitePCLRaw.bundle_e_sqlite3; this does not prove this app deployment works. [S2]</w:t>
            </w:r>
          </w:p>
        </w:tc>
      </w:tr>
      <w:tr>
        <w:trPr>
          <w:cantSplit/>
        </w:trPr>
        <w:tc>
          <w:tcPr>
            <w:tcW w:w="2556" w:type="dxa"/>
            <w:shd w:fill="FFFFFF"/>
            <w:vAlign w:val="top"/>
          </w:tcPr>
          <w:p>
            <w:pPr>
              <w:spacing w:after="60" w:line="235" w:lineRule="auto"/>
            </w:pPr>
            <w:r>
              <w:rPr>
                <w:rFonts w:ascii="DejaVu Sans" w:hAnsi="DejaVu Sans"/>
                <w:sz w:val="18"/>
              </w:rPr>
              <w:t xml:space="preserve">Persistent service</w:t>
            </w:r>
          </w:p>
        </w:tc>
        <w:tc>
          <w:tcPr>
            <w:tcW w:w="7668" w:type="dxa"/>
            <w:shd w:fill="FFFFFF"/>
            <w:vAlign w:val="top"/>
          </w:tcPr>
          <w:p>
            <w:pPr>
              <w:spacing w:after="60" w:line="235" w:lineRule="auto"/>
            </w:pPr>
            <w:r>
              <w:rPr>
                <w:rFonts w:ascii="DejaVu Sans" w:hAnsi="DejaVu Sans"/>
                <w:sz w:val="18"/>
              </w:rPr>
              <w:t xml:space="preserve">Prove truthful foreground service type, boot/start eligibility, notification behavior and restart recovery. Persistent hosting is required; an OS-blocked start is an explicit failure state, not a silent downgrade. [S3]</w:t>
            </w:r>
          </w:p>
        </w:tc>
      </w:tr>
      <w:tr>
        <w:trPr>
          <w:cantSplit/>
        </w:trPr>
        <w:tc>
          <w:tcPr>
            <w:tcW w:w="2556" w:type="dxa"/>
            <w:shd w:fill="FFFFFF"/>
            <w:vAlign w:val="top"/>
          </w:tcPr>
          <w:p>
            <w:pPr>
              <w:spacing w:after="60" w:line="235" w:lineRule="auto"/>
            </w:pPr>
            <w:r>
              <w:rPr>
                <w:rFonts w:ascii="DejaVu Sans" w:hAnsi="DejaVu Sans"/>
                <w:sz w:val="18"/>
              </w:rPr>
              <w:t xml:space="preserve">Trusted local endpoint</w:t>
            </w:r>
          </w:p>
        </w:tc>
        <w:tc>
          <w:tcPr>
            <w:tcW w:w="7668" w:type="dxa"/>
            <w:shd w:fill="FFFFFF"/>
            <w:vAlign w:val="top"/>
          </w:tcPr>
          <w:p>
            <w:pPr>
              <w:spacing w:after="60" w:line="235" w:lineRule="auto"/>
            </w:pPr>
            <w:r>
              <w:rPr>
                <w:rFonts w:ascii="DejaVu Sans" w:hAnsi="DejaVu Sans"/>
                <w:sz w:val="18"/>
              </w:rPr>
              <w:t xml:space="preserve">Prove paired server identity and credential setup in target MCP clients. TLS pinning and manual bearer support vary by client; do not silently downgrade.</w:t>
            </w:r>
          </w:p>
        </w:tc>
      </w:tr>
    </w:tbl>
    <w:p>
      <w:pPr>
        <w:spacing w:after="90" w:line="260" w:lineRule="auto"/>
      </w:pPr>
    </w:p>
    <w:p>
      <w:pPr>
        <w:pStyle w:val="Heading1"/>
        <w:keepNext/>
        <w:spacing w:after="90" w:line="260" w:lineRule="auto"/>
      </w:pPr>
      <w:r>
        <w:rPr>
          <w:rFonts w:ascii="DejaVu Sans" w:hAnsi="DejaVu Sans"/>
          <w:b/>
          <w:sz w:val="30"/>
        </w:rPr>
        <w:t xml:space="preserve">3 Transport and request lifecycle</w:t>
      </w:r>
    </w:p>
    <w:p>
      <w:pPr>
        <w:spacing w:after="90" w:line="260" w:lineRule="auto"/>
      </w:pPr>
      <w:r>
        <w:rPr>
          <w:rFonts w:ascii="DejaVu Sans" w:hAnsi="DejaVu Sans"/>
          <w:sz w:val="21"/>
        </w:rPr>
        <w:t xml:space="preserve">Compatibility target: MCP 2025-11-25 Streamable HTTP at one /mcp endpoint. This names a deliberate baseline, not a claim that it is the latest specification. Implement its initialization, protocol version negotiation, POST handling and optional GET SSE behavior as a coherent profile. Prefer the official protocol implementation behind an Android proven host adapter. [S4]</w:t>
      </w:r>
    </w:p>
    <w:p>
      <w:pPr>
        <w:pStyle w:val="Heading2"/>
        <w:keepNext/>
        <w:spacing w:after="90" w:line="260" w:lineRule="auto"/>
      </w:pPr>
      <w:r>
        <w:rPr>
          <w:rFonts w:ascii="DejaVu Sans" w:hAnsi="DejaVu Sans"/>
          <w:b/>
          <w:sz w:val="25"/>
        </w:rPr>
        <w:t xml:space="preserve">Endpoint protections</w:t>
      </w:r>
    </w:p>
    <w:p>
      <w:pPr>
        <w:numPr>
          <w:ilvl w:val="0"/>
          <w:numId w:val="1001"/>
        </w:numPr>
        <w:spacing w:after="90" w:line="260" w:lineRule="auto"/>
      </w:pPr>
      <w:r>
        <w:rPr>
          <w:rFonts w:ascii="DejaVu Sans" w:hAnsi="DejaVu Sans"/>
          <w:sz w:val="21"/>
        </w:rPr>
        <w:t xml:space="preserve">Bind explicitly to 127.0.0.1 and, only if tested, ::1. Never 0.0.0.0, public interfaces or automatic remote tunneling. Validate Host against the bound endpoint; reject unexpected Origin values and all browser origins by default. An absent Origin is not authentication.</w:t>
      </w:r>
    </w:p>
    <w:p>
      <w:pPr>
        <w:numPr>
          <w:ilvl w:val="0"/>
          <w:numId w:val="1001"/>
        </w:numPr>
        <w:spacing w:after="90" w:line="260" w:lineRule="auto"/>
      </w:pPr>
      <w:r>
        <w:rPr>
          <w:rFonts w:ascii="DejaVu Sans" w:hAnsi="DejaVu Sans"/>
          <w:sz w:val="21"/>
        </w:rPr>
        <w:t xml:space="preserve">Authenticate every POST, GET, DELETE and SSE reconnection. A session identifier is not a credential. Bind sessions and event cursors to client, credential epoch and server boot identifier. Reject cross client session reuse.</w:t>
      </w:r>
    </w:p>
    <w:p>
      <w:pPr>
        <w:numPr>
          <w:ilvl w:val="0"/>
          <w:numId w:val="1001"/>
        </w:numPr>
        <w:spacing w:after="90" w:line="260" w:lineRule="auto"/>
      </w:pPr>
      <w:r>
        <w:rPr>
          <w:rFonts w:ascii="DejaVu Sans" w:hAnsi="DejaVu Sans"/>
          <w:sz w:val="21"/>
        </w:rPr>
        <w:t xml:space="preserve">Prefer paired loopback HTTPS with pinned bridge identity. Plain HTTP with a reusable bearer token has residual local port impersonation risk: another app can listen when the bridge is stopped. A bound before sharing ephemeral port helps but does not authenticate the server. If retained for compatibility, label this lower assurance mode and require explicit enablement; disable sensitive and state changing tools. Never disable certificate validation globally or install a system CA as a shortcut. Pairing trust is app specific and requires client support, so wire compatibility does not guarantee a drop in client setup.</w:t>
      </w:r>
    </w:p>
    <w:p>
      <w:pPr>
        <w:numPr>
          <w:ilvl w:val="0"/>
          <w:numId w:val="1001"/>
        </w:numPr>
        <w:spacing w:after="90" w:line="260" w:lineRule="auto"/>
      </w:pPr>
      <w:r>
        <w:rPr>
          <w:rFonts w:ascii="DejaVu Sans" w:hAnsi="DejaVu Sans"/>
          <w:sz w:val="21"/>
        </w:rPr>
        <w:t xml:space="preserve">Suggested initial limits: 256 KiB request body, JSON nesting 32, 4 active calls per client, 64 globally, bounded SSE queues and per client rate limits. Tune with tests; fail with explicit overload rather than unbounded memory growth.</w:t>
      </w:r>
    </w:p>
    <w:p>
      <w:pPr>
        <w:pStyle w:val="Heading2"/>
        <w:keepNext/>
        <w:spacing w:after="90" w:line="260" w:lineRule="auto"/>
      </w:pPr>
      <w:r>
        <w:rPr>
          <w:rFonts w:ascii="DejaVu Sans" w:hAnsi="DejaVu Sans"/>
          <w:b/>
          <w:sz w:val="25"/>
        </w:rPr>
        <w:t xml:space="preserve">One tool call</w:t>
      </w:r>
    </w:p>
    <w:p>
      <w:pPr>
        <w:numPr>
          <w:ilvl w:val="0"/>
          <w:numId w:val="1002"/>
        </w:numPr>
        <w:spacing w:after="90" w:line="260" w:lineRule="auto"/>
      </w:pPr>
      <w:r>
        <w:rPr>
          <w:rFonts w:ascii="DejaVu Sans" w:hAnsi="DejaVu Sans"/>
          <w:sz w:val="21"/>
        </w:rPr>
        <w:t xml:space="preserve">Parse a bounded UTF-8 JSON-RPC message; authenticate the transport credential and resolve the internal client record. Validate session ownership and negotiated protocol.</w:t>
      </w:r>
    </w:p>
    <w:p>
      <w:pPr>
        <w:numPr>
          <w:ilvl w:val="0"/>
          <w:numId w:val="1002"/>
        </w:numPr>
        <w:spacing w:after="90" w:line="260" w:lineRule="auto"/>
      </w:pPr>
      <w:r>
        <w:rPr>
          <w:rFonts w:ascii="DejaVu Sans" w:hAnsi="DejaVu Sans"/>
          <w:sz w:val="21"/>
        </w:rPr>
        <w:t xml:space="preserve">Resolve the generated binding/tool ID and exact schema hash from the active versioned registry, or the explicitly scoped low-level transaction contract. Reject unknown fields, invalid types and out of range values. Materialize defaults before canonicalization.</w:t>
      </w:r>
    </w:p>
    <w:p>
      <w:pPr>
        <w:numPr>
          <w:ilvl w:val="0"/>
          <w:numId w:val="1002"/>
        </w:numPr>
        <w:spacing w:after="90" w:line="260" w:lineRule="auto"/>
      </w:pPr>
      <w:r>
        <w:rPr>
          <w:rFonts w:ascii="DejaVu Sans" w:hAnsi="DejaVu Sans"/>
          <w:sz w:val="21"/>
        </w:rPr>
        <w:t xml:space="preserve">Resolve a validated invocation plan with binding ID, owned object/Binder handles, output fields, limits and service or ADB identity. Generic/raw calls use their own explicit schemas and scopes; caller-supplied transaction codes never bypass policy. SQL is never an execution transport.</w:t>
      </w:r>
    </w:p>
    <w:p>
      <w:pPr>
        <w:numPr>
          <w:ilvl w:val="0"/>
          <w:numId w:val="1002"/>
        </w:numPr>
        <w:spacing w:after="90" w:line="260" w:lineRule="auto"/>
      </w:pPr>
      <w:r>
        <w:rPr>
          <w:rFonts w:ascii="DejaVu Sans" w:hAnsi="DejaVu Sans"/>
          <w:sz w:val="21"/>
        </w:rPr>
        <w:t xml:space="preserve">Evaluate current policy and Android capability. If Ask applies, suspend without dispatch and request local approval. Timeout, dismissal or absence of UI means no execution.</w:t>
      </w:r>
    </w:p>
    <w:p>
      <w:pPr>
        <w:numPr>
          <w:ilvl w:val="0"/>
          <w:numId w:val="1002"/>
        </w:numPr>
        <w:spacing w:after="90" w:line="260" w:lineRule="auto"/>
      </w:pPr>
      <w:r>
        <w:rPr>
          <w:rFonts w:ascii="DejaVu Sans" w:hAnsi="DejaVu Sans"/>
          <w:sz w:val="21"/>
        </w:rPr>
        <w:t xml:space="preserve">Under the admission gate, recheck identity, revisions, scope, capability and approval; atomically consume one use approval and record execution admission. Dispatch outside the SQLite transaction.</w:t>
      </w:r>
    </w:p>
    <w:p>
      <w:pPr>
        <w:numPr>
          <w:ilvl w:val="0"/>
          <w:numId w:val="1002"/>
        </w:numPr>
        <w:spacing w:after="90" w:line="260" w:lineRule="auto"/>
      </w:pPr>
      <w:r>
        <w:rPr>
          <w:rFonts w:ascii="DejaVu Sans" w:hAnsi="DejaVu Sans"/>
          <w:sz w:val="21"/>
        </w:rPr>
        <w:t xml:space="preserve">Invoke the adapter off the UI thread. Recheck before every subsequent effect or result emission; sanitize and bound output. Record a minimal outcome and return a normal MCP result or a sanitized error.</w:t>
      </w:r>
    </w:p>
    <w:p>
      <w:pPr>
        <w:pStyle w:val="Heading2"/>
        <w:keepNext/>
        <w:spacing w:after="90" w:line="260" w:lineRule="auto"/>
      </w:pPr>
      <w:r>
        <w:rPr>
          <w:rFonts w:ascii="DejaVu Sans" w:hAnsi="DejaVu Sans"/>
          <w:b/>
          <w:sz w:val="25"/>
        </w:rPr>
        <w:t xml:space="preserve">Discovery and streams</w:t>
      </w:r>
    </w:p>
    <w:p>
      <w:pPr>
        <w:spacing w:after="90" w:line="260" w:lineRule="auto"/>
      </w:pPr>
      <w:r>
        <w:rPr>
          <w:rFonts w:ascii="DejaVu Sans" w:hAnsi="DejaVu Sans"/>
          <w:sz w:val="21"/>
        </w:rPr>
        <w:t xml:space="preserve">bindings.search/list/get expose every entry in the declared source coverage, including denied, unavailable and schema-unknown entries with reasons. Generated per-binding MCP tools are paginated; binding.invoke provides a generic route to the same registry rather than requiring a giant tool prompt. If a client needs a filtered callable-tool view, keep the complete inventory separately accessible. Deny/Ask/Allow never removes a binding from the inventory, and discovery never grants execution. Pin cursors to registry/policy snapshots; reject stale cursors. Send negotiated list-change notifications after registry changes. SSE is transport, not a new subscription grant.</w:t>
      </w:r>
    </w:p>
    <w:p>
      <w:pPr>
        <w:pStyle w:val="Heading1"/>
        <w:keepNext/>
        <w:spacing w:after="90" w:line="260" w:lineRule="auto"/>
      </w:pPr>
      <w:r>
        <w:rPr>
          <w:rFonts w:ascii="DejaVu Sans" w:hAnsi="DejaVu Sans"/>
          <w:b/>
          <w:sz w:val="30"/>
        </w:rPr>
        <w:t xml:space="preserve">4 Pairing and client identity</w:t>
      </w:r>
    </w:p>
    <w:p>
      <w:pPr>
        <w:spacing w:after="90" w:line="260" w:lineRule="auto"/>
      </w:pPr>
      <w:r>
        <w:rPr>
          <w:rFonts w:ascii="DejaVu Sans" w:hAnsi="DejaVu Sans"/>
          <w:sz w:val="21"/>
        </w:rPr>
        <w:t xml:space="preserve">The authenticated principal is an immutable, random internal client_id resolved from a credential. MCP clientInfo.name, a display label, IP address, Android package text and user agent strings are untrusted metadata. HTTP alone cannot establish the calling Android package or UID. A copied bearer credential impersonates its owner; this is an explicit residual risk of the manual client profile.</w:t>
      </w:r>
    </w:p>
    <w:p>
      <w:pPr>
        <w:pStyle w:val="Heading2"/>
        <w:keepNext/>
        <w:spacing w:after="90" w:line="260" w:lineRule="auto"/>
      </w:pPr>
      <w:r>
        <w:rPr>
          <w:rFonts w:ascii="DejaVu Sans" w:hAnsi="DejaVu Sans"/>
          <w:b/>
          <w:sz w:val="25"/>
        </w:rPr>
        <w:t xml:space="preserve">Manual pairing flow</w:t>
      </w:r>
    </w:p>
    <w:p>
      <w:pPr>
        <w:numPr>
          <w:ilvl w:val="0"/>
          <w:numId w:val="1003"/>
        </w:numPr>
        <w:spacing w:after="90" w:line="260" w:lineRule="auto"/>
      </w:pPr>
      <w:r>
        <w:rPr>
          <w:rFonts w:ascii="DejaVu Sans" w:hAnsi="DejaVu Sans"/>
          <w:sz w:val="21"/>
        </w:rPr>
        <w:t xml:space="preserve">The owner opens Clients and selects Add client. The bridge creates an expiring pairing attempt in memory while its listener is already bound. Show endpoint, server identity fingerprint and a one time high entropy bootstrap secret; never use a short numeric code as the only credential.</w:t>
      </w:r>
    </w:p>
    <w:p>
      <w:pPr>
        <w:numPr>
          <w:ilvl w:val="0"/>
          <w:numId w:val="1003"/>
        </w:numPr>
        <w:spacing w:after="90" w:line="260" w:lineRule="auto"/>
      </w:pPr>
      <w:r>
        <w:rPr>
          <w:rFonts w:ascii="DejaVu Sans" w:hAnsi="DejaVu Sans"/>
          <w:sz w:val="21"/>
        </w:rPr>
        <w:t xml:space="preserve">The owner enters this configuration in the intended agent. The agent proves possession of the bootstrap secret and presents a proposed label. The bridge UI displays a request fingerprint and identifies the label as client supplied. Require local confirmation before activation.</w:t>
      </w:r>
    </w:p>
    <w:p>
      <w:pPr>
        <w:numPr>
          <w:ilvl w:val="0"/>
          <w:numId w:val="1003"/>
        </w:numPr>
        <w:spacing w:after="90" w:line="260" w:lineRule="auto"/>
      </w:pPr>
      <w:r>
        <w:rPr>
          <w:rFonts w:ascii="DejaVu Sans" w:hAnsi="DejaVu Sans"/>
          <w:sz w:val="21"/>
        </w:rPr>
        <w:t xml:space="preserve">Issue a cryptographically random per client bearer secret with at least 256 bits of entropy. Return it once over the authenticated pairing channel. The owner chooses a least privilege preset or starts with all tools denied. Pairing never grants all existing or future tools.</w:t>
      </w:r>
    </w:p>
    <w:p>
      <w:pPr>
        <w:numPr>
          <w:ilvl w:val="0"/>
          <w:numId w:val="1003"/>
        </w:numPr>
        <w:spacing w:after="90" w:line="260" w:lineRule="auto"/>
      </w:pPr>
      <w:r>
        <w:rPr>
          <w:rFonts w:ascii="DejaVu Sans" w:hAnsi="DejaVu Sans"/>
          <w:sz w:val="21"/>
        </w:rPr>
        <w:t xml:space="preserve">Store only a verifier and nonsecret credential identifier. Consume the bootstrap secret on success; expire after a proposed two minute window or repeated failed attempts. If delivery fails, revoke the issued credential and pair again rather than redisplay it.</w:t>
      </w:r>
    </w:p>
    <w:p>
      <w:pPr>
        <w:spacing w:after="90" w:line="260" w:lineRule="auto"/>
      </w:pPr>
      <w:r>
        <w:rPr>
          <w:rFonts w:ascii="DejaVu Sans" w:hAnsi="DejaVu Sans"/>
          <w:sz w:val="21"/>
        </w:rPr>
        <w:t xml:space="preserve">Use an explicit pairing surface outside the MCP method catalog and enabled only during a local pairing window. Do not expose admin methods, policy mutation or token creation as agent tools. Manual preconfigured bearer authentication is an interoperability profile, not a claim of full MCP OAuth authorization compliance. A standards based authorization adapter may be added when target clients require it. [S5]</w:t>
      </w:r>
    </w:p>
    <w:p>
      <w:pPr>
        <w:pStyle w:val="Heading2"/>
        <w:keepNext/>
        <w:spacing w:after="90" w:line="260" w:lineRule="auto"/>
      </w:pPr>
      <w:r>
        <w:rPr>
          <w:rFonts w:ascii="DejaVu Sans" w:hAnsi="DejaVu Sans"/>
          <w:b/>
          <w:sz w:val="25"/>
        </w:rPr>
        <w:t xml:space="preserve">Optional package aware pairing</w:t>
      </w:r>
    </w:p>
    <w:p>
      <w:pPr>
        <w:spacing w:after="90" w:line="260" w:lineRule="auto"/>
      </w:pPr>
      <w:r>
        <w:rPr>
          <w:rFonts w:ascii="DejaVu Sans" w:hAnsi="DejaVu Sans"/>
          <w:sz w:val="21"/>
        </w:rPr>
        <w:t xml:space="preserve">A dedicated, narrowly scoped Android pairing entry point can verify a real Binder calling UID and the associated signing identity. Do not accept the package name from request JSON. Resolve multi package UIDs, signing lineage and package changes deliberately. This grants no authority beyond owner approved policy; do not require it for generic MCP clients.</w:t>
      </w:r>
    </w:p>
    <w:p>
      <w:pPr>
        <w:pStyle w:val="Heading2"/>
        <w:keepNext/>
        <w:spacing w:after="90" w:line="260" w:lineRule="auto"/>
      </w:pPr>
      <w:r>
        <w:rPr>
          <w:rFonts w:ascii="DejaVu Sans" w:hAnsi="DejaVu Sans"/>
          <w:b/>
          <w:sz w:val="25"/>
        </w:rPr>
        <w:t xml:space="preserve">Credential lifecycle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Action</w:t>
            </w:r>
          </w:p>
        </w:tc>
        <w:tc>
          <w:tcPr>
            <w:tcW w:w="7668" w:type="dxa"/>
            <w:shd w:fill="E4EDF5"/>
            <w:vAlign w:val="top"/>
          </w:tcPr>
          <w:p>
            <w:pPr>
              <w:spacing w:after="60" w:line="235" w:lineRule="auto"/>
            </w:pPr>
            <w:r>
              <w:rPr>
                <w:rFonts w:ascii="DejaVu Sans" w:hAnsi="DejaVu Sans"/>
                <w:b/>
                <w:sz w:val="18"/>
              </w:rPr>
              <w:t xml:space="preserve">Required effect</w:t>
            </w:r>
          </w:p>
        </w:tc>
      </w:tr>
      <w:tr>
        <w:trPr>
          <w:cantSplit/>
        </w:trPr>
        <w:tc>
          <w:tcPr>
            <w:tcW w:w="2556" w:type="dxa"/>
            <w:shd w:fill="FFFFFF"/>
            <w:vAlign w:val="top"/>
          </w:tcPr>
          <w:p>
            <w:pPr>
              <w:spacing w:after="60" w:line="235" w:lineRule="auto"/>
            </w:pPr>
            <w:r>
              <w:rPr>
                <w:rFonts w:ascii="DejaVu Sans" w:hAnsi="DejaVu Sans"/>
                <w:sz w:val="18"/>
              </w:rPr>
              <w:t xml:space="preserve">Rotate</w:t>
            </w:r>
          </w:p>
        </w:tc>
        <w:tc>
          <w:tcPr>
            <w:tcW w:w="7668" w:type="dxa"/>
            <w:shd w:fill="FFFFFF"/>
            <w:vAlign w:val="top"/>
          </w:tcPr>
          <w:p>
            <w:pPr>
              <w:spacing w:after="60" w:line="235" w:lineRule="auto"/>
            </w:pPr>
            <w:r>
              <w:rPr>
                <w:rFonts w:ascii="DejaVu Sans" w:hAnsi="DejaVu Sans"/>
                <w:sz w:val="18"/>
              </w:rPr>
              <w:t xml:space="preserve">Create a new credential and show it once. Owner may permit a short overlap. At its end, atomically revoke old, increment client epoch and move retained replacement to that epoch. Invalidate all client sessions and approvals.</w:t>
            </w:r>
          </w:p>
        </w:tc>
      </w:tr>
      <w:tr>
        <w:trPr>
          <w:cantSplit/>
        </w:trPr>
        <w:tc>
          <w:tcPr>
            <w:tcW w:w="2556" w:type="dxa"/>
            <w:shd w:fill="FFFFFF"/>
            <w:vAlign w:val="top"/>
          </w:tcPr>
          <w:p>
            <w:pPr>
              <w:spacing w:after="60" w:line="235" w:lineRule="auto"/>
            </w:pPr>
            <w:r>
              <w:rPr>
                <w:rFonts w:ascii="DejaVu Sans" w:hAnsi="DejaVu Sans"/>
                <w:sz w:val="18"/>
              </w:rPr>
              <w:t xml:space="preserve">Disable client</w:t>
            </w:r>
          </w:p>
        </w:tc>
        <w:tc>
          <w:tcPr>
            <w:tcW w:w="7668" w:type="dxa"/>
            <w:shd w:fill="FFFFFF"/>
            <w:vAlign w:val="top"/>
          </w:tcPr>
          <w:p>
            <w:pPr>
              <w:spacing w:after="60" w:line="235" w:lineRule="auto"/>
            </w:pPr>
            <w:r>
              <w:rPr>
                <w:rFonts w:ascii="DejaVu Sans" w:hAnsi="DejaVu Sans"/>
                <w:sz w:val="18"/>
              </w:rPr>
              <w:t xml:space="preserve">Persist disabled state and revision, cancel approvals and reject new admissions. Preserve policy for review; reenable requires local owner action.</w:t>
            </w:r>
          </w:p>
        </w:tc>
      </w:tr>
      <w:tr>
        <w:trPr>
          <w:cantSplit/>
        </w:trPr>
        <w:tc>
          <w:tcPr>
            <w:tcW w:w="2556" w:type="dxa"/>
            <w:shd w:fill="FFFFFF"/>
            <w:vAlign w:val="top"/>
          </w:tcPr>
          <w:p>
            <w:pPr>
              <w:spacing w:after="60" w:line="235" w:lineRule="auto"/>
            </w:pPr>
            <w:r>
              <w:rPr>
                <w:rFonts w:ascii="DejaVu Sans" w:hAnsi="DejaVu Sans"/>
                <w:sz w:val="18"/>
              </w:rPr>
              <w:t xml:space="preserve">Revoke</w:t>
            </w:r>
          </w:p>
        </w:tc>
        <w:tc>
          <w:tcPr>
            <w:tcW w:w="7668" w:type="dxa"/>
            <w:shd w:fill="FFFFFF"/>
            <w:vAlign w:val="top"/>
          </w:tcPr>
          <w:p>
            <w:pPr>
              <w:spacing w:after="60" w:line="235" w:lineRule="auto"/>
            </w:pPr>
            <w:r>
              <w:rPr>
                <w:rFonts w:ascii="DejaVu Sans" w:hAnsi="DejaVu Sans"/>
                <w:sz w:val="18"/>
              </w:rPr>
              <w:t xml:space="preserve">Persist revocation, increment credential epoch and close affected streams. Reuse is permanently rejected even if a client session remains open.</w:t>
            </w:r>
          </w:p>
        </w:tc>
      </w:tr>
      <w:tr>
        <w:trPr>
          <w:cantSplit/>
        </w:trPr>
        <w:tc>
          <w:tcPr>
            <w:tcW w:w="2556" w:type="dxa"/>
            <w:shd w:fill="FFFFFF"/>
            <w:vAlign w:val="top"/>
          </w:tcPr>
          <w:p>
            <w:pPr>
              <w:spacing w:after="60" w:line="235" w:lineRule="auto"/>
            </w:pPr>
            <w:r>
              <w:rPr>
                <w:rFonts w:ascii="DejaVu Sans" w:hAnsi="DejaVu Sans"/>
                <w:sz w:val="18"/>
              </w:rPr>
              <w:t xml:space="preserve">Restore backup</w:t>
            </w:r>
          </w:p>
        </w:tc>
        <w:tc>
          <w:tcPr>
            <w:tcW w:w="7668" w:type="dxa"/>
            <w:shd w:fill="FFFFFF"/>
            <w:vAlign w:val="top"/>
          </w:tcPr>
          <w:p>
            <w:pPr>
              <w:spacing w:after="60" w:line="235" w:lineRule="auto"/>
            </w:pPr>
            <w:r>
              <w:rPr>
                <w:rFonts w:ascii="DejaVu Sans" w:hAnsi="DejaVu Sans"/>
                <w:sz w:val="18"/>
              </w:rPr>
              <w:t xml:space="preserve">Restore client labels and rules as disabled templates only. Never restore active credentials, sessions, approvals or server identity. Require fresh pairing.</w:t>
            </w:r>
          </w:p>
        </w:tc>
      </w:tr>
    </w:tbl>
    <w:p>
      <w:pPr>
        <w:spacing w:after="90" w:line="260" w:lineRule="auto"/>
      </w:pPr>
    </w:p>
    <w:p>
      <w:pPr>
        <w:pStyle w:val="Heading1"/>
        <w:keepNext/>
        <w:spacing w:after="90" w:line="260" w:lineRule="auto"/>
      </w:pPr>
      <w:r>
        <w:rPr>
          <w:rFonts w:ascii="DejaVu Sans" w:hAnsi="DejaVu Sans"/>
          <w:b/>
          <w:sz w:val="30"/>
        </w:rPr>
        <w:t xml:space="preserve">5 Permission model and evaluation</w:t>
      </w:r>
    </w:p>
    <w:p>
      <w:pPr>
        <w:spacing w:after="90" w:line="260" w:lineRule="auto"/>
      </w:pPr>
      <w:r>
        <w:rPr>
          <w:rFonts w:ascii="DejaVu Sans" w:hAnsi="DejaVu Sans"/>
          <w:sz w:val="21"/>
        </w:rPr>
        <w:t xml:space="preserve">Use one policy evaluator over canonical binding identities and exact schema hashes, with Deny, Ask or Allow plus typed constraints. A required entry-point tool rule can only restrict binding authority. No wildcard tools, rule priorities, inherited Allow or regular expression permission language. Presets only populate explicit rules after preview; newly registered tools remain denied.</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Order</w:t>
            </w:r>
          </w:p>
        </w:tc>
        <w:tc>
          <w:tcPr>
            <w:tcW w:w="3987" w:type="dxa"/>
            <w:shd w:fill="E4EDF5"/>
            <w:vAlign w:val="top"/>
          </w:tcPr>
          <w:p>
            <w:pPr>
              <w:spacing w:after="60" w:line="235" w:lineRule="auto"/>
            </w:pPr>
            <w:r>
              <w:rPr>
                <w:rFonts w:ascii="DejaVu Sans" w:hAnsi="DejaVu Sans"/>
                <w:b/>
                <w:sz w:val="18"/>
              </w:rPr>
              <w:t xml:space="preserve">Check</w:t>
            </w:r>
          </w:p>
        </w:tc>
        <w:tc>
          <w:tcPr>
            <w:tcW w:w="3988" w:type="dxa"/>
            <w:shd w:fill="E4EDF5"/>
            <w:vAlign w:val="top"/>
          </w:tcPr>
          <w:p>
            <w:pPr>
              <w:spacing w:after="60" w:line="235" w:lineRule="auto"/>
            </w:pPr>
            <w:r>
              <w:rPr>
                <w:rFonts w:ascii="DejaVu Sans" w:hAnsi="DejaVu Sans"/>
                <w:b/>
                <w:sz w:val="18"/>
              </w:rPr>
              <w:t xml:space="preserve">Result when it fails</w:t>
            </w:r>
          </w:p>
        </w:tc>
      </w:tr>
      <w:tr>
        <w:trPr>
          <w:cantSplit/>
        </w:trPr>
        <w:tc>
          <w:tcPr>
            <w:tcW w:w="2249" w:type="dxa"/>
            <w:shd w:fill="FFFFFF"/>
            <w:vAlign w:val="top"/>
          </w:tcPr>
          <w:p>
            <w:pPr>
              <w:spacing w:after="60" w:line="235" w:lineRule="auto"/>
            </w:pPr>
            <w:r>
              <w:rPr>
                <w:rFonts w:ascii="DejaVu Sans" w:hAnsi="DejaVu Sans"/>
                <w:sz w:val="18"/>
              </w:rPr>
              <w:t xml:space="preserve">1</w:t>
            </w:r>
          </w:p>
        </w:tc>
        <w:tc>
          <w:tcPr>
            <w:tcW w:w="3987" w:type="dxa"/>
            <w:shd w:fill="FFFFFF"/>
            <w:vAlign w:val="top"/>
          </w:tcPr>
          <w:p>
            <w:pPr>
              <w:spacing w:after="60" w:line="235" w:lineRule="auto"/>
            </w:pPr>
            <w:r>
              <w:rPr>
                <w:rFonts w:ascii="DejaVu Sans" w:hAnsi="DejaVu Sans"/>
                <w:sz w:val="18"/>
              </w:rPr>
              <w:t xml:space="preserve">Valid credential, active client, bridge running</w:t>
            </w:r>
          </w:p>
        </w:tc>
        <w:tc>
          <w:tcPr>
            <w:tcW w:w="3988" w:type="dxa"/>
            <w:shd w:fill="FFFFFF"/>
            <w:vAlign w:val="top"/>
          </w:tcPr>
          <w:p>
            <w:pPr>
              <w:spacing w:after="60" w:line="235" w:lineRule="auto"/>
            </w:pPr>
            <w:r>
              <w:rPr>
                <w:rFonts w:ascii="DejaVu Sans" w:hAnsi="DejaVu Sans"/>
                <w:sz w:val="18"/>
              </w:rPr>
              <w:t xml:space="preserve">Reject; no capability or policy details to unauthenticated callers</w:t>
            </w:r>
          </w:p>
        </w:tc>
      </w:tr>
      <w:tr>
        <w:trPr>
          <w:cantSplit/>
        </w:trPr>
        <w:tc>
          <w:tcPr>
            <w:tcW w:w="2249" w:type="dxa"/>
            <w:shd w:fill="FFFFFF"/>
            <w:vAlign w:val="top"/>
          </w:tcPr>
          <w:p>
            <w:pPr>
              <w:spacing w:after="60" w:line="235" w:lineRule="auto"/>
            </w:pPr>
            <w:r>
              <w:rPr>
                <w:rFonts w:ascii="DejaVu Sans" w:hAnsi="DejaVu Sans"/>
                <w:sz w:val="18"/>
              </w:rPr>
              <w:t xml:space="preserve">2</w:t>
            </w:r>
          </w:p>
        </w:tc>
        <w:tc>
          <w:tcPr>
            <w:tcW w:w="3987" w:type="dxa"/>
            <w:shd w:fill="FFFFFF"/>
            <w:vAlign w:val="top"/>
          </w:tcPr>
          <w:p>
            <w:pPr>
              <w:spacing w:after="60" w:line="235" w:lineRule="auto"/>
            </w:pPr>
            <w:r>
              <w:rPr>
                <w:rFonts w:ascii="DejaVu Sans" w:hAnsi="DejaVu Sans"/>
                <w:sz w:val="18"/>
              </w:rPr>
              <w:t xml:space="preserve">Known binding or explicit low-level contract and accepted schema version</w:t>
            </w:r>
          </w:p>
        </w:tc>
        <w:tc>
          <w:tcPr>
            <w:tcW w:w="3988" w:type="dxa"/>
            <w:shd w:fill="FFFFFF"/>
            <w:vAlign w:val="top"/>
          </w:tcPr>
          <w:p>
            <w:pPr>
              <w:spacing w:after="60" w:line="235" w:lineRule="auto"/>
            </w:pPr>
            <w:r>
              <w:rPr>
                <w:rFonts w:ascii="DejaVu Sans" w:hAnsi="DejaVu Sans"/>
                <w:sz w:val="18"/>
              </w:rPr>
              <w:t xml:space="preserve">Unavailable or invalid tool</w:t>
            </w:r>
          </w:p>
        </w:tc>
      </w:tr>
      <w:tr>
        <w:trPr>
          <w:cantSplit/>
        </w:trPr>
        <w:tc>
          <w:tcPr>
            <w:tcW w:w="2249" w:type="dxa"/>
            <w:shd w:fill="FFFFFF"/>
            <w:vAlign w:val="top"/>
          </w:tcPr>
          <w:p>
            <w:pPr>
              <w:spacing w:after="60" w:line="235" w:lineRule="auto"/>
            </w:pPr>
            <w:r>
              <w:rPr>
                <w:rFonts w:ascii="DejaVu Sans" w:hAnsi="DejaVu Sans"/>
                <w:sz w:val="18"/>
              </w:rPr>
              <w:t xml:space="preserve">3</w:t>
            </w:r>
          </w:p>
        </w:tc>
        <w:tc>
          <w:tcPr>
            <w:tcW w:w="3987" w:type="dxa"/>
            <w:shd w:fill="FFFFFF"/>
            <w:vAlign w:val="top"/>
          </w:tcPr>
          <w:p>
            <w:pPr>
              <w:spacing w:after="60" w:line="235" w:lineRule="auto"/>
            </w:pPr>
            <w:r>
              <w:rPr>
                <w:rFonts w:ascii="DejaVu Sans" w:hAnsi="DejaVu Sans"/>
                <w:sz w:val="18"/>
              </w:rPr>
              <w:t xml:space="preserve">Global emergency deny or tool disabled</w:t>
            </w:r>
          </w:p>
        </w:tc>
        <w:tc>
          <w:tcPr>
            <w:tcW w:w="3988" w:type="dxa"/>
            <w:shd w:fill="FFFFFF"/>
            <w:vAlign w:val="top"/>
          </w:tcPr>
          <w:p>
            <w:pPr>
              <w:spacing w:after="60" w:line="235" w:lineRule="auto"/>
            </w:pPr>
            <w:r>
              <w:rPr>
                <w:rFonts w:ascii="DejaVu Sans" w:hAnsi="DejaVu Sans"/>
                <w:sz w:val="18"/>
              </w:rPr>
              <w:t xml:space="preserve">Deny, regardless of client choice</w:t>
            </w:r>
          </w:p>
        </w:tc>
      </w:tr>
      <w:tr>
        <w:trPr>
          <w:cantSplit/>
        </w:trPr>
        <w:tc>
          <w:tcPr>
            <w:tcW w:w="2249" w:type="dxa"/>
            <w:shd w:fill="FFFFFF"/>
            <w:vAlign w:val="top"/>
          </w:tcPr>
          <w:p>
            <w:pPr>
              <w:spacing w:after="60" w:line="235" w:lineRule="auto"/>
            </w:pPr>
            <w:r>
              <w:rPr>
                <w:rFonts w:ascii="DejaVu Sans" w:hAnsi="DejaVu Sans"/>
                <w:sz w:val="18"/>
              </w:rPr>
              <w:t xml:space="preserve">4</w:t>
            </w:r>
          </w:p>
        </w:tc>
        <w:tc>
          <w:tcPr>
            <w:tcW w:w="3987" w:type="dxa"/>
            <w:shd w:fill="FFFFFF"/>
            <w:vAlign w:val="top"/>
          </w:tcPr>
          <w:p>
            <w:pPr>
              <w:spacing w:after="60" w:line="235" w:lineRule="auto"/>
            </w:pPr>
            <w:r>
              <w:rPr>
                <w:rFonts w:ascii="DejaVu Sans" w:hAnsi="DejaVu Sans"/>
                <w:sz w:val="18"/>
              </w:rPr>
              <w:t xml:space="preserve">Every canonical binding has an exact schema-bound client rule and the entry-point rule exists; no rule denies</w:t>
            </w:r>
          </w:p>
        </w:tc>
        <w:tc>
          <w:tcPr>
            <w:tcW w:w="3988" w:type="dxa"/>
            <w:shd w:fill="FFFFFF"/>
            <w:vAlign w:val="top"/>
          </w:tcPr>
          <w:p>
            <w:pPr>
              <w:spacing w:after="60" w:line="235" w:lineRule="auto"/>
            </w:pPr>
            <w:r>
              <w:rPr>
                <w:rFonts w:ascii="DejaVu Sans" w:hAnsi="DejaVu Sans"/>
                <w:sz w:val="18"/>
              </w:rPr>
              <w:t xml:space="preserve">Deny by default</w:t>
            </w:r>
          </w:p>
        </w:tc>
      </w:tr>
      <w:tr>
        <w:trPr>
          <w:cantSplit/>
        </w:trPr>
        <w:tc>
          <w:tcPr>
            <w:tcW w:w="2249" w:type="dxa"/>
            <w:shd w:fill="FFFFFF"/>
            <w:vAlign w:val="top"/>
          </w:tcPr>
          <w:p>
            <w:pPr>
              <w:spacing w:after="60" w:line="235" w:lineRule="auto"/>
            </w:pPr>
            <w:r>
              <w:rPr>
                <w:rFonts w:ascii="DejaVu Sans" w:hAnsi="DejaVu Sans"/>
                <w:sz w:val="18"/>
              </w:rPr>
              <w:t xml:space="preserve">5</w:t>
            </w:r>
          </w:p>
        </w:tc>
        <w:tc>
          <w:tcPr>
            <w:tcW w:w="3987" w:type="dxa"/>
            <w:shd w:fill="FFFFFF"/>
            <w:vAlign w:val="top"/>
          </w:tcPr>
          <w:p>
            <w:pPr>
              <w:spacing w:after="60" w:line="235" w:lineRule="auto"/>
            </w:pPr>
            <w:r>
              <w:rPr>
                <w:rFonts w:ascii="DejaVu Sans" w:hAnsi="DejaVu Sans"/>
                <w:sz w:val="18"/>
              </w:rPr>
              <w:t xml:space="preserve">Arguments and requested output fit all scope constraints</w:t>
            </w:r>
          </w:p>
        </w:tc>
        <w:tc>
          <w:tcPr>
            <w:tcW w:w="3988" w:type="dxa"/>
            <w:shd w:fill="FFFFFF"/>
            <w:vAlign w:val="top"/>
          </w:tcPr>
          <w:p>
            <w:pPr>
              <w:spacing w:after="60" w:line="235" w:lineRule="auto"/>
            </w:pPr>
            <w:r>
              <w:rPr>
                <w:rFonts w:ascii="DejaVu Sans" w:hAnsi="DejaVu Sans"/>
                <w:sz w:val="18"/>
              </w:rPr>
              <w:t xml:space="preserve">Deny; Ask cannot expand the scope</w:t>
            </w:r>
          </w:p>
        </w:tc>
      </w:tr>
      <w:tr>
        <w:trPr>
          <w:cantSplit/>
        </w:trPr>
        <w:tc>
          <w:tcPr>
            <w:tcW w:w="2249" w:type="dxa"/>
            <w:shd w:fill="FFFFFF"/>
            <w:vAlign w:val="top"/>
          </w:tcPr>
          <w:p>
            <w:pPr>
              <w:spacing w:after="60" w:line="235" w:lineRule="auto"/>
            </w:pPr>
            <w:r>
              <w:rPr>
                <w:rFonts w:ascii="DejaVu Sans" w:hAnsi="DejaVu Sans"/>
                <w:sz w:val="18"/>
              </w:rPr>
              <w:t xml:space="preserve">6</w:t>
            </w:r>
          </w:p>
        </w:tc>
        <w:tc>
          <w:tcPr>
            <w:tcW w:w="3987" w:type="dxa"/>
            <w:shd w:fill="FFFFFF"/>
            <w:vAlign w:val="top"/>
          </w:tcPr>
          <w:p>
            <w:pPr>
              <w:spacing w:after="60" w:line="235" w:lineRule="auto"/>
            </w:pPr>
            <w:r>
              <w:rPr>
                <w:rFonts w:ascii="DejaVu Sans" w:hAnsi="DejaVu Sans"/>
                <w:sz w:val="18"/>
              </w:rPr>
              <w:t xml:space="preserve">Current backend authority, device state and target availability</w:t>
            </w:r>
          </w:p>
        </w:tc>
        <w:tc>
          <w:tcPr>
            <w:tcW w:w="3988" w:type="dxa"/>
            <w:shd w:fill="FFFFFF"/>
            <w:vAlign w:val="top"/>
          </w:tcPr>
          <w:p>
            <w:pPr>
              <w:spacing w:after="60" w:line="235" w:lineRule="auto"/>
            </w:pPr>
            <w:r>
              <w:rPr>
                <w:rFonts w:ascii="DejaVu Sans" w:hAnsi="DejaVu Sans"/>
                <w:sz w:val="18"/>
              </w:rPr>
              <w:t xml:space="preserve">OS unavailable; never treat Allow as an OS grant</w:t>
            </w:r>
          </w:p>
        </w:tc>
      </w:tr>
      <w:tr>
        <w:trPr>
          <w:cantSplit/>
        </w:trPr>
        <w:tc>
          <w:tcPr>
            <w:tcW w:w="2249" w:type="dxa"/>
            <w:shd w:fill="FFFFFF"/>
            <w:vAlign w:val="top"/>
          </w:tcPr>
          <w:p>
            <w:pPr>
              <w:spacing w:after="60" w:line="235" w:lineRule="auto"/>
            </w:pPr>
            <w:r>
              <w:rPr>
                <w:rFonts w:ascii="DejaVu Sans" w:hAnsi="DejaVu Sans"/>
                <w:sz w:val="18"/>
              </w:rPr>
              <w:t xml:space="preserve">7</w:t>
            </w:r>
          </w:p>
        </w:tc>
        <w:tc>
          <w:tcPr>
            <w:tcW w:w="3987" w:type="dxa"/>
            <w:shd w:fill="FFFFFF"/>
            <w:vAlign w:val="top"/>
          </w:tcPr>
          <w:p>
            <w:pPr>
              <w:spacing w:after="60" w:line="235" w:lineRule="auto"/>
            </w:pPr>
            <w:r>
              <w:rPr>
                <w:rFonts w:ascii="DejaVu Sans" w:hAnsi="DejaVu Sans"/>
                <w:sz w:val="18"/>
              </w:rPr>
              <w:t xml:space="preserve">Rule is Ask or global tool floor requires Ask</w:t>
            </w:r>
          </w:p>
        </w:tc>
        <w:tc>
          <w:tcPr>
            <w:tcW w:w="3988" w:type="dxa"/>
            <w:shd w:fill="FFFFFF"/>
            <w:vAlign w:val="top"/>
          </w:tcPr>
          <w:p>
            <w:pPr>
              <w:spacing w:after="60" w:line="235" w:lineRule="auto"/>
            </w:pPr>
            <w:r>
              <w:rPr>
                <w:rFonts w:ascii="DejaVu Sans" w:hAnsi="DejaVu Sans"/>
                <w:sz w:val="18"/>
              </w:rPr>
              <w:t xml:space="preserve">Require a valid one use request bound approval</w:t>
            </w:r>
          </w:p>
        </w:tc>
      </w:tr>
      <w:tr>
        <w:trPr>
          <w:cantSplit/>
        </w:trPr>
        <w:tc>
          <w:tcPr>
            <w:tcW w:w="2249" w:type="dxa"/>
            <w:shd w:fill="FFFFFF"/>
            <w:vAlign w:val="top"/>
          </w:tcPr>
          <w:p>
            <w:pPr>
              <w:spacing w:after="60" w:line="235" w:lineRule="auto"/>
            </w:pPr>
            <w:r>
              <w:rPr>
                <w:rFonts w:ascii="DejaVu Sans" w:hAnsi="DejaVu Sans"/>
                <w:sz w:val="18"/>
              </w:rPr>
              <w:t xml:space="preserve">8</w:t>
            </w:r>
          </w:p>
        </w:tc>
        <w:tc>
          <w:tcPr>
            <w:tcW w:w="3987" w:type="dxa"/>
            <w:shd w:fill="FFFFFF"/>
            <w:vAlign w:val="top"/>
          </w:tcPr>
          <w:p>
            <w:pPr>
              <w:spacing w:after="60" w:line="235" w:lineRule="auto"/>
            </w:pPr>
            <w:r>
              <w:rPr>
                <w:rFonts w:ascii="DejaVu Sans" w:hAnsi="DejaVu Sans"/>
                <w:sz w:val="18"/>
              </w:rPr>
              <w:t xml:space="preserve">Versions and capability still valid at admission</w:t>
            </w:r>
          </w:p>
        </w:tc>
        <w:tc>
          <w:tcPr>
            <w:tcW w:w="3988" w:type="dxa"/>
            <w:shd w:fill="FFFFFF"/>
            <w:vAlign w:val="top"/>
          </w:tcPr>
          <w:p>
            <w:pPr>
              <w:spacing w:after="60" w:line="235" w:lineRule="auto"/>
            </w:pPr>
            <w:r>
              <w:rPr>
                <w:rFonts w:ascii="DejaVu Sans" w:hAnsi="DejaVu Sans"/>
                <w:sz w:val="18"/>
              </w:rPr>
              <w:t xml:space="preserve">Admit, otherwise reevaluate or reject</w:t>
            </w:r>
          </w:p>
        </w:tc>
      </w:tr>
    </w:tbl>
    <w:p>
      <w:pPr>
        <w:spacing w:after="90" w:line="260" w:lineRule="auto"/>
      </w:pPr>
    </w:p>
    <w:p>
      <w:pPr>
        <w:pStyle w:val="Heading2"/>
        <w:keepNext/>
        <w:spacing w:after="90" w:line="260" w:lineRule="auto"/>
      </w:pPr>
      <w:r>
        <w:rPr>
          <w:rFonts w:ascii="DejaVu Sans" w:hAnsi="DejaVu Sans"/>
          <w:b/>
          <w:sz w:val="25"/>
        </w:rPr>
        <w:t xml:space="preserve">Scope semantics</w:t>
      </w:r>
    </w:p>
    <w:p>
      <w:pPr>
        <w:spacing w:after="90" w:line="260" w:lineRule="auto"/>
      </w:pPr>
      <w:r>
        <w:rPr>
          <w:rFonts w:ascii="DejaVu Sans" w:hAnsi="DejaVu Sans"/>
          <w:sz w:val="21"/>
        </w:rPr>
        <w:t xml:space="preserve">Each adapter defines a closed constraint schema. Allowed resource identifiers and fields are exact sets; numeric caps are maximums; requested time ranges must fit the allowed interval. Within one rule all constraints are ANDed. Global, client and adapter bounds intersect. Empty sets mean no access, not unrestricted access. Unknown constraint keys or schema versions fail closed. Scope is evaluated on canonical resolved identifiers, never display strings or path prefix comparisons.</w:t>
      </w:r>
    </w:p>
    <w:p>
      <w:pPr>
        <w:spacing w:after="90" w:line="260" w:lineRule="auto"/>
      </w:pPr>
      <w:r>
        <w:rPr>
          <w:rFonts w:ascii="DejaVu Sans" w:hAnsi="DejaVu Sans"/>
          <w:sz w:val="21"/>
        </w:rPr>
        <w:t xml:space="preserve">Example: contacts.list may permit only displayName for selected contact identifiers, at most 20 rows and no phone or email fields. Requesting phone is denied, not silently upgraded to Ask. An approved document handle identifies one selected document and mode; a caller supplied content URI or filesystem path is not an equivalent grant. UI constraints and adapter enforcement use the same typed model.</w:t>
      </w:r>
    </w:p>
    <w:p>
      <w:pPr>
        <w:shd w:fill="F2F6FA"/>
        <w:spacing w:after="0" w:line="220" w:lineRule="auto"/>
      </w:pPr>
      <w:r>
        <w:rPr>
          <w:rFonts w:ascii="DejaVu Sans Mono" w:hAnsi="DejaVu Sans Mono"/>
          <w:sz w:val="18"/>
        </w:rPr>
        <w:t xml:space="preserve">evaluate(principal, plan, snapshot):</w:t>
      </w:r>
    </w:p>
    <w:p>
      <w:pPr>
        <w:shd w:fill="F2F6FA"/>
        <w:spacing w:after="0" w:line="220" w:lineRule="auto"/>
      </w:pPr>
      <w:r>
        <w:rPr>
          <w:rFonts w:ascii="DejaVu Sans Mono" w:hAnsi="DejaVu Sans Mono"/>
          <w:sz w:val="18"/>
        </w:rPr>
        <w:t xml:space="preserve">  require active(principal) and currentCredential(principal)</w:t>
      </w:r>
    </w:p>
    <w:p>
      <w:pPr>
        <w:shd w:fill="F2F6FA"/>
        <w:spacing w:after="0" w:line="220" w:lineRule="auto"/>
      </w:pPr>
      <w:r>
        <w:rPr>
          <w:rFonts w:ascii="DejaVu Sans Mono" w:hAnsi="DejaVu Sans Mono"/>
          <w:sz w:val="18"/>
        </w:rPr>
        <w:t xml:space="preserve">  resolve generated, generic and known raw calls to identical canonical bindings</w:t>
      </w:r>
    </w:p>
    <w:p>
      <w:pPr>
        <w:shd w:fill="F2F6FA"/>
        <w:spacing w:after="0" w:line="220" w:lineRule="auto"/>
      </w:pPr>
      <w:r>
        <w:rPr>
          <w:rFonts w:ascii="DejaVu Sans Mono" w:hAnsi="DejaVu Sans Mono"/>
          <w:sz w:val="18"/>
        </w:rPr>
        <w:t xml:space="preserve">  reject known raw calls that cannot decode and validate the canonical arguments</w:t>
      </w:r>
    </w:p>
    <w:p>
      <w:pPr>
        <w:shd w:fill="F2F6FA"/>
        <w:spacing w:after="0" w:line="220" w:lineRule="auto"/>
      </w:pPr>
      <w:r>
        <w:rPr>
          <w:rFonts w:ascii="DejaVu Sans Mono" w:hAnsi="DejaVu Sans Mono"/>
          <w:sz w:val="18"/>
        </w:rPr>
        <w:t xml:space="preserve">  require a schema-bound binding rule for EVERY binding; absence or stale hash denies</w:t>
      </w:r>
    </w:p>
    <w:p>
      <w:pPr>
        <w:shd w:fill="F2F6FA"/>
        <w:spacing w:after="0" w:line="220" w:lineRule="auto"/>
      </w:pPr>
      <w:r>
        <w:rPr>
          <w:rFonts w:ascii="DejaVu Sans Mono" w:hAnsi="DejaVu Sans Mono"/>
          <w:sz w:val="18"/>
        </w:rPr>
        <w:t xml:space="preserve">  unknown raw calls require an explicit broad raw backend/service grant and tool rule</w:t>
      </w:r>
    </w:p>
    <w:p>
      <w:pPr>
        <w:shd w:fill="F2F6FA"/>
        <w:spacing w:after="0" w:line="220" w:lineRule="auto"/>
      </w:pPr>
      <w:r>
        <w:rPr>
          <w:rFonts w:ascii="DejaVu Sans Mono" w:hAnsi="DejaVu Sans Mono"/>
          <w:sz w:val="18"/>
        </w:rPr>
        <w:t xml:space="preserve">  collect binding rules, required entry-point rule and global/adapter guardrails</w:t>
      </w:r>
    </w:p>
    <w:p>
      <w:pPr>
        <w:shd w:fill="F2F6FA"/>
        <w:spacing w:after="0" w:line="220" w:lineRule="auto"/>
      </w:pPr>
      <w:r>
        <w:rPr>
          <w:rFonts w:ascii="DejaVu Sans Mono" w:hAnsi="DejaVu Sans Mono"/>
          <w:sz w:val="18"/>
        </w:rPr>
        <w:t xml:space="preserve">  if any deny or unknown semantics or arguments outside ANY constraint: DENY</w:t>
      </w:r>
    </w:p>
    <w:p>
      <w:pPr>
        <w:shd w:fill="F2F6FA"/>
        <w:spacing w:after="0" w:line="220" w:lineRule="auto"/>
      </w:pPr>
      <w:r>
        <w:rPr>
          <w:rFonts w:ascii="DejaVu Sans Mono" w:hAnsi="DejaVu Sans Mono"/>
          <w:sz w:val="18"/>
        </w:rPr>
        <w:t xml:space="preserve">  if not capabilityAvailableNow(plan): OS_UNAVAILABLE</w:t>
      </w:r>
    </w:p>
    <w:p>
      <w:pPr>
        <w:shd w:fill="F2F6FA"/>
        <w:spacing w:after="0" w:line="220" w:lineRule="auto"/>
      </w:pPr>
      <w:r>
        <w:rPr>
          <w:rFonts w:ascii="DejaVu Sans Mono" w:hAnsi="DejaVu Sans Mono"/>
          <w:sz w:val="18"/>
        </w:rPr>
        <w:t xml:space="preserve">  if any ask or globalAskFloor(plan): require validOneUseApproval(principal, plan, snapshot)</w:t>
      </w:r>
    </w:p>
    <w:p>
      <w:pPr>
        <w:shd w:fill="F2F6FA"/>
        <w:spacing w:after="0" w:line="220" w:lineRule="auto"/>
      </w:pPr>
      <w:r>
        <w:rPr>
          <w:rFonts w:ascii="DejaVu Sans Mono" w:hAnsi="DejaVu Sans Mono"/>
          <w:sz w:val="18"/>
        </w:rPr>
        <w:t xml:space="preserve">  recheck credential, registry/schema/target/policy versions at admission</w:t>
      </w:r>
    </w:p>
    <w:p>
      <w:pPr>
        <w:shd w:fill="F2F6FA"/>
        <w:spacing w:after="0" w:line="220" w:lineRule="auto"/>
      </w:pPr>
      <w:r>
        <w:rPr>
          <w:rFonts w:ascii="DejaVu Sans Mono" w:hAnsi="DejaVu Sans Mono"/>
          <w:sz w:val="18"/>
        </w:rPr>
        <w:t xml:space="preserve">  return ADMIT_CANDIDATE  // commit admission before dispatch</w:t>
      </w:r>
    </w:p>
    <w:p>
      <w:pPr>
        <w:pStyle w:val="Heading2"/>
        <w:keepNext/>
        <w:spacing w:after="90" w:line="260" w:lineRule="auto"/>
      </w:pPr>
      <w:r>
        <w:rPr>
          <w:rFonts w:ascii="DejaVu Sans" w:hAnsi="DejaVu Sans"/>
          <w:b/>
          <w:sz w:val="25"/>
        </w:rPr>
        <w:t xml:space="preserve">Why capability inventory is separate</w:t>
      </w:r>
    </w:p>
    <w:p>
      <w:pPr>
        <w:spacing w:after="90" w:line="260" w:lineRule="auto"/>
      </w:pPr>
      <w:r>
        <w:rPr>
          <w:rFonts w:ascii="DejaVu Sans" w:hAnsi="DejaVu Sans"/>
          <w:sz w:val="21"/>
        </w:rPr>
        <w:t xml:space="preserve">Capability inventory records adapter presence, supported Android level, native permissions or ADB pairing state, AppOps/special access, hardware state, target binding health and check time. It is observed state, not policy. Store a diagnostic cache only; check required state again at execution. A permission callback or UI resume triggers refresh, but stale snapshots cannot guarantee a call will succeed. Native app grants and paired ADB shell authority are distinct; neither is root. Android remains the final authority. [S6]</w:t>
      </w:r>
    </w:p>
    <w:p>
      <w:pPr>
        <w:pStyle w:val="Heading1"/>
        <w:keepNext/>
        <w:spacing w:after="90" w:line="260" w:lineRule="auto"/>
      </w:pPr>
      <w:r>
        <w:rPr>
          <w:rFonts w:ascii="DejaVu Sans" w:hAnsi="DejaVu Sans"/>
          <w:b/>
          <w:sz w:val="30"/>
        </w:rPr>
        <w:t xml:space="preserve">6 Request specific approval</w:t>
      </w:r>
    </w:p>
    <w:p>
      <w:pPr>
        <w:spacing w:after="90" w:line="260" w:lineRule="auto"/>
      </w:pPr>
      <w:r>
        <w:rPr>
          <w:rFonts w:ascii="DejaVu Sans" w:hAnsi="DejaVu Sans"/>
          <w:sz w:val="21"/>
        </w:rPr>
        <w:t xml:space="preserve">Ask means approval of one prepared execution, not consent to an unbounded future conversation. The UI is a trusted local management surface, not a dialog rendered by the MCP client. Treat client names, arguments and returned service data as untrusted text. Do not let a tool result, deep link or notification action approve a request by itself.</w:t>
      </w:r>
    </w:p>
    <w:p>
      <w:pPr>
        <w:pStyle w:val="Heading2"/>
        <w:keepNext/>
        <w:spacing w:after="90" w:line="260" w:lineRule="auto"/>
      </w:pPr>
      <w:r>
        <w:rPr>
          <w:rFonts w:ascii="DejaVu Sans" w:hAnsi="DejaVu Sans"/>
          <w:b/>
          <w:sz w:val="25"/>
        </w:rPr>
        <w:t xml:space="preserve">Approval binding</w:t>
      </w:r>
    </w:p>
    <w:p>
      <w:pPr>
        <w:spacing w:after="90" w:line="260" w:lineRule="auto"/>
      </w:pPr>
      <w:r>
        <w:rPr>
          <w:rFonts w:ascii="DejaVu Sans" w:hAnsi="DejaVu Sans"/>
          <w:sz w:val="21"/>
        </w:rPr>
        <w:t xml:space="preserve">Compute a versioned canonical digest after strict JSON validation, default insertion and typed resource resolution. Reject duplicate keys, nonfinite numbers and ambiguous encodings. Define deterministic object key ordering and numeric/string handling; preserve semantically significant text rather than normalizing it casually. Include all behavior affecting arguments and output filters, not just the tool name.</w:t>
      </w:r>
    </w:p>
    <w:p>
      <w:pPr>
        <w:shd w:fill="F2F6FA"/>
        <w:spacing w:after="0" w:line="220" w:lineRule="auto"/>
      </w:pPr>
      <w:r>
        <w:rPr>
          <w:rFonts w:ascii="DejaVu Sans Mono" w:hAnsi="DejaVu Sans Mono"/>
          <w:sz w:val="18"/>
        </w:rPr>
        <w:t xml:space="preserve">approvalBinding = Hash(</w:t>
      </w:r>
    </w:p>
    <w:p>
      <w:pPr>
        <w:shd w:fill="F2F6FA"/>
        <w:spacing w:after="0" w:line="220" w:lineRule="auto"/>
      </w:pPr>
      <w:r>
        <w:rPr>
          <w:rFonts w:ascii="DejaVu Sans Mono" w:hAnsi="DejaVu Sans Mono"/>
          <w:sz w:val="18"/>
        </w:rPr>
        <w:t xml:space="preserve">  canonicalizationVersion, serverBootId, requestNonce,</w:t>
      </w:r>
    </w:p>
    <w:p>
      <w:pPr>
        <w:shd w:fill="F2F6FA"/>
        <w:spacing w:after="0" w:line="220" w:lineRule="auto"/>
      </w:pPr>
      <w:r>
        <w:rPr>
          <w:rFonts w:ascii="DejaVu Sans Mono" w:hAnsi="DejaVu Sans Mono"/>
          <w:sz w:val="18"/>
        </w:rPr>
        <w:t xml:space="preserve">  clientId, credentialEpoch, toolId, adapterSchemaVersion,</w:t>
      </w:r>
    </w:p>
    <w:p>
      <w:pPr>
        <w:shd w:fill="F2F6FA"/>
        <w:spacing w:after="0" w:line="220" w:lineRule="auto"/>
      </w:pPr>
      <w:r>
        <w:rPr>
          <w:rFonts w:ascii="DejaVu Sans Mono" w:hAnsi="DejaVu Sans Mono"/>
          <w:sz w:val="18"/>
        </w:rPr>
        <w:t xml:space="preserve">  canonicalArguments, resolvedResourceIds, targetIdentity,</w:t>
      </w:r>
    </w:p>
    <w:p>
      <w:pPr>
        <w:shd w:fill="F2F6FA"/>
        <w:spacing w:after="0" w:line="220" w:lineRule="auto"/>
      </w:pPr>
      <w:r>
        <w:rPr>
          <w:rFonts w:ascii="DejaVu Sans Mono" w:hAnsi="DejaVu Sans Mono"/>
          <w:sz w:val="18"/>
        </w:rPr>
        <w:t xml:space="preserve">  expectedResourceVersion, policyRevision, registryRevision,</w:t>
      </w:r>
    </w:p>
    <w:p>
      <w:pPr>
        <w:shd w:fill="F2F6FA"/>
        <w:spacing w:after="0" w:line="220" w:lineRule="auto"/>
      </w:pPr>
      <w:r>
        <w:rPr>
          <w:rFonts w:ascii="DejaVu Sans Mono" w:hAnsi="DejaVu Sans Mono"/>
          <w:sz w:val="18"/>
        </w:rPr>
        <w:t xml:space="preserve">  capabilityGeneration, monotonicExpiry</w:t>
      </w:r>
    </w:p>
    <w:p>
      <w:pPr>
        <w:shd w:fill="F2F6FA"/>
        <w:spacing w:after="0" w:line="220" w:lineRule="auto"/>
      </w:pPr>
      <w:r>
        <w:rPr>
          <w:rFonts w:ascii="DejaVu Sans Mono" w:hAnsi="DejaVu Sans Mono"/>
          <w:sz w:val="18"/>
        </w:rPr>
        <w:t xml:space="preserve">)</w:t>
      </w:r>
    </w:p>
    <w:p>
      <w:pPr>
        <w:spacing w:after="90" w:line="260" w:lineRule="auto"/>
      </w:pPr>
      <w:r>
        <w:rPr>
          <w:rFonts w:ascii="DejaVu Sans" w:hAnsi="DejaVu Sans"/>
          <w:sz w:val="21"/>
        </w:rPr>
        <w:t xml:space="preserve">Use a monotonic deadline within the current boot and a UTC timestamp only for display/audit. Proposed approval lifetime is 60 seconds, capped by the caller deadline. Wall clock rollback must not extend it. The raw arguments and any sensitive preview remain memory only. A changed resource version, target identity, policy revision or capability generation invalidates the approval and requires reevaluation.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State</w:t>
            </w:r>
          </w:p>
        </w:tc>
        <w:tc>
          <w:tcPr>
            <w:tcW w:w="7668" w:type="dxa"/>
            <w:shd w:fill="E4EDF5"/>
            <w:vAlign w:val="top"/>
          </w:tcPr>
          <w:p>
            <w:pPr>
              <w:spacing w:after="60" w:line="235" w:lineRule="auto"/>
            </w:pPr>
            <w:r>
              <w:rPr>
                <w:rFonts w:ascii="DejaVu Sans" w:hAnsi="DejaVu Sans"/>
                <w:b/>
                <w:sz w:val="18"/>
              </w:rPr>
              <w:t xml:space="preserve">Allowed transition</w:t>
            </w:r>
          </w:p>
        </w:tc>
      </w:tr>
      <w:tr>
        <w:trPr>
          <w:cantSplit/>
        </w:trPr>
        <w:tc>
          <w:tcPr>
            <w:tcW w:w="2556" w:type="dxa"/>
            <w:shd w:fill="FFFFFF"/>
            <w:vAlign w:val="top"/>
          </w:tcPr>
          <w:p>
            <w:pPr>
              <w:spacing w:after="60" w:line="235" w:lineRule="auto"/>
            </w:pPr>
            <w:r>
              <w:rPr>
                <w:rFonts w:ascii="DejaVu Sans" w:hAnsi="DejaVu Sans"/>
                <w:sz w:val="18"/>
              </w:rPr>
              <w:t xml:space="preserve">Pending</w:t>
            </w:r>
          </w:p>
        </w:tc>
        <w:tc>
          <w:tcPr>
            <w:tcW w:w="7668" w:type="dxa"/>
            <w:shd w:fill="FFFFFF"/>
            <w:vAlign w:val="top"/>
          </w:tcPr>
          <w:p>
            <w:pPr>
              <w:spacing w:after="60" w:line="235" w:lineRule="auto"/>
            </w:pPr>
            <w:r>
              <w:rPr>
                <w:rFonts w:ascii="DejaVu Sans" w:hAnsi="DejaVu Sans"/>
                <w:sz w:val="18"/>
              </w:rPr>
              <w:t xml:space="preserve">Approved, denied, expired, canceled or invalidated; no adapter call</w:t>
            </w:r>
          </w:p>
        </w:tc>
      </w:tr>
      <w:tr>
        <w:trPr>
          <w:cantSplit/>
        </w:trPr>
        <w:tc>
          <w:tcPr>
            <w:tcW w:w="2556" w:type="dxa"/>
            <w:shd w:fill="FFFFFF"/>
            <w:vAlign w:val="top"/>
          </w:tcPr>
          <w:p>
            <w:pPr>
              <w:spacing w:after="60" w:line="235" w:lineRule="auto"/>
            </w:pPr>
            <w:r>
              <w:rPr>
                <w:rFonts w:ascii="DejaVu Sans" w:hAnsi="DejaVu Sans"/>
                <w:sz w:val="18"/>
              </w:rPr>
              <w:t xml:space="preserve">Approved</w:t>
            </w:r>
          </w:p>
        </w:tc>
        <w:tc>
          <w:tcPr>
            <w:tcW w:w="7668" w:type="dxa"/>
            <w:shd w:fill="FFFFFF"/>
            <w:vAlign w:val="top"/>
          </w:tcPr>
          <w:p>
            <w:pPr>
              <w:spacing w:after="60" w:line="235" w:lineRule="auto"/>
            </w:pPr>
            <w:r>
              <w:rPr>
                <w:rFonts w:ascii="DejaVu Sans" w:hAnsi="DejaVu Sans"/>
                <w:sz w:val="18"/>
              </w:rPr>
              <w:t xml:space="preserve">Consumed once at admission if every binding still matches; otherwise invalidated</w:t>
            </w:r>
          </w:p>
        </w:tc>
      </w:tr>
      <w:tr>
        <w:trPr>
          <w:cantSplit/>
        </w:trPr>
        <w:tc>
          <w:tcPr>
            <w:tcW w:w="2556" w:type="dxa"/>
            <w:shd w:fill="FFFFFF"/>
            <w:vAlign w:val="top"/>
          </w:tcPr>
          <w:p>
            <w:pPr>
              <w:spacing w:after="60" w:line="235" w:lineRule="auto"/>
            </w:pPr>
            <w:r>
              <w:rPr>
                <w:rFonts w:ascii="DejaVu Sans" w:hAnsi="DejaVu Sans"/>
                <w:sz w:val="18"/>
              </w:rPr>
              <w:t xml:space="preserve">Consumed</w:t>
            </w:r>
          </w:p>
        </w:tc>
        <w:tc>
          <w:tcPr>
            <w:tcW w:w="7668" w:type="dxa"/>
            <w:shd w:fill="FFFFFF"/>
            <w:vAlign w:val="top"/>
          </w:tcPr>
          <w:p>
            <w:pPr>
              <w:spacing w:after="60" w:line="235" w:lineRule="auto"/>
            </w:pPr>
            <w:r>
              <w:rPr>
                <w:rFonts w:ascii="DejaVu Sans" w:hAnsi="DejaVu Sans"/>
                <w:sz w:val="18"/>
              </w:rPr>
              <w:t xml:space="preserve">Execution may begin; a retry cannot reuse this approval</w:t>
            </w:r>
          </w:p>
        </w:tc>
      </w:tr>
      <w:tr>
        <w:trPr>
          <w:cantSplit/>
        </w:trPr>
        <w:tc>
          <w:tcPr>
            <w:tcW w:w="2556" w:type="dxa"/>
            <w:shd w:fill="FFFFFF"/>
            <w:vAlign w:val="top"/>
          </w:tcPr>
          <w:p>
            <w:pPr>
              <w:spacing w:after="60" w:line="235" w:lineRule="auto"/>
            </w:pPr>
            <w:r>
              <w:rPr>
                <w:rFonts w:ascii="DejaVu Sans" w:hAnsi="DejaVu Sans"/>
                <w:sz w:val="18"/>
              </w:rPr>
              <w:t xml:space="preserve">Terminal</w:t>
            </w:r>
          </w:p>
        </w:tc>
        <w:tc>
          <w:tcPr>
            <w:tcW w:w="7668" w:type="dxa"/>
            <w:shd w:fill="FFFFFF"/>
            <w:vAlign w:val="top"/>
          </w:tcPr>
          <w:p>
            <w:pPr>
              <w:spacing w:after="60" w:line="235" w:lineRule="auto"/>
            </w:pPr>
            <w:r>
              <w:rPr>
                <w:rFonts w:ascii="DejaVu Sans" w:hAnsi="DejaVu Sans"/>
                <w:sz w:val="18"/>
              </w:rPr>
              <w:t xml:space="preserve">Denied, expired, canceled or invalidated cannot return to Approved</w:t>
            </w:r>
          </w:p>
        </w:tc>
      </w:tr>
    </w:tbl>
    <w:p>
      <w:pPr>
        <w:spacing w:after="90" w:line="260" w:lineRule="auto"/>
      </w:pPr>
    </w:p>
    <w:p>
      <w:pPr>
        <w:pStyle w:val="Heading2"/>
        <w:keepNext/>
        <w:spacing w:after="90" w:line="260" w:lineRule="auto"/>
      </w:pPr>
      <w:r>
        <w:rPr>
          <w:rFonts w:ascii="DejaVu Sans" w:hAnsi="DejaVu Sans"/>
          <w:b/>
          <w:sz w:val="25"/>
        </w:rPr>
        <w:t xml:space="preserve">Interaction and race handling</w:t>
      </w:r>
    </w:p>
    <w:p>
      <w:pPr>
        <w:numPr>
          <w:ilvl w:val="0"/>
          <w:numId w:val="1001"/>
        </w:numPr>
        <w:spacing w:after="90" w:line="260" w:lineRule="auto"/>
      </w:pPr>
      <w:r>
        <w:rPr>
          <w:rFonts w:ascii="DejaVu Sans" w:hAnsi="DejaVu Sans"/>
          <w:sz w:val="21"/>
        </w:rPr>
        <w:t xml:space="preserve">Show client identity/fingerprint, exact action, recipient or resource, relevant values, requested output, side effect warning and expiry. Default focus is Deny. Allow once is separate from Edit policy; persistent permission changes use the normal Apply flow.</w:t>
      </w:r>
    </w:p>
    <w:p>
      <w:pPr>
        <w:numPr>
          <w:ilvl w:val="0"/>
          <w:numId w:val="1001"/>
        </w:numPr>
        <w:spacing w:after="90" w:line="260" w:lineRule="auto"/>
      </w:pPr>
      <w:r>
        <w:rPr>
          <w:rFonts w:ascii="DejaVu Sans" w:hAnsi="DejaVu Sans"/>
          <w:sz w:val="21"/>
        </w:rPr>
        <w:t xml:space="preserve">If the app is not in the foreground, use a privacy preserving notification that opens the app, subject to Android permission and background launch restrictions. Do not launch arbitrary activities silently. No available approval UI means expiry, not auto approval.</w:t>
      </w:r>
    </w:p>
    <w:p>
      <w:pPr>
        <w:numPr>
          <w:ilvl w:val="0"/>
          <w:numId w:val="1001"/>
        </w:numPr>
        <w:spacing w:after="90" w:line="260" w:lineRule="auto"/>
      </w:pPr>
      <w:r>
        <w:rPr>
          <w:rFonts w:ascii="DejaVu Sans" w:hAnsi="DejaVu Sans"/>
          <w:sz w:val="21"/>
        </w:rPr>
        <w:t xml:space="preserve">Keep the MCP request pending with bounded transport time and negotiated progress if available. No custom approval polling method is required for the baseline. If the request is canceled or times out before admission, cancel approval. Socket disconnection alone is not MCP cancellation; the original deadline still applies. [S4]</w:t>
      </w:r>
    </w:p>
    <w:p>
      <w:pPr>
        <w:numPr>
          <w:ilvl w:val="0"/>
          <w:numId w:val="1001"/>
        </w:numPr>
        <w:spacing w:after="90" w:line="260" w:lineRule="auto"/>
      </w:pPr>
      <w:r>
        <w:rPr>
          <w:rFonts w:ascii="DejaVu Sans" w:hAnsi="DejaVu Sans"/>
          <w:sz w:val="21"/>
        </w:rPr>
        <w:t xml:space="preserve">At admission, serialize approval consumption with revocation and policy commits. Atomically require status Approved and an exact revision match. Never hold a database transaction or a global lock while waiting for a human or while executing Binder work.</w:t>
      </w:r>
    </w:p>
    <w:p>
      <w:pPr>
        <w:pStyle w:val="Heading1"/>
        <w:keepNext/>
        <w:spacing w:after="90" w:line="260" w:lineRule="auto"/>
      </w:pPr>
      <w:r>
        <w:rPr>
          <w:rFonts w:ascii="DejaVu Sans" w:hAnsi="DejaVu Sans"/>
          <w:b/>
          <w:sz w:val="30"/>
        </w:rPr>
        <w:t xml:space="preserve">7 Revocation and Android lifecycle</w:t>
      </w:r>
    </w:p>
    <w:p>
      <w:pPr>
        <w:pStyle w:val="Heading2"/>
        <w:keepNext/>
        <w:spacing w:after="90" w:line="260" w:lineRule="auto"/>
      </w:pPr>
      <w:r>
        <w:rPr>
          <w:rFonts w:ascii="DejaVu Sans" w:hAnsi="DejaVu Sans"/>
          <w:b/>
          <w:sz w:val="25"/>
        </w:rPr>
        <w:t xml:space="preserve">A precise execution boundary</w:t>
      </w:r>
    </w:p>
    <w:p>
      <w:pPr>
        <w:spacing w:after="90" w:line="260" w:lineRule="auto"/>
      </w:pPr>
      <w:r>
        <w:rPr>
          <w:rFonts w:ascii="DejaVu Sans" w:hAnsi="DejaVu Sans"/>
          <w:sz w:val="21"/>
        </w:rPr>
        <w:t xml:space="preserve">A single application admission coordinator orders permission commits, revocations and execution admissions. Under its short gate, persist the mutation or admission, update the immutable policy snapshot and signal affected work before releasing the gate. A policy commit must not acknowledge success while another thread can still admit against an old snapshot. SQLite serializes durable writes; the coordinator additionally orders in memory dispatch decisions.</w:t>
      </w:r>
    </w:p>
    <w:p>
      <w:pPr>
        <w:spacing w:after="90" w:line="260" w:lineRule="auto"/>
      </w:pPr>
      <w:r>
        <w:rPr>
          <w:rFonts w:ascii="DejaVu Sans" w:hAnsi="DejaVu Sans"/>
          <w:sz w:val="21"/>
        </w:rPr>
        <w:t xml:space="preserve">Define admission as the linearization point. Work admitted before revocation may already be in progress and can have irreversible effects. Recheck immediately before the adapter call to narrow the gap, but do not promise atomic revocation across a remote Binder service. Later steps in a multi step adapter need new checks. Prefer single effect adapters; require target supported transactions if a multi effect atomic operation is promised.</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Situation</w:t>
            </w:r>
          </w:p>
        </w:tc>
        <w:tc>
          <w:tcPr>
            <w:tcW w:w="7668" w:type="dxa"/>
            <w:shd w:fill="E4EDF5"/>
            <w:vAlign w:val="top"/>
          </w:tcPr>
          <w:p>
            <w:pPr>
              <w:spacing w:after="60" w:line="235" w:lineRule="auto"/>
            </w:pPr>
            <w:r>
              <w:rPr>
                <w:rFonts w:ascii="DejaVu Sans" w:hAnsi="DejaVu Sans"/>
                <w:b/>
                <w:sz w:val="18"/>
              </w:rPr>
              <w:t xml:space="preserve">Behavior</w:t>
            </w:r>
          </w:p>
        </w:tc>
      </w:tr>
      <w:tr>
        <w:trPr>
          <w:cantSplit/>
        </w:trPr>
        <w:tc>
          <w:tcPr>
            <w:tcW w:w="2556" w:type="dxa"/>
            <w:shd w:fill="FFFFFF"/>
            <w:vAlign w:val="top"/>
          </w:tcPr>
          <w:p>
            <w:pPr>
              <w:spacing w:after="60" w:line="235" w:lineRule="auto"/>
            </w:pPr>
            <w:r>
              <w:rPr>
                <w:rFonts w:ascii="DejaVu Sans" w:hAnsi="DejaVu Sans"/>
                <w:sz w:val="18"/>
              </w:rPr>
              <w:t xml:space="preserve">Policy becomes narrower</w:t>
            </w:r>
          </w:p>
        </w:tc>
        <w:tc>
          <w:tcPr>
            <w:tcW w:w="7668" w:type="dxa"/>
            <w:shd w:fill="FFFFFF"/>
            <w:vAlign w:val="top"/>
          </w:tcPr>
          <w:p>
            <w:pPr>
              <w:spacing w:after="60" w:line="235" w:lineRule="auto"/>
            </w:pPr>
            <w:r>
              <w:rPr>
                <w:rFonts w:ascii="DejaVu Sans" w:hAnsi="DejaVu Sans"/>
                <w:sz w:val="18"/>
              </w:rPr>
              <w:t xml:space="preserve">Invalidate pending approvals; reevaluate queued calls and active output. Stop future disallowed effects and disclosures. Do not reuse cached discovery as authority.</w:t>
            </w:r>
          </w:p>
        </w:tc>
      </w:tr>
      <w:tr>
        <w:trPr>
          <w:cantSplit/>
        </w:trPr>
        <w:tc>
          <w:tcPr>
            <w:tcW w:w="2556" w:type="dxa"/>
            <w:shd w:fill="FFFFFF"/>
            <w:vAlign w:val="top"/>
          </w:tcPr>
          <w:p>
            <w:pPr>
              <w:spacing w:after="60" w:line="235" w:lineRule="auto"/>
            </w:pPr>
            <w:r>
              <w:rPr>
                <w:rFonts w:ascii="DejaVu Sans" w:hAnsi="DejaVu Sans"/>
                <w:sz w:val="18"/>
              </w:rPr>
              <w:t xml:space="preserve">Client revoked</w:t>
            </w:r>
          </w:p>
        </w:tc>
        <w:tc>
          <w:tcPr>
            <w:tcW w:w="7668" w:type="dxa"/>
            <w:shd w:fill="FFFFFF"/>
            <w:vAlign w:val="top"/>
          </w:tcPr>
          <w:p>
            <w:pPr>
              <w:spacing w:after="60" w:line="235" w:lineRule="auto"/>
            </w:pPr>
            <w:r>
              <w:rPr>
                <w:rFonts w:ascii="DejaVu Sans" w:hAnsi="DejaVu Sans"/>
                <w:sz w:val="18"/>
              </w:rPr>
              <w:t xml:space="preserve">Reject new requests and admission; cancel cooperatively, drop queued events, close its streams and prevent replay to the old principal.</w:t>
            </w:r>
          </w:p>
        </w:tc>
      </w:tr>
      <w:tr>
        <w:trPr>
          <w:cantSplit/>
        </w:trPr>
        <w:tc>
          <w:tcPr>
            <w:tcW w:w="2556" w:type="dxa"/>
            <w:shd w:fill="FFFFFF"/>
            <w:vAlign w:val="top"/>
          </w:tcPr>
          <w:p>
            <w:pPr>
              <w:spacing w:after="60" w:line="235" w:lineRule="auto"/>
            </w:pPr>
            <w:r>
              <w:rPr>
                <w:rFonts w:ascii="DejaVu Sans" w:hAnsi="DejaVu Sans"/>
                <w:sz w:val="18"/>
              </w:rPr>
              <w:t xml:space="preserve">Effect already dispatched</w:t>
            </w:r>
          </w:p>
        </w:tc>
        <w:tc>
          <w:tcPr>
            <w:tcW w:w="7668" w:type="dxa"/>
            <w:shd w:fill="FFFFFF"/>
            <w:vAlign w:val="top"/>
          </w:tcPr>
          <w:p>
            <w:pPr>
              <w:spacing w:after="60" w:line="235" w:lineRule="auto"/>
            </w:pPr>
            <w:r>
              <w:rPr>
                <w:rFonts w:ascii="DejaVu Sans" w:hAnsi="DejaVu Sans"/>
                <w:sz w:val="18"/>
              </w:rPr>
              <w:t xml:space="preserve">Attempt documented cancellation if safe. Record completed, canceled or outcome unknown honestly. Revocation is not rollback.</w:t>
            </w:r>
          </w:p>
        </w:tc>
      </w:tr>
      <w:tr>
        <w:trPr>
          <w:cantSplit/>
        </w:trPr>
        <w:tc>
          <w:tcPr>
            <w:tcW w:w="2556" w:type="dxa"/>
            <w:shd w:fill="FFFFFF"/>
            <w:vAlign w:val="top"/>
          </w:tcPr>
          <w:p>
            <w:pPr>
              <w:spacing w:after="60" w:line="235" w:lineRule="auto"/>
            </w:pPr>
            <w:r>
              <w:rPr>
                <w:rFonts w:ascii="DejaVu Sans" w:hAnsi="DejaVu Sans"/>
                <w:sz w:val="18"/>
              </w:rPr>
              <w:t xml:space="preserve">Connection reconnects</w:t>
            </w:r>
          </w:p>
        </w:tc>
        <w:tc>
          <w:tcPr>
            <w:tcW w:w="7668" w:type="dxa"/>
            <w:shd w:fill="FFFFFF"/>
            <w:vAlign w:val="top"/>
          </w:tcPr>
          <w:p>
            <w:pPr>
              <w:spacing w:after="60" w:line="235" w:lineRule="auto"/>
            </w:pPr>
            <w:r>
              <w:rPr>
                <w:rFonts w:ascii="DejaVu Sans" w:hAnsi="DejaVu Sans"/>
                <w:sz w:val="18"/>
              </w:rPr>
              <w:t xml:space="preserve">Authenticate again and validate ownership and revisions. Default v1 has no durable event replay; client retries cannot recreate an approval.</w:t>
            </w:r>
          </w:p>
        </w:tc>
      </w:tr>
    </w:tbl>
    <w:p>
      <w:pPr>
        <w:spacing w:after="90" w:line="260" w:lineRule="auto"/>
      </w:pPr>
    </w:p>
    <w:p>
      <w:pPr>
        <w:pStyle w:val="Heading2"/>
        <w:keepNext/>
        <w:spacing w:after="90" w:line="260" w:lineRule="auto"/>
      </w:pPr>
      <w:r>
        <w:rPr>
          <w:rFonts w:ascii="DejaVu Sans" w:hAnsi="DejaVu Sans"/>
          <w:b/>
          <w:sz w:val="25"/>
        </w:rPr>
        <w:t xml:space="preserve">Persistent server requirement</w:t>
      </w:r>
    </w:p>
    <w:p>
      <w:pPr>
        <w:spacing w:after="90" w:line="260" w:lineRule="auto"/>
      </w:pPr>
      <w:r>
        <w:rPr>
          <w:rFonts w:ascii="DejaVu Sans" w:hAnsi="DejaVu Sans"/>
          <w:sz w:val="21"/>
        </w:rPr>
        <w:t xml:space="preserve">The MCP server must remain running independently of the Avalonia activity. Implement an Android foreground service with a persistent notification, explicit start/stop commands and a restart strategy such as START_STICKY where eligible. Persistence is the required operating mode, not an optional optimization. Android can still kill or restrict the process; there is no unconditional uptime guarantee on every device. WorkManager is not the listener host.</w:t>
      </w:r>
    </w:p>
    <w:p>
      <w:pPr>
        <w:spacing w:after="90" w:line="260" w:lineRule="auto"/>
      </w:pPr>
      <w:r>
        <w:rPr>
          <w:rFonts w:ascii="DejaVu Sans" w:hAnsi="DejaVu Sans"/>
          <w:sz w:val="21"/>
        </w:rPr>
        <w:t xml:space="preserve">Select a truthful foreground service type and meet its prerequisites. Evaluate specialUse with a declared subtype and any required distribution review, or connectedDevice only when the real use and prerequisites fit. Do not label an indefinite MCP server dataSync. Android background-start and boot restrictions remain release gates. A denied start exposes Error or Start requires owner action rather than pretending the server is running. [S3, S7]</w:t>
      </w:r>
    </w:p>
    <w:p>
      <w:pPr>
        <w:spacing w:after="90" w:line="260" w:lineRule="auto"/>
      </w:pPr>
      <w:r>
        <w:rPr>
          <w:rFonts w:ascii="DejaVu Sans" w:hAnsi="DejaVu Sans"/>
          <w:sz w:val="21"/>
        </w:rPr>
        <w:t xml:space="preserve">Persist desired_state running/stopped and start_on_boot separately from observed listener health. Start sets desired running; explicit Stop sets stopped before shutdown. A crash keeps desired running for recovery. START_STICKY recreation may supply a null Intent, so restore configuration from durable state rather than replaying the previous command. Keep stopWithTask disabled; task swipe and force-stop are different events. Stop closes admission/listeners, invalidates approvals, cancels supported work and releases only owned connections. Never turn a deliberate stop into an automatic restart.</w:t>
      </w:r>
    </w:p>
    <w:p>
      <w:pPr>
        <w:pStyle w:val="Heading1"/>
        <w:keepNext/>
        <w:spacing w:after="90" w:line="260" w:lineRule="auto"/>
      </w:pPr>
      <w:r>
        <w:rPr>
          <w:rFonts w:ascii="DejaVu Sans" w:hAnsi="DejaVu Sans"/>
          <w:b/>
          <w:sz w:val="30"/>
        </w:rPr>
        <w:t xml:space="preserve">Service boot recovery and status indicators</w:t>
      </w:r>
    </w:p>
    <w:p>
      <w:pPr>
        <w:pStyle w:val="Heading2"/>
        <w:keepNext/>
        <w:spacing w:after="90" w:line="260" w:lineRule="auto"/>
      </w:pPr>
      <w:r>
        <w:rPr>
          <w:rFonts w:ascii="DejaVu Sans" w:hAnsi="DejaVu Sans"/>
          <w:b/>
          <w:sz w:val="25"/>
        </w:rPr>
        <w:t xml:space="preserve">Optional boot start</w:t>
      </w:r>
    </w:p>
    <w:p>
      <w:pPr>
        <w:spacing w:after="90" w:line="260" w:lineRule="auto"/>
      </w:pPr>
      <w:r>
        <w:rPr>
          <w:rFonts w:ascii="DejaVu Sans" w:hAnsi="DejaVu Sans"/>
          <w:sz w:val="21"/>
        </w:rPr>
        <w:t xml:space="preserve">A manifest boot receiver reads only a minimal nonsecret boot preference, then requests eligible service startup; it does not perform database migrations or network work inline. Prefer full startup after user unlock, when credential-encrypted SQLite and Keystore material are available. Do not move client credentials, ADB keys or policy data into device-protected storage to bypass unlock. Persist a small boot preference mirror only, reconcile it with the authoritative configuration after unlock, and default off if inconsistent.</w:t>
      </w:r>
    </w:p>
    <w:p>
      <w:pPr>
        <w:spacing w:after="90" w:line="260" w:lineRule="auto"/>
      </w:pPr>
      <w:r>
        <w:rPr>
          <w:rFonts w:ascii="DejaVu Sans" w:hAnsi="DejaVu Sans"/>
          <w:sz w:val="21"/>
        </w:rPr>
        <w:t xml:space="preserve">Enable Start on boot only through local configuration. A prior manual Stop suppresses restart until Start is chosen again. Boot preference does not override force-stop, Android user-stopped state, device policy or denied foreground-service eligibility. A blocked or pre-unlock start is reported as Waiting for unlock or Start requires owner action. Android 15 limits BOOT_COMPLETED starts for several service types, including dataSync, camera, media playback, phone call, media projection and microphone; do not route around those limits. [S26]</w:t>
      </w:r>
    </w:p>
    <w:p>
      <w:pPr>
        <w:pStyle w:val="Heading2"/>
        <w:keepNext/>
        <w:spacing w:after="90" w:line="260" w:lineRule="auto"/>
      </w:pPr>
      <w:r>
        <w:rPr>
          <w:rFonts w:ascii="DejaVu Sans" w:hAnsi="DejaVu Sans"/>
          <w:b/>
          <w:sz w:val="25"/>
        </w:rPr>
        <w:t xml:space="preserve">Independent server and backend health</w:t>
      </w:r>
    </w:p>
    <w:p>
      <w:pPr>
        <w:spacing w:after="90" w:line="260" w:lineRule="auto"/>
      </w:pPr>
      <w:r>
        <w:rPr>
          <w:rFonts w:ascii="DejaVu Sans" w:hAnsi="DejaVu Sans"/>
          <w:sz w:val="21"/>
        </w:rPr>
        <w:t xml:space="preserve">On recovery create a new boot ID, reopen and validate storage, restore policy, bind the authenticated endpoint, then report Running. Old sessions and approvals expire; admitted operations become interrupted or unknown and are never replayed. Reconnect ADB and Binder independently with bounded backoff and identity checks. The MCP server remains running even when self-ADB needs re-pairing or a target is offline; catalog entries report the backend unavailable.</w:t>
      </w:r>
    </w:p>
    <w:p>
      <w:pPr>
        <w:spacing w:after="90" w:line="260" w:lineRule="auto"/>
      </w:pPr>
      <w:r>
        <w:rPr>
          <w:rFonts w:ascii="DejaVu Sans" w:hAnsi="DejaVu Sans"/>
          <w:sz w:val="21"/>
        </w:rPr>
        <w:t xml:space="preserve">Keystore unavailability, migration failure or integrity failure cannot yield a permissive server. Remain paused or in an explicit error state with owner remediation. Binder death invalidates object handles and relevant approvals. ADB disconnect invalidates pending capture references and prevents new ADB admissions, but does not silently stop the MCP listener.</w:t>
      </w:r>
    </w:p>
    <w:p>
      <w:pPr>
        <w:pStyle w:val="Heading2"/>
        <w:keepNext/>
        <w:spacing w:after="90" w:line="260" w:lineRule="auto"/>
      </w:pPr>
      <w:r>
        <w:rPr>
          <w:rFonts w:ascii="DejaVu Sans" w:hAnsi="DejaVu Sans"/>
          <w:b/>
          <w:sz w:val="25"/>
        </w:rPr>
        <w:t xml:space="preserve">AppBar and Android status icon</w:t>
      </w:r>
    </w:p>
    <w:p>
      <w:pPr>
        <w:spacing w:after="90" w:line="260" w:lineRule="auto"/>
      </w:pPr>
      <w:r>
        <w:rPr>
          <w:rFonts w:ascii="DejaVu Sans" w:hAnsi="DejaVu Sans"/>
          <w:sz w:val="21"/>
        </w:rPr>
        <w:t xml:space="preserve">Show a matching MCP server icon in the Avalonia top AppBar and the Android foreground-service notification/status bar. Derive both from actual listener readiness: Starting, Running, Stopping, Stopped or Error. Running begins only after bind and initialization succeed. ADB offline adds a separate backend warning while the MCP Running icon remains. Opening the notification shows server status; its explicit Stop action updates desired state before stopping and removes the foreground-service notification/icon. The in-app indicator changes to Stopped.</w:t>
      </w:r>
    </w:p>
    <w:p>
      <w:pPr>
        <w:spacing w:after="90" w:line="260" w:lineRule="auto"/>
      </w:pPr>
      <w:r>
        <w:rPr>
          <w:rFonts w:ascii="DejaVu Sans" w:hAnsi="DejaVu Sans"/>
          <w:sz w:val="21"/>
        </w:rPr>
        <w:t xml:space="preserve">Use a dedicated notification channel and Android monochrome small icon, with accessible text and no secret identifiers. Request notification permission where applicable. On Android 13+, denial can suppress the normal drawer/status-bar notification even though the foreground service appears in system task management; channel settings and system UI also control visibility. The app cannot guarantee or override the system icon when notifications are disabled. Keep in-app status truthful. [S27]</w:t>
      </w:r>
    </w:p>
    <w:p>
      <w:pPr>
        <w:spacing w:after="90" w:line="260" w:lineRule="auto"/>
      </w:pPr>
      <w:r>
        <w:rPr>
          <w:rFonts w:ascii="DejaVu Sans" w:hAnsi="DejaVu Sans"/>
          <w:sz w:val="21"/>
        </w:rPr>
        <w:t xml:space="preserve">Acceptance: close/rotate the activity without losing MCP service; kill the process and recover without replay; verify manual Stop and force-stop remain stopped; test reboot with boot enabled/disabled, pre-unlock and denied starts, listener bind failure, notification denial and ADB offline while MCP stays Running.</w:t>
      </w:r>
    </w:p>
    <w:p>
      <w:pPr>
        <w:pStyle w:val="Heading1"/>
        <w:keepNext/>
        <w:spacing w:after="90" w:line="260" w:lineRule="auto"/>
      </w:pPr>
      <w:r>
        <w:rPr>
          <w:rFonts w:ascii="DejaVu Sans" w:hAnsi="DejaVu Sans"/>
          <w:b/>
          <w:sz w:val="30"/>
        </w:rPr>
        <w:t xml:space="preserve">8 Avalonia management interface</w:t>
      </w:r>
    </w:p>
    <w:p>
      <w:pPr>
        <w:spacing w:after="90" w:line="260" w:lineRule="auto"/>
      </w:pPr>
      <w:r>
        <w:rPr>
          <w:rFonts w:ascii="DejaVu Sans" w:hAnsi="DejaVu Sans"/>
          <w:sz w:val="21"/>
        </w:rPr>
        <w:t xml:space="preserve">Use an Android single view application with MVVM and compiled bindings. Keep navigation state in view models and platform activity concerns behind services. Use a narrow phone layout below a proposed 720 device independent pixel breakpoint and a two pane layout above it; validate the breakpoint on actual devices and with large text.</w:t>
      </w:r>
    </w:p>
    <w:p>
      <w:pPr>
        <w:pStyle w:val="Heading2"/>
        <w:keepNext/>
        <w:spacing w:after="90" w:line="260" w:lineRule="auto"/>
      </w:pPr>
      <w:r>
        <w:rPr>
          <w:rFonts w:ascii="DejaVu Sans" w:hAnsi="DejaVu Sans"/>
          <w:b/>
          <w:sz w:val="25"/>
        </w:rPr>
        <w:t xml:space="preserve">Wide layout permission editor</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Clients</w:t>
            </w:r>
          </w:p>
        </w:tc>
        <w:tc>
          <w:tcPr>
            <w:tcW w:w="7668" w:type="dxa"/>
            <w:shd w:fill="E4EDF5"/>
            <w:vAlign w:val="top"/>
          </w:tcPr>
          <w:p>
            <w:pPr>
              <w:spacing w:after="60" w:line="235" w:lineRule="auto"/>
            </w:pPr>
            <w:r>
              <w:rPr>
                <w:rFonts w:ascii="DejaVu Sans" w:hAnsi="DejaVu Sans"/>
                <w:b/>
                <w:sz w:val="18"/>
              </w:rPr>
              <w:t xml:space="preserve">Client permissions for Research agent</w:t>
            </w:r>
          </w:p>
        </w:tc>
      </w:tr>
      <w:tr>
        <w:trPr>
          <w:cantSplit/>
        </w:trPr>
        <w:tc>
          <w:tcPr>
            <w:tcW w:w="2556" w:type="dxa"/>
            <w:shd w:fill="FFFFFF"/>
            <w:vAlign w:val="top"/>
          </w:tcPr>
          <w:p>
            <w:pPr>
              <w:spacing w:after="60" w:line="235" w:lineRule="auto"/>
            </w:pPr>
            <w:r>
              <w:rPr>
                <w:rFonts w:ascii="DejaVu Sans" w:hAnsi="DejaVu Sans"/>
                <w:sz w:val="18"/>
              </w:rPr>
              <w:t xml:space="preserve">Search clients</w:t>
            </w:r>
          </w:p>
        </w:tc>
        <w:tc>
          <w:tcPr>
            <w:tcW w:w="7668" w:type="dxa"/>
            <w:shd w:fill="FFFFFF"/>
            <w:vAlign w:val="top"/>
          </w:tcPr>
          <w:p>
            <w:pPr>
              <w:spacing w:after="60" w:line="235" w:lineRule="auto"/>
            </w:pPr>
            <w:r>
              <w:rPr>
                <w:rFonts w:ascii="DejaVu Sans" w:hAnsi="DejaVu Sans"/>
                <w:sz w:val="18"/>
              </w:rPr>
              <w:t xml:space="preserve">Active  •  fingerprint 6F2A  •  policy revision 18</w:t>
            </w:r>
          </w:p>
        </w:tc>
      </w:tr>
      <w:tr>
        <w:trPr>
          <w:cantSplit/>
        </w:trPr>
        <w:tc>
          <w:tcPr>
            <w:tcW w:w="2556" w:type="dxa"/>
            <w:shd w:fill="FFFFFF"/>
            <w:vAlign w:val="top"/>
          </w:tcPr>
          <w:p>
            <w:pPr>
              <w:spacing w:after="60" w:line="235" w:lineRule="auto"/>
            </w:pPr>
            <w:r>
              <w:rPr>
                <w:rFonts w:ascii="DejaVu Sans" w:hAnsi="DejaVu Sans"/>
                <w:sz w:val="18"/>
              </w:rPr>
              <w:t xml:space="preserve">Research agent / Personal assistant / Test client</w:t>
            </w:r>
          </w:p>
        </w:tc>
        <w:tc>
          <w:tcPr>
            <w:tcW w:w="7668" w:type="dxa"/>
            <w:shd w:fill="FFFFFF"/>
            <w:vAlign w:val="top"/>
          </w:tcPr>
          <w:p>
            <w:pPr>
              <w:spacing w:after="60" w:line="235" w:lineRule="auto"/>
            </w:pPr>
            <w:r>
              <w:rPr>
                <w:rFonts w:ascii="DejaVu Sans" w:hAnsi="DejaVu Sans"/>
                <w:sz w:val="18"/>
              </w:rPr>
              <w:t xml:space="preserve">Permissions   Logging   Approvals   Connection</w:t>
            </w:r>
          </w:p>
        </w:tc>
      </w:tr>
      <w:tr>
        <w:trPr>
          <w:cantSplit/>
        </w:trPr>
        <w:tc>
          <w:tcPr>
            <w:tcW w:w="2556" w:type="dxa"/>
            <w:shd w:fill="FFFFFF"/>
            <w:vAlign w:val="top"/>
          </w:tcPr>
          <w:p>
            <w:pPr>
              <w:spacing w:after="60" w:line="235" w:lineRule="auto"/>
            </w:pPr>
            <w:r>
              <w:rPr>
                <w:rFonts w:ascii="DejaVu Sans" w:hAnsi="DejaVu Sans"/>
                <w:sz w:val="18"/>
              </w:rPr>
              <w:t xml:space="preserve">Add client / Disable client / Revoke credentials</w:t>
            </w:r>
          </w:p>
        </w:tc>
        <w:tc>
          <w:tcPr>
            <w:tcW w:w="7668" w:type="dxa"/>
            <w:shd w:fill="FFFFFF"/>
            <w:vAlign w:val="top"/>
          </w:tcPr>
          <w:p>
            <w:pPr>
              <w:spacing w:after="60" w:line="235" w:lineRule="auto"/>
            </w:pPr>
            <w:r>
              <w:rPr>
                <w:rFonts w:ascii="DejaVu Sans" w:hAnsi="DejaVu Sans"/>
                <w:sz w:val="18"/>
              </w:rPr>
              <w:t xml:space="preserve">Search all bindings  |  Policy  |  Mapping status</w:t>
            </w:r>
          </w:p>
        </w:tc>
      </w:tr>
    </w:tbl>
    <w:p>
      <w:pPr>
        <w:spacing w:after="90" w:line="260" w:lineRule="auto"/>
      </w:pP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2556"/>
        <w:gridCol w:w="2556"/>
        <w:gridCol w:w="2556"/>
      </w:tblGrid>
      <w:tr>
        <w:trPr>
          <w:cantSplit/>
          <w:tblHeader/>
        </w:trPr>
        <w:tc>
          <w:tcPr>
            <w:tcW w:w="2556" w:type="dxa"/>
            <w:shd w:fill="E4EDF5"/>
            <w:vAlign w:val="top"/>
          </w:tcPr>
          <w:p>
            <w:pPr>
              <w:spacing w:after="60" w:line="235" w:lineRule="auto"/>
            </w:pPr>
            <w:r>
              <w:rPr>
                <w:rFonts w:ascii="DejaVu Sans" w:hAnsi="DejaVu Sans"/>
                <w:b/>
                <w:sz w:val="18"/>
              </w:rPr>
              <w:t xml:space="preserve">Tool</w:t>
            </w:r>
          </w:p>
        </w:tc>
        <w:tc>
          <w:tcPr>
            <w:tcW w:w="2556" w:type="dxa"/>
            <w:shd w:fill="E4EDF5"/>
            <w:vAlign w:val="top"/>
          </w:tcPr>
          <w:p>
            <w:pPr>
              <w:spacing w:after="60" w:line="235" w:lineRule="auto"/>
            </w:pPr>
            <w:r>
              <w:rPr>
                <w:rFonts w:ascii="DejaVu Sans" w:hAnsi="DejaVu Sans"/>
                <w:b/>
                <w:sz w:val="18"/>
              </w:rPr>
              <w:t xml:space="preserve">Policy choice</w:t>
            </w:r>
          </w:p>
        </w:tc>
        <w:tc>
          <w:tcPr>
            <w:tcW w:w="2556" w:type="dxa"/>
            <w:shd w:fill="E4EDF5"/>
            <w:vAlign w:val="top"/>
          </w:tcPr>
          <w:p>
            <w:pPr>
              <w:spacing w:after="60" w:line="235" w:lineRule="auto"/>
            </w:pPr>
            <w:r>
              <w:rPr>
                <w:rFonts w:ascii="DejaVu Sans" w:hAnsi="DejaVu Sans"/>
                <w:b/>
                <w:sz w:val="18"/>
              </w:rPr>
              <w:t xml:space="preserve">Scope</w:t>
            </w:r>
          </w:p>
        </w:tc>
        <w:tc>
          <w:tcPr>
            <w:tcW w:w="2556" w:type="dxa"/>
            <w:shd w:fill="E4EDF5"/>
            <w:vAlign w:val="top"/>
          </w:tcPr>
          <w:p>
            <w:pPr>
              <w:spacing w:after="60" w:line="235" w:lineRule="auto"/>
            </w:pPr>
            <w:r>
              <w:rPr>
                <w:rFonts w:ascii="DejaVu Sans" w:hAnsi="DejaVu Sans"/>
                <w:b/>
                <w:sz w:val="18"/>
              </w:rPr>
              <w:t xml:space="preserve">Android status</w:t>
            </w:r>
          </w:p>
        </w:tc>
      </w:tr>
      <w:tr>
        <w:trPr>
          <w:cantSplit/>
        </w:trPr>
        <w:tc>
          <w:tcPr>
            <w:tcW w:w="2556" w:type="dxa"/>
            <w:shd w:fill="FFFFFF"/>
            <w:vAlign w:val="top"/>
          </w:tcPr>
          <w:p>
            <w:pPr>
              <w:spacing w:after="60" w:line="235" w:lineRule="auto"/>
            </w:pPr>
            <w:r>
              <w:rPr>
                <w:rFonts w:ascii="DejaVu Sans" w:hAnsi="DejaVu Sans"/>
                <w:sz w:val="18"/>
              </w:rPr>
              <w:t xml:space="preserve">screen.state</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Whole display</w:t>
            </w:r>
          </w:p>
        </w:tc>
        <w:tc>
          <w:tcPr>
            <w:tcW w:w="2556" w:type="dxa"/>
            <w:shd w:fill="FFFFFF"/>
            <w:vAlign w:val="top"/>
          </w:tcPr>
          <w:p>
            <w:pPr>
              <w:spacing w:after="60" w:line="235" w:lineRule="auto"/>
            </w:pPr>
            <w:r>
              <w:rPr>
                <w:rFonts w:ascii="DejaVu Sans" w:hAnsi="DejaVu Sans"/>
                <w:sz w:val="18"/>
              </w:rPr>
              <w:t xml:space="preserve">ADB connected</w:t>
            </w:r>
          </w:p>
        </w:tc>
      </w:tr>
      <w:tr>
        <w:trPr>
          <w:cantSplit/>
        </w:trPr>
        <w:tc>
          <w:tcPr>
            <w:tcW w:w="2556" w:type="dxa"/>
            <w:shd w:fill="FFFFFF"/>
            <w:vAlign w:val="top"/>
          </w:tcPr>
          <w:p>
            <w:pPr>
              <w:spacing w:after="60" w:line="235" w:lineRule="auto"/>
            </w:pPr>
            <w:r>
              <w:rPr>
                <w:rFonts w:ascii="DejaVu Sans" w:hAnsi="DejaVu Sans"/>
                <w:sz w:val="18"/>
              </w:rPr>
              <w:t xml:space="preserve">settings.brightness.set</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Raw range 16 to 240 / Manual mode only</w:t>
            </w:r>
          </w:p>
        </w:tc>
        <w:tc>
          <w:tcPr>
            <w:tcW w:w="2556" w:type="dxa"/>
            <w:shd w:fill="FFFFFF"/>
            <w:vAlign w:val="top"/>
          </w:tcPr>
          <w:p>
            <w:pPr>
              <w:spacing w:after="60" w:line="235" w:lineRule="auto"/>
            </w:pPr>
            <w:r>
              <w:rPr>
                <w:rFonts w:ascii="DejaVu Sans" w:hAnsi="DejaVu Sans"/>
                <w:sz w:val="18"/>
              </w:rPr>
              <w:t xml:space="preserve">Special access missing</w:t>
            </w:r>
          </w:p>
        </w:tc>
      </w:tr>
      <w:tr>
        <w:trPr>
          <w:cantSplit/>
        </w:trPr>
        <w:tc>
          <w:tcPr>
            <w:tcW w:w="2556" w:type="dxa"/>
            <w:shd w:fill="FFFFFF"/>
            <w:vAlign w:val="top"/>
          </w:tcPr>
          <w:p>
            <w:pPr>
              <w:spacing w:after="60" w:line="235" w:lineRule="auto"/>
            </w:pPr>
            <w:r>
              <w:rPr>
                <w:rFonts w:ascii="DejaVu Sans" w:hAnsi="DejaVu Sans"/>
                <w:sz w:val="18"/>
              </w:rPr>
              <w:t xml:space="preserve">document.read</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No document handles</w:t>
            </w:r>
          </w:p>
        </w:tc>
        <w:tc>
          <w:tcPr>
            <w:tcW w:w="2556" w:type="dxa"/>
            <w:shd w:fill="FFFFFF"/>
            <w:vAlign w:val="top"/>
          </w:tcPr>
          <w:p>
            <w:pPr>
              <w:spacing w:after="60" w:line="235" w:lineRule="auto"/>
            </w:pPr>
            <w:r>
              <w:rPr>
                <w:rFonts w:ascii="DejaVu Sans" w:hAnsi="DejaVu Sans"/>
                <w:sz w:val="18"/>
              </w:rPr>
              <w:t xml:space="preserve">No selection</w:t>
            </w:r>
          </w:p>
        </w:tc>
      </w:tr>
      <w:tr>
        <w:trPr>
          <w:cantSplit/>
        </w:trPr>
        <w:tc>
          <w:tcPr>
            <w:tcW w:w="2556" w:type="dxa"/>
            <w:shd w:fill="FFFFFF"/>
            <w:vAlign w:val="top"/>
          </w:tcPr>
          <w:p>
            <w:pPr>
              <w:spacing w:after="60" w:line="235" w:lineRule="auto"/>
            </w:pPr>
            <w:r>
              <w:rPr>
                <w:rFonts w:ascii="DejaVu Sans" w:hAnsi="DejaVu Sans"/>
                <w:sz w:val="18"/>
              </w:rPr>
              <w:t xml:space="preserve">input.tap</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Device wide input</w:t>
            </w:r>
          </w:p>
        </w:tc>
        <w:tc>
          <w:tcPr>
            <w:tcW w:w="2556" w:type="dxa"/>
            <w:shd w:fill="FFFFFF"/>
            <w:vAlign w:val="top"/>
          </w:tcPr>
          <w:p>
            <w:pPr>
              <w:spacing w:after="60" w:line="235" w:lineRule="auto"/>
            </w:pPr>
            <w:r>
              <w:rPr>
                <w:rFonts w:ascii="DejaVu Sans" w:hAnsi="DejaVu Sans"/>
                <w:sz w:val="18"/>
              </w:rPr>
              <w:t xml:space="preserve">ADB connected</w:t>
            </w:r>
          </w:p>
        </w:tc>
      </w:tr>
    </w:tbl>
    <w:p>
      <w:pPr>
        <w:spacing w:after="90" w:line="260" w:lineRule="auto"/>
      </w:pPr>
    </w:p>
    <w:p>
      <w:pPr>
        <w:spacing w:after="90" w:line="260" w:lineRule="auto"/>
      </w:pPr>
      <w:r>
        <w:rPr>
          <w:rFonts w:ascii="DejaVu Sans" w:hAnsi="DejaVu Sans"/>
          <w:sz w:val="21"/>
        </w:rPr>
        <w:t xml:space="preserve">Draft changes 2    Discard    Review and apply</w:t>
      </w:r>
    </w:p>
    <w:p>
      <w:pPr>
        <w:pStyle w:val="Heading2"/>
        <w:keepNext/>
        <w:spacing w:after="90" w:line="260" w:lineRule="auto"/>
      </w:pPr>
      <w:r>
        <w:rPr>
          <w:rFonts w:ascii="DejaVu Sans" w:hAnsi="DejaVu Sans"/>
          <w:b/>
          <w:sz w:val="25"/>
        </w:rPr>
        <w:t xml:space="preserve">Phone layout without a compressed grid</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Research agent</w:t>
            </w:r>
          </w:p>
        </w:tc>
        <w:tc>
          <w:tcPr>
            <w:tcW w:w="7668" w:type="dxa"/>
            <w:shd w:fill="E4EDF5"/>
            <w:vAlign w:val="top"/>
          </w:tcPr>
          <w:p>
            <w:pPr>
              <w:spacing w:after="60" w:line="235" w:lineRule="auto"/>
            </w:pPr>
            <w:r>
              <w:rPr>
                <w:rFonts w:ascii="DejaVu Sans" w:hAnsi="DejaVu Sans"/>
                <w:b/>
                <w:sz w:val="18"/>
              </w:rPr>
              <w:t xml:space="preserve">Permission detail</w:t>
            </w:r>
          </w:p>
        </w:tc>
      </w:tr>
      <w:tr>
        <w:trPr>
          <w:cantSplit/>
        </w:trPr>
        <w:tc>
          <w:tcPr>
            <w:tcW w:w="2556" w:type="dxa"/>
            <w:shd w:fill="FFFFFF"/>
            <w:vAlign w:val="top"/>
          </w:tcPr>
          <w:p>
            <w:pPr>
              <w:spacing w:after="60" w:line="235" w:lineRule="auto"/>
            </w:pPr>
            <w:r>
              <w:rPr>
                <w:rFonts w:ascii="DejaVu Sans" w:hAnsi="DejaVu Sans"/>
                <w:sz w:val="18"/>
              </w:rPr>
              <w:t xml:space="preserve">Search tools / Brightness write / Ask  •  OS access missing</w:t>
            </w:r>
          </w:p>
        </w:tc>
        <w:tc>
          <w:tcPr>
            <w:tcW w:w="7668" w:type="dxa"/>
            <w:shd w:fill="FFFFFF"/>
            <w:vAlign w:val="top"/>
          </w:tcPr>
          <w:p>
            <w:pPr>
              <w:spacing w:after="60" w:line="235" w:lineRule="auto"/>
            </w:pPr>
            <w:r>
              <w:rPr>
                <w:rFonts w:ascii="DejaVu Sans" w:hAnsi="DejaVu Sans"/>
                <w:sz w:val="18"/>
              </w:rPr>
              <w:t xml:space="preserve">Policy / Deny    [Ask]    Allow / Scope / Raw range 16 to 240    Edit</w:t>
            </w:r>
          </w:p>
        </w:tc>
      </w:tr>
      <w:tr>
        <w:trPr>
          <w:cantSplit/>
        </w:trPr>
        <w:tc>
          <w:tcPr>
            <w:tcW w:w="2556" w:type="dxa"/>
            <w:shd w:fill="FFFFFF"/>
            <w:vAlign w:val="top"/>
          </w:tcPr>
          <w:p>
            <w:pPr>
              <w:spacing w:after="60" w:line="235" w:lineRule="auto"/>
            </w:pPr>
            <w:r>
              <w:rPr>
                <w:rFonts w:ascii="DejaVu Sans" w:hAnsi="DejaVu Sans"/>
                <w:sz w:val="18"/>
              </w:rPr>
              <w:t xml:space="preserve">Device battery / Allow  •  Available</w:t>
            </w:r>
          </w:p>
        </w:tc>
        <w:tc>
          <w:tcPr>
            <w:tcW w:w="7668" w:type="dxa"/>
            <w:shd w:fill="FFFFFF"/>
            <w:vAlign w:val="top"/>
          </w:tcPr>
          <w:p>
            <w:pPr>
              <w:spacing w:after="60" w:line="235" w:lineRule="auto"/>
            </w:pPr>
            <w:r>
              <w:rPr>
                <w:rFonts w:ascii="DejaVu Sans" w:hAnsi="DejaVu Sans"/>
                <w:sz w:val="18"/>
              </w:rPr>
              <w:t xml:space="preserve">Android access / WRITE_SETTINGS not granted / Manage Android access</w:t>
            </w:r>
          </w:p>
        </w:tc>
      </w:tr>
      <w:tr>
        <w:trPr>
          <w:cantSplit/>
        </w:trPr>
        <w:tc>
          <w:tcPr>
            <w:tcW w:w="2556" w:type="dxa"/>
            <w:shd w:fill="FFFFFF"/>
            <w:vAlign w:val="top"/>
          </w:tcPr>
          <w:p>
            <w:pPr>
              <w:spacing w:after="60" w:line="235" w:lineRule="auto"/>
            </w:pPr>
            <w:r>
              <w:rPr>
                <w:rFonts w:ascii="DejaVu Sans" w:hAnsi="DejaVu Sans"/>
                <w:sz w:val="18"/>
              </w:rPr>
              <w:t xml:space="preserve">2 draft changes</w:t>
            </w:r>
          </w:p>
        </w:tc>
        <w:tc>
          <w:tcPr>
            <w:tcW w:w="7668" w:type="dxa"/>
            <w:shd w:fill="FFFFFF"/>
            <w:vAlign w:val="top"/>
          </w:tcPr>
          <w:p>
            <w:pPr>
              <w:spacing w:after="60" w:line="235" w:lineRule="auto"/>
            </w:pPr>
            <w:r>
              <w:rPr>
                <w:rFonts w:ascii="DejaVu Sans" w:hAnsi="DejaVu Sans"/>
                <w:sz w:val="18"/>
              </w:rPr>
              <w:t xml:space="preserve">Discard    Review and apply</w:t>
            </w:r>
          </w:p>
        </w:tc>
      </w:tr>
    </w:tbl>
    <w:p>
      <w:pPr>
        <w:spacing w:after="90" w:line="260" w:lineRule="auto"/>
      </w:pPr>
    </w:p>
    <w:p>
      <w:pPr>
        <w:spacing w:after="90" w:line="260" w:lineRule="auto"/>
      </w:pPr>
      <w:r>
        <w:rPr>
          <w:rFonts w:ascii="DejaVu Sans" w:hAnsi="DejaVu Sans"/>
          <w:sz w:val="21"/>
        </w:rPr>
        <w:t xml:space="preserve">Wireframes are functional layouts, not final visual styling. On a phone, the detail pane is a separate page. Permission choices remain editable even while OS access is unavailable, but the UI states clearly that the rule cannot execute until Android access is separately granted. Granting Android permission never changes client policy.</w:t>
      </w:r>
    </w:p>
    <w:p>
      <w:pPr>
        <w:spacing w:after="90" w:line="260" w:lineRule="auto"/>
      </w:pPr>
      <w:r>
        <w:rPr>
          <w:rFonts w:ascii="DejaVu Sans" w:hAnsi="DejaVu Sans"/>
          <w:sz w:val="21"/>
        </w:rPr>
        <w:t xml:space="preserve">Use touch targets of at least a proposed 48 dp, text labels as well as colors, screen reader names, logical focus order and scalable text. Persist draft state across rotation without persisting secrets or pending approval payloads. Never place a real credential in clipboard automatically, diagnostic screenshots or notification text.</w:t>
      </w:r>
    </w:p>
    <w:p>
      <w:pPr>
        <w:pStyle w:val="Heading1"/>
        <w:keepNext/>
        <w:spacing w:after="90" w:line="260" w:lineRule="auto"/>
      </w:pPr>
      <w:r>
        <w:rPr>
          <w:rFonts w:ascii="DejaVu Sans" w:hAnsi="DejaVu Sans"/>
          <w:b/>
          <w:sz w:val="30"/>
        </w:rPr>
        <w:t xml:space="preserve">9 Editing and approval workflows</w:t>
      </w:r>
    </w:p>
    <w:p>
      <w:pPr>
        <w:pStyle w:val="Heading2"/>
        <w:keepNext/>
        <w:spacing w:after="90" w:line="260" w:lineRule="auto"/>
      </w:pPr>
      <w:r>
        <w:rPr>
          <w:rFonts w:ascii="DejaVu Sans" w:hAnsi="DejaVu Sans"/>
          <w:b/>
          <w:sz w:val="25"/>
        </w:rPr>
        <w:t xml:space="preserve">Navigation and screen responsibilities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Screen</w:t>
            </w:r>
          </w:p>
        </w:tc>
        <w:tc>
          <w:tcPr>
            <w:tcW w:w="7668" w:type="dxa"/>
            <w:shd w:fill="E4EDF5"/>
            <w:vAlign w:val="top"/>
          </w:tcPr>
          <w:p>
            <w:pPr>
              <w:spacing w:after="60" w:line="235" w:lineRule="auto"/>
            </w:pPr>
            <w:r>
              <w:rPr>
                <w:rFonts w:ascii="DejaVu Sans" w:hAnsi="DejaVu Sans"/>
                <w:b/>
                <w:sz w:val="18"/>
              </w:rPr>
              <w:t xml:space="preserve">Primary content and actions</w:t>
            </w:r>
          </w:p>
        </w:tc>
      </w:tr>
      <w:tr>
        <w:trPr>
          <w:cantSplit/>
        </w:trPr>
        <w:tc>
          <w:tcPr>
            <w:tcW w:w="2556" w:type="dxa"/>
            <w:shd w:fill="FFFFFF"/>
            <w:vAlign w:val="top"/>
          </w:tcPr>
          <w:p>
            <w:pPr>
              <w:spacing w:after="60" w:line="235" w:lineRule="auto"/>
            </w:pPr>
            <w:r>
              <w:rPr>
                <w:rFonts w:ascii="DejaVu Sans" w:hAnsi="DejaVu Sans"/>
                <w:sz w:val="18"/>
              </w:rPr>
              <w:t xml:space="preserve">Overview</w:t>
            </w:r>
          </w:p>
        </w:tc>
        <w:tc>
          <w:tcPr>
            <w:tcW w:w="7668" w:type="dxa"/>
            <w:shd w:fill="FFFFFF"/>
            <w:vAlign w:val="top"/>
          </w:tcPr>
          <w:p>
            <w:pPr>
              <w:spacing w:after="60" w:line="235" w:lineRule="auto"/>
            </w:pPr>
            <w:r>
              <w:rPr>
                <w:rFonts w:ascii="DejaVu Sans" w:hAnsi="DejaVu Sans"/>
                <w:sz w:val="18"/>
              </w:rPr>
              <w:t xml:space="preserve">Runtime mode, endpoint identity, active sessions, approval count, capability issues and explicit Start or Stop.</w:t>
            </w:r>
          </w:p>
        </w:tc>
      </w:tr>
      <w:tr>
        <w:trPr>
          <w:cantSplit/>
        </w:trPr>
        <w:tc>
          <w:tcPr>
            <w:tcW w:w="2556" w:type="dxa"/>
            <w:shd w:fill="FFFFFF"/>
            <w:vAlign w:val="top"/>
          </w:tcPr>
          <w:p>
            <w:pPr>
              <w:spacing w:after="60" w:line="235" w:lineRule="auto"/>
            </w:pPr>
            <w:r>
              <w:rPr>
                <w:rFonts w:ascii="DejaVu Sans" w:hAnsi="DejaVu Sans"/>
                <w:sz w:val="18"/>
              </w:rPr>
              <w:t xml:space="preserve">Clients</w:t>
            </w:r>
          </w:p>
        </w:tc>
        <w:tc>
          <w:tcPr>
            <w:tcW w:w="7668" w:type="dxa"/>
            <w:shd w:fill="FFFFFF"/>
            <w:vAlign w:val="top"/>
          </w:tcPr>
          <w:p>
            <w:pPr>
              <w:spacing w:after="60" w:line="235" w:lineRule="auto"/>
            </w:pPr>
            <w:r>
              <w:rPr>
                <w:rFonts w:ascii="DejaVu Sans" w:hAnsi="DejaVu Sans"/>
                <w:sz w:val="18"/>
              </w:rPr>
              <w:t xml:space="preserve">Labels, credential fingerprints, active or disabled status, last seen metadata. Add, rotate, disable and revoke with clear consequences.</w:t>
            </w:r>
          </w:p>
        </w:tc>
      </w:tr>
      <w:tr>
        <w:trPr>
          <w:cantSplit/>
        </w:trPr>
        <w:tc>
          <w:tcPr>
            <w:tcW w:w="2556" w:type="dxa"/>
            <w:shd w:fill="FFFFFF"/>
            <w:vAlign w:val="top"/>
          </w:tcPr>
          <w:p>
            <w:pPr>
              <w:spacing w:after="60" w:line="235" w:lineRule="auto"/>
            </w:pPr>
            <w:r>
              <w:rPr>
                <w:rFonts w:ascii="DejaVu Sans" w:hAnsi="DejaVu Sans"/>
                <w:sz w:val="18"/>
              </w:rPr>
              <w:t xml:space="preserve">Permissions</w:t>
            </w:r>
          </w:p>
        </w:tc>
        <w:tc>
          <w:tcPr>
            <w:tcW w:w="7668" w:type="dxa"/>
            <w:shd w:fill="FFFFFF"/>
            <w:vAlign w:val="top"/>
          </w:tcPr>
          <w:p>
            <w:pPr>
              <w:spacing w:after="60" w:line="235" w:lineRule="auto"/>
            </w:pPr>
            <w:r>
              <w:rPr>
                <w:rFonts w:ascii="DejaVu Sans" w:hAnsi="DejaVu Sans"/>
                <w:sz w:val="18"/>
              </w:rPr>
              <w:t xml:space="preserve">Tool catalog, Deny Ask Allow controls, scope editor, effective policy explanation and separate OS capability state.</w:t>
            </w:r>
          </w:p>
        </w:tc>
      </w:tr>
      <w:tr>
        <w:trPr>
          <w:cantSplit/>
        </w:trPr>
        <w:tc>
          <w:tcPr>
            <w:tcW w:w="2556" w:type="dxa"/>
            <w:shd w:fill="FFFFFF"/>
            <w:vAlign w:val="top"/>
          </w:tcPr>
          <w:p>
            <w:pPr>
              <w:spacing w:after="60" w:line="235" w:lineRule="auto"/>
            </w:pPr>
            <w:r>
              <w:rPr>
                <w:rFonts w:ascii="DejaVu Sans" w:hAnsi="DejaVu Sans"/>
                <w:sz w:val="18"/>
              </w:rPr>
              <w:t xml:space="preserve">Approvals</w:t>
            </w:r>
          </w:p>
        </w:tc>
        <w:tc>
          <w:tcPr>
            <w:tcW w:w="7668" w:type="dxa"/>
            <w:shd w:fill="FFFFFF"/>
            <w:vAlign w:val="top"/>
          </w:tcPr>
          <w:p>
            <w:pPr>
              <w:spacing w:after="60" w:line="235" w:lineRule="auto"/>
            </w:pPr>
            <w:r>
              <w:rPr>
                <w:rFonts w:ascii="DejaVu Sans" w:hAnsi="DejaVu Sans"/>
                <w:sz w:val="18"/>
              </w:rPr>
              <w:t xml:space="preserve">Pending requests ordered by expiry. Open detail, review exact effect, Deny or Allow once; no bulk approval.</w:t>
            </w:r>
          </w:p>
        </w:tc>
      </w:tr>
      <w:tr>
        <w:trPr>
          <w:cantSplit/>
        </w:trPr>
        <w:tc>
          <w:tcPr>
            <w:tcW w:w="2556" w:type="dxa"/>
            <w:shd w:fill="FFFFFF"/>
            <w:vAlign w:val="top"/>
          </w:tcPr>
          <w:p>
            <w:pPr>
              <w:spacing w:after="60" w:line="235" w:lineRule="auto"/>
            </w:pPr>
            <w:r>
              <w:rPr>
                <w:rFonts w:ascii="DejaVu Sans" w:hAnsi="DejaVu Sans"/>
                <w:sz w:val="18"/>
              </w:rPr>
              <w:t xml:space="preserve">Logging and activity</w:t>
            </w:r>
          </w:p>
        </w:tc>
        <w:tc>
          <w:tcPr>
            <w:tcW w:w="7668" w:type="dxa"/>
            <w:shd w:fill="FFFFFF"/>
            <w:vAlign w:val="top"/>
          </w:tcPr>
          <w:p>
            <w:pPr>
              <w:spacing w:after="60" w:line="235" w:lineRule="auto"/>
            </w:pPr>
            <w:r>
              <w:rPr>
                <w:rFonts w:ascii="DejaVu Sans" w:hAnsi="DejaVu Sans"/>
                <w:sz w:val="18"/>
              </w:rPr>
              <w:t xml:space="preserve">Per-client Off/Metadata/Redacted diagnostic mode, expiry, quotas, purge/export and minimal audit. No raw payload inspection.</w:t>
            </w:r>
          </w:p>
        </w:tc>
      </w:tr>
      <w:tr>
        <w:trPr>
          <w:cantSplit/>
        </w:trPr>
        <w:tc>
          <w:tcPr>
            <w:tcW w:w="2556" w:type="dxa"/>
            <w:shd w:fill="FFFFFF"/>
            <w:vAlign w:val="top"/>
          </w:tcPr>
          <w:p>
            <w:pPr>
              <w:spacing w:after="60" w:line="235" w:lineRule="auto"/>
            </w:pPr>
            <w:r>
              <w:rPr>
                <w:rFonts w:ascii="DejaVu Sans" w:hAnsi="DejaVu Sans"/>
                <w:sz w:val="18"/>
              </w:rPr>
              <w:t xml:space="preserve">Settings</w:t>
            </w:r>
          </w:p>
        </w:tc>
        <w:tc>
          <w:tcPr>
            <w:tcW w:w="7668" w:type="dxa"/>
            <w:shd w:fill="FFFFFF"/>
            <w:vAlign w:val="top"/>
          </w:tcPr>
          <w:p>
            <w:pPr>
              <w:spacing w:after="60" w:line="235" w:lineRule="auto"/>
            </w:pPr>
            <w:r>
              <w:rPr>
                <w:rFonts w:ascii="DejaVu Sans" w:hAnsi="DejaVu Sans"/>
                <w:sz w:val="18"/>
              </w:rPr>
              <w:t xml:space="preserve">Persistent server health and AppBar icon, Start on boot, connections, notification settings, retention, export/restore and diagnostics.</w:t>
            </w:r>
          </w:p>
        </w:tc>
      </w:tr>
    </w:tbl>
    <w:p>
      <w:pPr>
        <w:spacing w:after="90" w:line="260" w:lineRule="auto"/>
      </w:pPr>
    </w:p>
    <w:p>
      <w:pPr>
        <w:pStyle w:val="Heading2"/>
        <w:keepNext/>
        <w:spacing w:after="90" w:line="260" w:lineRule="auto"/>
      </w:pPr>
      <w:r>
        <w:rPr>
          <w:rFonts w:ascii="DejaVu Sans" w:hAnsi="DejaVu Sans"/>
          <w:b/>
          <w:sz w:val="25"/>
        </w:rPr>
        <w:t xml:space="preserve">Draft then apply</w:t>
      </w:r>
    </w:p>
    <w:p>
      <w:pPr>
        <w:numPr>
          <w:ilvl w:val="0"/>
          <w:numId w:val="1004"/>
        </w:numPr>
        <w:spacing w:after="90" w:line="260" w:lineRule="auto"/>
      </w:pPr>
      <w:r>
        <w:rPr>
          <w:rFonts w:ascii="DejaVu Sans" w:hAnsi="DejaVu Sans"/>
          <w:sz w:val="21"/>
        </w:rPr>
        <w:t xml:space="preserve">Load client config with row_version and global policy_revision. Edits only change a local draft. Show a dirty indicator and warn before leaving. Inline scope validation uses the adapter schema.</w:t>
      </w:r>
    </w:p>
    <w:p>
      <w:pPr>
        <w:numPr>
          <w:ilvl w:val="0"/>
          <w:numId w:val="1004"/>
        </w:numPr>
        <w:spacing w:after="90" w:line="260" w:lineRule="auto"/>
      </w:pPr>
      <w:r>
        <w:rPr>
          <w:rFonts w:ascii="DejaVu Sans" w:hAnsi="DejaVu Sans"/>
          <w:sz w:val="21"/>
        </w:rPr>
        <w:t xml:space="preserve">Review shows old and new decisions and scope deltas, especially widened resource sets, output fields and limits. Bulk changes require a per tool preview and cannot include future tools. Never bulk convert unavailable tools to Allow silently.</w:t>
      </w:r>
    </w:p>
    <w:p>
      <w:pPr>
        <w:numPr>
          <w:ilvl w:val="0"/>
          <w:numId w:val="1004"/>
        </w:numPr>
        <w:spacing w:after="90" w:line="260" w:lineRule="auto"/>
      </w:pPr>
      <w:r>
        <w:rPr>
          <w:rFonts w:ascii="DejaVu Sans" w:hAnsi="DejaVu Sans"/>
          <w:sz w:val="21"/>
        </w:rPr>
        <w:t xml:space="preserve">Apply submits expected row_version and policy_revision to the application service. Inside one transaction, reject a mismatch; otherwise write rules, increment revisions, append minimal audit and outbox records. Under the admission gate install the new snapshot and invalidate approvals before acknowledging success.</w:t>
      </w:r>
    </w:p>
    <w:p>
      <w:pPr>
        <w:numPr>
          <w:ilvl w:val="0"/>
          <w:numId w:val="1004"/>
        </w:numPr>
        <w:spacing w:after="90" w:line="260" w:lineRule="auto"/>
      </w:pPr>
      <w:r>
        <w:rPr>
          <w:rFonts w:ascii="DejaVu Sans" w:hAnsi="DejaVu Sans"/>
          <w:sz w:val="21"/>
        </w:rPr>
        <w:t xml:space="preserve">On conflict, show the latest saved state alongside the draft. The user may reload or explicitly reapply a reviewed merge. Never use last writer wins for permission grants. Read the committed state back through the application service to update the UI.</w:t>
      </w:r>
    </w:p>
    <w:p>
      <w:pPr>
        <w:pStyle w:val="Heading2"/>
        <w:keepNext/>
        <w:spacing w:after="90" w:line="260" w:lineRule="auto"/>
      </w:pPr>
      <w:r>
        <w:rPr>
          <w:rFonts w:ascii="DejaVu Sans" w:hAnsi="DejaVu Sans"/>
          <w:b/>
          <w:sz w:val="25"/>
        </w:rPr>
        <w:t xml:space="preserve">Approval detail</w:t>
      </w:r>
    </w:p>
    <w:p>
      <w:pPr>
        <w:spacing w:after="90" w:line="260" w:lineRule="auto"/>
      </w:pPr>
      <w:r>
        <w:rPr>
          <w:rFonts w:ascii="DejaVu Sans" w:hAnsi="DejaVu Sans"/>
          <w:sz w:val="21"/>
        </w:rPr>
        <w:t xml:space="preserve">Example: “Research agent wants to read display names for 3 selected contacts. No phone numbers or email addresses will be returned. Permission policy revision 18. Expires in 42 seconds.” Show stable client fingerprint and selected resource summary. Ask the owner to unlock or authenticate locally for sensitive approvals if the chosen security profile requires it.</w:t>
      </w:r>
    </w:p>
    <w:p>
      <w:pPr>
        <w:spacing w:after="90" w:line="260" w:lineRule="auto"/>
      </w:pPr>
      <w:r>
        <w:rPr>
          <w:rFonts w:ascii="DejaVu Sans" w:hAnsi="DejaVu Sans"/>
          <w:sz w:val="21"/>
        </w:rPr>
        <w:t xml:space="preserve">Deny is immediate. Allow once is enabled only while the binding and deadline remain valid. If scope, resource revision or policy changes, replace the button with “Request changed — review again.” The UI must never rewrite the pending request and approve a different one. Closing the page does not approve anything.</w:t>
      </w:r>
    </w:p>
    <w:p>
      <w:pPr>
        <w:pStyle w:val="Heading2"/>
        <w:keepNext/>
        <w:spacing w:after="90" w:line="260" w:lineRule="auto"/>
      </w:pPr>
      <w:r>
        <w:rPr>
          <w:rFonts w:ascii="DejaVu Sans" w:hAnsi="DejaVu Sans"/>
          <w:b/>
          <w:sz w:val="25"/>
        </w:rPr>
        <w:t xml:space="preserve">Android access and recovery</w:t>
      </w:r>
    </w:p>
    <w:p>
      <w:pPr>
        <w:spacing w:after="90" w:line="260" w:lineRule="auto"/>
      </w:pPr>
      <w:r>
        <w:rPr>
          <w:rFonts w:ascii="DejaVu Sans" w:hAnsi="DejaVu Sans"/>
          <w:sz w:val="21"/>
        </w:rPr>
        <w:t xml:space="preserve">Manage Android access opens an appropriate Android permission or settings flow through a platform abstraction while the activity is visible. Explain why it is needed and respect denial. Returning refreshes the capability inventory. Show remediation for denied permission, unavailable hardware, locked device, missing target service, unsupported OS and bridge stopped separately; do not collapse all into a gray Allow control.</w:t>
      </w:r>
    </w:p>
    <w:p>
      <w:pPr>
        <w:pStyle w:val="Heading1"/>
        <w:keepNext/>
        <w:spacing w:after="90" w:line="260" w:lineRule="auto"/>
      </w:pPr>
      <w:r>
        <w:rPr>
          <w:rFonts w:ascii="DejaVu Sans" w:hAnsi="DejaVu Sans"/>
          <w:b/>
          <w:sz w:val="30"/>
        </w:rPr>
        <w:t xml:space="preserve">10 SQLite schema and invariants</w:t>
      </w:r>
    </w:p>
    <w:p>
      <w:pPr>
        <w:spacing w:after="90" w:line="260" w:lineRule="auto"/>
      </w:pPr>
      <w:r>
        <w:rPr>
          <w:rFonts w:ascii="DejaVu Sans" w:hAnsi="DejaVu Sans"/>
          <w:sz w:val="21"/>
        </w:rPr>
        <w:t xml:space="preserve">Use one app private SQLite database for configuration and minimal durable state. Client, credential, execution and audit IDs are opaque random TEXT values; binding_id and entry_id are the same SHA-256 canonical source-signature identity defined in catalog/README.md, independent of source occurrence; timestamps are UTC integer milliseconds; revisions and epochs are nonnegative INTEGER values. All required fields are NOT NULL. Use explicit CHECK, UNIQUE and foreign key constraints; validate structured scope data in the application even if JSON checks are available.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required constraints</w:t>
            </w:r>
          </w:p>
        </w:tc>
      </w:tr>
      <w:tr>
        <w:trPr>
          <w:cantSplit/>
        </w:trPr>
        <w:tc>
          <w:tcPr>
            <w:tcW w:w="2556" w:type="dxa"/>
            <w:shd w:fill="FFFFFF"/>
            <w:vAlign w:val="top"/>
          </w:tcPr>
          <w:p>
            <w:pPr>
              <w:spacing w:after="60" w:line="235" w:lineRule="auto"/>
            </w:pPr>
            <w:r>
              <w:rPr>
                <w:rFonts w:ascii="DejaVu Sans" w:hAnsi="DejaVu Sans"/>
                <w:sz w:val="18"/>
              </w:rPr>
              <w:t xml:space="preserve">clients / PK client_id</w:t>
            </w:r>
          </w:p>
        </w:tc>
        <w:tc>
          <w:tcPr>
            <w:tcW w:w="7668" w:type="dxa"/>
            <w:shd w:fill="FFFFFF"/>
            <w:vAlign w:val="top"/>
          </w:tcPr>
          <w:p>
            <w:pPr>
              <w:spacing w:after="60" w:line="235" w:lineRule="auto"/>
            </w:pPr>
            <w:r>
              <w:rPr>
                <w:rFonts w:ascii="DejaVu Sans" w:hAnsi="DejaVu Sans"/>
                <w:sz w:val="18"/>
              </w:rPr>
              <w:t xml:space="preserve">display_name; state CHECK active/disabled/revoked; credential_epoch &gt;= 0; row_version &gt;= 1; created_at; updated_at; last_seen_at nullable. Names are not unique identities.</w:t>
            </w:r>
          </w:p>
        </w:tc>
      </w:tr>
      <w:tr>
        <w:trPr>
          <w:cantSplit/>
        </w:trPr>
        <w:tc>
          <w:tcPr>
            <w:tcW w:w="2556" w:type="dxa"/>
            <w:shd w:fill="FFFFFF"/>
            <w:vAlign w:val="top"/>
          </w:tcPr>
          <w:p>
            <w:pPr>
              <w:spacing w:after="60" w:line="235" w:lineRule="auto"/>
            </w:pPr>
            <w:r>
              <w:rPr>
                <w:rFonts w:ascii="DejaVu Sans" w:hAnsi="DejaVu Sans"/>
                <w:sz w:val="18"/>
              </w:rPr>
              <w:t xml:space="preserve">credentials / PK credential_id</w:t>
            </w:r>
          </w:p>
        </w:tc>
        <w:tc>
          <w:tcPr>
            <w:tcW w:w="7668" w:type="dxa"/>
            <w:shd w:fill="FFFFFF"/>
            <w:vAlign w:val="top"/>
          </w:tcPr>
          <w:p>
            <w:pPr>
              <w:spacing w:after="60" w:line="235" w:lineRule="auto"/>
            </w:pPr>
            <w:r>
              <w:rPr>
                <w:rFonts w:ascii="DejaVu Sans" w:hAnsi="DejaVu Sans"/>
                <w:sz w:val="18"/>
              </w:rPr>
              <w:t xml:space="preserve">client_id FK clients RESTRICT; verifier BLOB length 32; key_alias; state CHECK active/revoked; created_at; expires_at nullable; revoked_at nullable; epoch &gt;= 0. UNIQUE(verifier). No raw tokens.</w:t>
            </w:r>
          </w:p>
        </w:tc>
      </w:tr>
      <w:tr>
        <w:trPr>
          <w:cantSplit/>
        </w:trPr>
        <w:tc>
          <w:tcPr>
            <w:tcW w:w="2556" w:type="dxa"/>
            <w:shd w:fill="FFFFFF"/>
            <w:vAlign w:val="top"/>
          </w:tcPr>
          <w:p>
            <w:pPr>
              <w:spacing w:after="60" w:line="235" w:lineRule="auto"/>
            </w:pPr>
            <w:r>
              <w:rPr>
                <w:rFonts w:ascii="DejaVu Sans" w:hAnsi="DejaVu Sans"/>
                <w:sz w:val="18"/>
              </w:rPr>
              <w:t xml:space="preserve">tools / PK tool_id</w:t>
            </w:r>
          </w:p>
        </w:tc>
        <w:tc>
          <w:tcPr>
            <w:tcW w:w="7668" w:type="dxa"/>
            <w:shd w:fill="FFFFFF"/>
            <w:vAlign w:val="top"/>
          </w:tcPr>
          <w:p>
            <w:pPr>
              <w:spacing w:after="60" w:line="235" w:lineRule="auto"/>
            </w:pPr>
            <w:r>
              <w:rPr>
                <w:rFonts w:ascii="DejaVu Sans" w:hAnsi="DejaVu Sans"/>
                <w:sz w:val="18"/>
              </w:rPr>
              <w:t xml:space="preserve">schema_version; adapter_version; capability_key; scope_schema_version; risk_class; registry_revision. binding associations through tool_binding_aliases; registry is generated from versioned sources. This table is a reconciled catalog, not executable imported code.</w:t>
            </w:r>
          </w:p>
        </w:tc>
      </w:tr>
      <w:tr>
        <w:trPr>
          <w:cantSplit/>
        </w:trPr>
        <w:tc>
          <w:tcPr>
            <w:tcW w:w="2556" w:type="dxa"/>
            <w:shd w:fill="FFFFFF"/>
            <w:vAlign w:val="top"/>
          </w:tcPr>
          <w:p>
            <w:pPr>
              <w:spacing w:after="60" w:line="235" w:lineRule="auto"/>
            </w:pPr>
            <w:r>
              <w:rPr>
                <w:rFonts w:ascii="DejaVu Sans" w:hAnsi="DejaVu Sans"/>
                <w:sz w:val="18"/>
              </w:rPr>
              <w:t xml:space="preserve">client_tool_rules / PK client_id, tool_id</w:t>
            </w:r>
          </w:p>
        </w:tc>
        <w:tc>
          <w:tcPr>
            <w:tcW w:w="7668" w:type="dxa"/>
            <w:shd w:fill="FFFFFF"/>
            <w:vAlign w:val="top"/>
          </w:tcPr>
          <w:p>
            <w:pPr>
              <w:spacing w:after="60" w:line="235" w:lineRule="auto"/>
            </w:pPr>
            <w:r>
              <w:rPr>
                <w:rFonts w:ascii="DejaVu Sans" w:hAnsi="DejaVu Sans"/>
                <w:sz w:val="18"/>
              </w:rPr>
              <w:t xml:space="preserve">client_id FK clients CASCADE; tool_id FK tools RESTRICT; tool_schema_version; effect CHECK deny/ask/allow; scope_json; scope_schema_version; updated_at. One exact rule per client/tool; schema mismatch is denied.</w:t>
            </w:r>
          </w:p>
        </w:tc>
      </w:tr>
      <w:tr>
        <w:trPr>
          <w:cantSplit/>
        </w:trPr>
        <w:tc>
          <w:tcPr>
            <w:tcW w:w="2556" w:type="dxa"/>
            <w:shd w:fill="FFFFFF"/>
            <w:vAlign w:val="top"/>
          </w:tcPr>
          <w:p>
            <w:pPr>
              <w:spacing w:after="60" w:line="235" w:lineRule="auto"/>
            </w:pPr>
            <w:r>
              <w:rPr>
                <w:rFonts w:ascii="DejaVu Sans" w:hAnsi="DejaVu Sans"/>
                <w:sz w:val="18"/>
              </w:rPr>
              <w:t xml:space="preserve">policy_state / PK singleton_id = 1</w:t>
            </w:r>
          </w:p>
        </w:tc>
        <w:tc>
          <w:tcPr>
            <w:tcW w:w="7668" w:type="dxa"/>
            <w:shd w:fill="FFFFFF"/>
            <w:vAlign w:val="top"/>
          </w:tcPr>
          <w:p>
            <w:pPr>
              <w:spacing w:after="60" w:line="235" w:lineRule="auto"/>
            </w:pPr>
            <w:r>
              <w:rPr>
                <w:rFonts w:ascii="DejaVu Sans" w:hAnsi="DejaVu Sans"/>
                <w:sz w:val="18"/>
              </w:rPr>
              <w:t xml:space="preserve">policy_revision &gt;= 1; registry_revision &gt;= 1; emergency_deny CHECK 0/1; updated_at. Monotonic increments on every authorization relevant mutation.</w:t>
            </w:r>
          </w:p>
        </w:tc>
      </w:tr>
      <w:tr>
        <w:trPr>
          <w:cantSplit/>
        </w:trPr>
        <w:tc>
          <w:tcPr>
            <w:tcW w:w="2556" w:type="dxa"/>
            <w:shd w:fill="FFFFFF"/>
            <w:vAlign w:val="top"/>
          </w:tcPr>
          <w:p>
            <w:pPr>
              <w:spacing w:after="60" w:line="235" w:lineRule="auto"/>
            </w:pPr>
            <w:r>
              <w:rPr>
                <w:rFonts w:ascii="DejaVu Sans" w:hAnsi="DejaVu Sans"/>
                <w:sz w:val="18"/>
              </w:rPr>
              <w:t xml:space="preserve">tool_guardrails / PK tool_id</w:t>
            </w:r>
          </w:p>
        </w:tc>
        <w:tc>
          <w:tcPr>
            <w:tcW w:w="7668" w:type="dxa"/>
            <w:shd w:fill="FFFFFF"/>
            <w:vAlign w:val="top"/>
          </w:tcPr>
          <w:p>
            <w:pPr>
              <w:spacing w:after="60" w:line="235" w:lineRule="auto"/>
            </w:pPr>
            <w:r>
              <w:rPr>
                <w:rFonts w:ascii="DejaVu Sans" w:hAnsi="DejaVu Sans"/>
                <w:sz w:val="18"/>
              </w:rPr>
              <w:t xml:space="preserve">tool_id FK tools RESTRICT; disabled CHECK 0/1; require_ask CHECK 0/1; scope_json; scope_schema_version. These restrictions intersect client rules and cannot grant access.</w:t>
            </w:r>
          </w:p>
        </w:tc>
      </w:tr>
      <w:tr>
        <w:trPr>
          <w:cantSplit/>
        </w:trPr>
        <w:tc>
          <w:tcPr>
            <w:tcW w:w="2556" w:type="dxa"/>
            <w:shd w:fill="FFFFFF"/>
            <w:vAlign w:val="top"/>
          </w:tcPr>
          <w:p>
            <w:pPr>
              <w:spacing w:after="60" w:line="235" w:lineRule="auto"/>
            </w:pPr>
            <w:r>
              <w:rPr>
                <w:rFonts w:ascii="DejaVu Sans" w:hAnsi="DejaVu Sans"/>
                <w:sz w:val="18"/>
              </w:rPr>
              <w:t xml:space="preserve">executions / PK execution_id</w:t>
            </w:r>
          </w:p>
        </w:tc>
        <w:tc>
          <w:tcPr>
            <w:tcW w:w="7668" w:type="dxa"/>
            <w:shd w:fill="FFFFFF"/>
            <w:vAlign w:val="top"/>
          </w:tcPr>
          <w:p>
            <w:pPr>
              <w:spacing w:after="60" w:line="235" w:lineRule="auto"/>
            </w:pPr>
            <w:r>
              <w:rPr>
                <w:rFonts w:ascii="DejaVu Sans" w:hAnsi="DejaVu Sans"/>
                <w:sz w:val="18"/>
              </w:rPr>
              <w:t xml:space="preserve">client_id FK clients RESTRICT; credential_id FK credentials RESTRICT; tool_id FK tools RESTRICT; request_digest BLOB; boot_id; policy_revision; state CHECK admitted/dispatched/completed/failed/canceled/unknown; admitted_at; completed_at nullable; idempotency_key nullable.</w:t>
            </w:r>
          </w:p>
        </w:tc>
      </w:tr>
      <w:tr>
        <w:trPr>
          <w:cantSplit/>
        </w:trPr>
        <w:tc>
          <w:tcPr>
            <w:tcW w:w="2556" w:type="dxa"/>
            <w:shd w:fill="FFFFFF"/>
            <w:vAlign w:val="top"/>
          </w:tcPr>
          <w:p>
            <w:pPr>
              <w:spacing w:after="60" w:line="235" w:lineRule="auto"/>
            </w:pPr>
            <w:r>
              <w:rPr>
                <w:rFonts w:ascii="DejaVu Sans" w:hAnsi="DejaVu Sans"/>
                <w:sz w:val="18"/>
              </w:rPr>
              <w:t xml:space="preserve">audit_events / PK event_id</w:t>
            </w:r>
          </w:p>
        </w:tc>
        <w:tc>
          <w:tcPr>
            <w:tcW w:w="7668" w:type="dxa"/>
            <w:shd w:fill="FFFFFF"/>
            <w:vAlign w:val="top"/>
          </w:tcPr>
          <w:p>
            <w:pPr>
              <w:spacing w:after="60" w:line="235" w:lineRule="auto"/>
            </w:pPr>
            <w:r>
              <w:rPr>
                <w:rFonts w:ascii="DejaVu Sans" w:hAnsi="DejaVu Sans"/>
                <w:sz w:val="18"/>
              </w:rPr>
              <w:t xml:space="preserve">occurred_at; client_id nullable; tool_id nullable; operation; decision; reason_code; policy_revision; execution_id nullable; duration_ms nullable. No raw arguments, tokens, contacts or result text.</w:t>
            </w:r>
          </w:p>
        </w:tc>
      </w:tr>
      <w:tr>
        <w:trPr>
          <w:cantSplit/>
        </w:trPr>
        <w:tc>
          <w:tcPr>
            <w:tcW w:w="2556" w:type="dxa"/>
            <w:shd w:fill="FFFFFF"/>
            <w:vAlign w:val="top"/>
          </w:tcPr>
          <w:p>
            <w:pPr>
              <w:spacing w:after="60" w:line="235" w:lineRule="auto"/>
            </w:pPr>
            <w:r>
              <w:rPr>
                <w:rFonts w:ascii="DejaVu Sans" w:hAnsi="DejaVu Sans"/>
                <w:sz w:val="18"/>
              </w:rPr>
              <w:t xml:space="preserve">change_outbox / PK change_id</w:t>
            </w:r>
          </w:p>
        </w:tc>
        <w:tc>
          <w:tcPr>
            <w:tcW w:w="7668" w:type="dxa"/>
            <w:shd w:fill="FFFFFF"/>
            <w:vAlign w:val="top"/>
          </w:tcPr>
          <w:p>
            <w:pPr>
              <w:spacing w:after="60" w:line="235" w:lineRule="auto"/>
            </w:pPr>
            <w:r>
              <w:rPr>
                <w:rFonts w:ascii="DejaVu Sans" w:hAnsi="DejaVu Sans"/>
                <w:sz w:val="18"/>
              </w:rPr>
              <w:t xml:space="preserve">policy_revision; change_kind; affected_client_id nullable; created_at; delivered_at nullable. Written in the same transaction as policy changes; delivery is idempotent.</w:t>
            </w:r>
          </w:p>
        </w:tc>
      </w:tr>
      <w:tr>
        <w:trPr>
          <w:cantSplit/>
        </w:trPr>
        <w:tc>
          <w:tcPr>
            <w:tcW w:w="2556" w:type="dxa"/>
            <w:shd w:fill="FFFFFF"/>
            <w:vAlign w:val="top"/>
          </w:tcPr>
          <w:p>
            <w:pPr>
              <w:spacing w:after="60" w:line="235" w:lineRule="auto"/>
            </w:pPr>
            <w:r>
              <w:rPr>
                <w:rFonts w:ascii="DejaVu Sans" w:hAnsi="DejaVu Sans"/>
                <w:sz w:val="18"/>
              </w:rPr>
              <w:t xml:space="preserve">schema_migrations / PK version</w:t>
            </w:r>
          </w:p>
        </w:tc>
        <w:tc>
          <w:tcPr>
            <w:tcW w:w="7668" w:type="dxa"/>
            <w:shd w:fill="FFFFFF"/>
            <w:vAlign w:val="top"/>
          </w:tcPr>
          <w:p>
            <w:pPr>
              <w:spacing w:after="60" w:line="235" w:lineRule="auto"/>
            </w:pPr>
            <w:r>
              <w:rPr>
                <w:rFonts w:ascii="DejaVu Sans" w:hAnsi="DejaVu Sans"/>
                <w:sz w:val="18"/>
              </w:rPr>
              <w:t xml:space="preserve">checksum; applied_at. Exactly ordered migrations; app also checks PRAGMA user_version before opening the runtime.</w:t>
            </w:r>
          </w:p>
        </w:tc>
      </w:tr>
    </w:tbl>
    <w:p>
      <w:pPr>
        <w:spacing w:after="90" w:line="260" w:lineRule="auto"/>
      </w:pPr>
    </w:p>
    <w:p>
      <w:pPr>
        <w:spacing w:after="90" w:line="260" w:lineRule="auto"/>
      </w:pPr>
      <w:r>
        <w:rPr>
          <w:rFonts w:ascii="DejaVu Sans" w:hAnsi="DejaVu Sans"/>
          <w:sz w:val="21"/>
        </w:rPr>
        <w:t xml:space="preserve">Pending approvals, pairing attempts, sessions and raw arguments/results stay in memory and die on restart. Optional allowlisted diagnostic projections follow Section 14, never raw payload persistence. Persist only redacted terminal approval events in audit_events. Keep revoked clients and credential tombstones until related executions age out; physical deletion is a separate retention operation, never a route to reenable old credentials.</w:t>
      </w:r>
    </w:p>
    <w:p>
      <w:pPr>
        <w:pStyle w:val="Heading1"/>
        <w:keepNext/>
        <w:spacing w:after="90" w:line="260" w:lineRule="auto"/>
      </w:pPr>
      <w:r>
        <w:rPr>
          <w:rFonts w:ascii="DejaVu Sans" w:hAnsi="DejaVu Sans"/>
          <w:b/>
          <w:sz w:val="30"/>
        </w:rPr>
        <w:t xml:space="preserve">11 Storage transactions and secret protection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Additional configuration records</w:t>
            </w:r>
          </w:p>
        </w:tc>
      </w:tr>
      <w:tr>
        <w:trPr>
          <w:cantSplit/>
        </w:trPr>
        <w:tc>
          <w:tcPr>
            <w:tcW w:w="2556" w:type="dxa"/>
            <w:shd w:fill="FFFFFF"/>
            <w:vAlign w:val="top"/>
          </w:tcPr>
          <w:p>
            <w:pPr>
              <w:spacing w:after="60" w:line="235" w:lineRule="auto"/>
            </w:pPr>
            <w:r>
              <w:rPr>
                <w:rFonts w:ascii="DejaVu Sans" w:hAnsi="DejaVu Sans"/>
                <w:sz w:val="18"/>
              </w:rPr>
              <w:t xml:space="preserve">resource_grants / PK handle_id</w:t>
            </w:r>
          </w:p>
        </w:tc>
        <w:tc>
          <w:tcPr>
            <w:tcW w:w="7668" w:type="dxa"/>
            <w:shd w:fill="FFFFFF"/>
            <w:vAlign w:val="top"/>
          </w:tcPr>
          <w:p>
            <w:pPr>
              <w:spacing w:after="60" w:line="235" w:lineRule="auto"/>
            </w:pPr>
            <w:r>
              <w:rPr>
                <w:rFonts w:ascii="DejaVu Sans" w:hAnsi="DejaVu Sans"/>
                <w:sz w:val="18"/>
              </w:rPr>
              <w:t xml:space="preserve">client_id FK clients CASCADE; exact_uri_ciphertext; key_alias; modes CHECK read/write/read_write; enabled CHECK 0/1; revision &gt;= 1; created_at. Index(client_id, enabled). Opaque per client handle; never a caller supplied URI.</w:t>
            </w:r>
          </w:p>
        </w:tc>
      </w:tr>
      <w:tr>
        <w:trPr>
          <w:cantSplit/>
        </w:trPr>
        <w:tc>
          <w:tcPr>
            <w:tcW w:w="2556" w:type="dxa"/>
            <w:shd w:fill="FFFFFF"/>
            <w:vAlign w:val="top"/>
          </w:tcPr>
          <w:p>
            <w:pPr>
              <w:spacing w:after="60" w:line="235" w:lineRule="auto"/>
            </w:pPr>
            <w:r>
              <w:rPr>
                <w:rFonts w:ascii="DejaVu Sans" w:hAnsi="DejaVu Sans"/>
                <w:sz w:val="18"/>
              </w:rPr>
              <w:t xml:space="preserve">bridge_config / PK singleton_id = 1</w:t>
            </w:r>
          </w:p>
        </w:tc>
        <w:tc>
          <w:tcPr>
            <w:tcW w:w="7668" w:type="dxa"/>
            <w:shd w:fill="FFFFFF"/>
            <w:vAlign w:val="top"/>
          </w:tcPr>
          <w:p>
            <w:pPr>
              <w:spacing w:after="60" w:line="235" w:lineRule="auto"/>
            </w:pPr>
            <w:r>
              <w:rPr>
                <w:rFonts w:ascii="DejaVu Sans" w:hAnsi="DejaVu Sans"/>
                <w:sz w:val="18"/>
              </w:rPr>
              <w:t xml:space="preserve">row_version &gt;= 1; desired_state CHECK running/stopped; start_on_boot CHECK 0/1; last_stop_reason nullable; fgs_type; transport_profile CHECK paired_tls/reduced_http; loopback_address; port_preference; server_identity_key_alias; retention_days &gt;= 0; audit_size_cap &gt; 0. No secret or private key bytes.</w:t>
            </w:r>
          </w:p>
        </w:tc>
      </w:tr>
    </w:tbl>
    <w:p>
      <w:pPr>
        <w:spacing w:after="90" w:line="260" w:lineRule="auto"/>
      </w:pPr>
    </w:p>
    <w:p>
      <w:pPr>
        <w:spacing w:after="90" w:line="260" w:lineRule="auto"/>
      </w:pPr>
      <w:r>
        <w:rPr>
          <w:rFonts w:ascii="DejaVu Sans" w:hAnsi="DejaVu Sans"/>
          <w:sz w:val="21"/>
        </w:rPr>
        <w:t xml:space="preserve">Persisted Android URI grants belong to the bridge app; resource_grants is the narrower per client mapping. Recheck the actual OS grant and exact document identity on each use. Scope never relies on URI prefix matching. Disable missing grants; after restore the owner reselects resources. Config or handle changes that affect authorization increment policy_revision under the same admission gate.</w:t>
      </w:r>
    </w:p>
    <w:p>
      <w:pPr>
        <w:pStyle w:val="Heading2"/>
        <w:keepNext/>
        <w:spacing w:after="90" w:line="260" w:lineRule="auto"/>
      </w:pPr>
      <w:r>
        <w:rPr>
          <w:rFonts w:ascii="DejaVu Sans" w:hAnsi="DejaVu Sans"/>
          <w:b/>
          <w:sz w:val="25"/>
        </w:rPr>
        <w:t xml:space="preserve">Indexes and connection policy</w:t>
      </w:r>
    </w:p>
    <w:p>
      <w:pPr>
        <w:spacing w:after="90" w:line="260" w:lineRule="auto"/>
      </w:pPr>
      <w:r>
        <w:rPr>
          <w:rFonts w:ascii="DejaVu Sans" w:hAnsi="DejaVu Sans"/>
          <w:sz w:val="21"/>
        </w:rPr>
        <w:t xml:space="preserve">Index credentials(client_id, state), client_tool_rules(tool_id), executions(client_id, admitted_at), audit_events(client_id, occurred_at), audit_events(occurred_at) and change_outbox(delivered_at, change_id). Add a partial unique index on executions(client_id, tool_id, idempotency_key) WHERE idempotency_key IS NOT NULL. Generate keys per intended operation, not per HTTP retry; reject reuse with a different request digest.</w:t>
      </w:r>
    </w:p>
    <w:p>
      <w:pPr>
        <w:spacing w:after="90" w:line="260" w:lineRule="auto"/>
      </w:pPr>
      <w:r>
        <w:rPr>
          <w:rFonts w:ascii="DejaVu Sans" w:hAnsi="DejaVu Sans"/>
          <w:sz w:val="21"/>
        </w:rPr>
        <w:t xml:space="preserve">Enable PRAGMA foreign_keys=ON for every connection and verify it. Use WAL on app private local storage, a bounded busy timeout, short transactions and a single application writer queue. Readers use short snapshots so they do not pin the WAL indefinitely. Start with synchronous=FULL for security relevant mutations; benchmark before changing durability. Schedule bounded checkpoints and monitor database, WAL and free disk sizes. [S8, S9]</w:t>
      </w:r>
    </w:p>
    <w:p>
      <w:pPr>
        <w:pStyle w:val="Heading2"/>
        <w:keepNext/>
        <w:spacing w:after="90" w:line="260" w:lineRule="auto"/>
      </w:pPr>
      <w:r>
        <w:rPr>
          <w:rFonts w:ascii="DejaVu Sans" w:hAnsi="DejaVu Sans"/>
          <w:b/>
          <w:sz w:val="25"/>
        </w:rPr>
        <w:t xml:space="preserve">Permission commit and execution admission</w:t>
      </w:r>
    </w:p>
    <w:p>
      <w:pPr>
        <w:shd w:fill="F2F6FA"/>
        <w:spacing w:after="0" w:line="220" w:lineRule="auto"/>
      </w:pPr>
      <w:r>
        <w:rPr>
          <w:rFonts w:ascii="DejaVu Sans Mono" w:hAnsi="DejaVu Sans Mono"/>
          <w:sz w:val="18"/>
        </w:rPr>
        <w:t xml:space="preserve">with admissionGate:</w:t>
      </w:r>
    </w:p>
    <w:p>
      <w:pPr>
        <w:shd w:fill="F2F6FA"/>
        <w:spacing w:after="0" w:line="220" w:lineRule="auto"/>
      </w:pPr>
      <w:r>
        <w:rPr>
          <w:rFonts w:ascii="DejaVu Sans Mono" w:hAnsi="DejaVu Sans Mono"/>
          <w:sz w:val="18"/>
        </w:rPr>
        <w:t xml:space="preserve">  BEGIN IMMEDIATE</w:t>
      </w:r>
    </w:p>
    <w:p>
      <w:pPr>
        <w:shd w:fill="F2F6FA"/>
        <w:spacing w:after="0" w:line="220" w:lineRule="auto"/>
      </w:pPr>
      <w:r>
        <w:rPr>
          <w:rFonts w:ascii="DejaVu Sans Mono" w:hAnsi="DejaVu Sans Mono"/>
          <w:sz w:val="18"/>
        </w:rPr>
        <w:t xml:space="preserve">  assert client.row_version == expectedClientVersion</w:t>
      </w:r>
    </w:p>
    <w:p>
      <w:pPr>
        <w:shd w:fill="F2F6FA"/>
        <w:spacing w:after="0" w:line="220" w:lineRule="auto"/>
      </w:pPr>
      <w:r>
        <w:rPr>
          <w:rFonts w:ascii="DejaVu Sans Mono" w:hAnsi="DejaVu Sans Mono"/>
          <w:sz w:val="18"/>
        </w:rPr>
        <w:t xml:space="preserve">  assert policy_state.policy_revision == expectedPolicyRevision</w:t>
      </w:r>
    </w:p>
    <w:p>
      <w:pPr>
        <w:shd w:fill="F2F6FA"/>
        <w:spacing w:after="0" w:line="220" w:lineRule="auto"/>
      </w:pPr>
      <w:r>
        <w:rPr>
          <w:rFonts w:ascii="DejaVu Sans Mono" w:hAnsi="DejaVu Sans Mono"/>
          <w:sz w:val="18"/>
        </w:rPr>
        <w:t xml:space="preserve">  validate entire proposed rule set</w:t>
      </w:r>
    </w:p>
    <w:p>
      <w:pPr>
        <w:shd w:fill="F2F6FA"/>
        <w:spacing w:after="0" w:line="220" w:lineRule="auto"/>
      </w:pPr>
      <w:r>
        <w:rPr>
          <w:rFonts w:ascii="DejaVu Sans Mono" w:hAnsi="DejaVu Sans Mono"/>
          <w:sz w:val="18"/>
        </w:rPr>
        <w:t xml:space="preserve">  write rules; increment client.row_version and policy_revision</w:t>
      </w:r>
    </w:p>
    <w:p>
      <w:pPr>
        <w:shd w:fill="F2F6FA"/>
        <w:spacing w:after="0" w:line="220" w:lineRule="auto"/>
      </w:pPr>
      <w:r>
        <w:rPr>
          <w:rFonts w:ascii="DejaVu Sans Mono" w:hAnsi="DejaVu Sans Mono"/>
          <w:sz w:val="18"/>
        </w:rPr>
        <w:t xml:space="preserve">  append audit_event and change_outbox</w:t>
      </w:r>
    </w:p>
    <w:p>
      <w:pPr>
        <w:shd w:fill="F2F6FA"/>
        <w:spacing w:after="0" w:line="220" w:lineRule="auto"/>
      </w:pPr>
      <w:r>
        <w:rPr>
          <w:rFonts w:ascii="DejaVu Sans Mono" w:hAnsi="DejaVu Sans Mono"/>
          <w:sz w:val="18"/>
        </w:rPr>
        <w:t xml:space="preserve">  COMMIT</w:t>
      </w:r>
    </w:p>
    <w:p>
      <w:pPr>
        <w:shd w:fill="F2F6FA"/>
        <w:spacing w:after="0" w:line="220" w:lineRule="auto"/>
      </w:pPr>
      <w:r>
        <w:rPr>
          <w:rFonts w:ascii="DejaVu Sans Mono" w:hAnsi="DejaVu Sans Mono"/>
          <w:sz w:val="18"/>
        </w:rPr>
        <w:t xml:space="preserve">  install new immutable snapshot; invalidate old approvals</w:t>
      </w:r>
    </w:p>
    <w:p>
      <w:pPr>
        <w:shd w:fill="F2F6FA"/>
        <w:spacing w:after="0" w:line="220" w:lineRule="auto"/>
      </w:pPr>
      <w:r>
        <w:rPr>
          <w:rFonts w:ascii="DejaVu Sans Mono" w:hAnsi="DejaVu Sans Mono"/>
          <w:sz w:val="18"/>
        </w:rPr>
        <w:t xml:space="preserve">  signal affected calls and streams</w:t>
      </w:r>
    </w:p>
    <w:p>
      <w:pPr>
        <w:shd w:fill="F2F6FA"/>
        <w:spacing w:after="0" w:line="220" w:lineRule="auto"/>
      </w:pPr>
      <w:r>
        <w:rPr>
          <w:rFonts w:ascii="DejaVu Sans Mono" w:hAnsi="DejaVu Sans Mono"/>
          <w:sz w:val="18"/>
        </w:rPr>
        <w:t xml:space="preserve">// Acknowledge Apply only after the gate has published the commit</w:t>
      </w:r>
    </w:p>
    <w:p>
      <w:pPr>
        <w:spacing w:after="90" w:line="260" w:lineRule="auto"/>
      </w:pPr>
      <w:r>
        <w:rPr>
          <w:rFonts w:ascii="DejaVu Sans" w:hAnsi="DejaVu Sans"/>
          <w:sz w:val="21"/>
        </w:rPr>
        <w:t xml:space="preserve">Execution admission uses the same gate: reevaluate the current snapshot, reserve/consume an in memory one use approval, insert the admitted execution and commit before dispatch. On persistence failure no call is issued; a reserved approval is invalidated rather than restored optimistically. Crash after commit but before or during Binder execution yields unknown, not automatic retry. SQLite cannot atomically commit a remote Android side effect.</w:t>
      </w:r>
    </w:p>
    <w:p>
      <w:pPr>
        <w:pStyle w:val="Heading1"/>
        <w:keepNext/>
        <w:spacing w:after="90" w:line="260" w:lineRule="auto"/>
      </w:pPr>
      <w:r>
        <w:rPr>
          <w:rFonts w:ascii="DejaVu Sans" w:hAnsi="DejaVu Sans"/>
          <w:b/>
          <w:sz w:val="30"/>
        </w:rPr>
        <w:t xml:space="preserve">Secret protection and storage recovery</w:t>
      </w:r>
    </w:p>
    <w:p>
      <w:pPr>
        <w:pStyle w:val="Heading2"/>
        <w:keepNext/>
        <w:spacing w:after="90" w:line="260" w:lineRule="auto"/>
      </w:pPr>
      <w:r>
        <w:rPr>
          <w:rFonts w:ascii="DejaVu Sans" w:hAnsi="DejaVu Sans"/>
          <w:b/>
          <w:sz w:val="25"/>
        </w:rPr>
        <w:t xml:space="preserve">Secrets and privacy</w:t>
      </w:r>
    </w:p>
    <w:p>
      <w:pPr>
        <w:spacing w:after="90" w:line="260" w:lineRule="auto"/>
      </w:pPr>
      <w:r>
        <w:rPr>
          <w:rFonts w:ascii="DejaVu Sans" w:hAnsi="DejaVu Sans"/>
          <w:sz w:val="21"/>
        </w:rPr>
        <w:t xml:space="preserve">For token format credential_id.secret, look up the nonsecret ID and compare a constant time HMAC-SHA-256 verifier of the full token with a nonexportable Android Keystore key. SQLite stores the verifier and key alias, never the token or HMAC key. Separate keys protect transport server identity and any encrypted metadata. Hardware backing is checked, not assumed; Keystore protects extraction but a compromised app process may still invoke its keys. [S10]</w:t>
      </w:r>
    </w:p>
    <w:p>
      <w:pPr>
        <w:spacing w:after="90" w:line="260" w:lineRule="auto"/>
      </w:pPr>
      <w:r>
        <w:rPr>
          <w:rFonts w:ascii="DejaVu Sans" w:hAnsi="DejaVu Sans"/>
          <w:sz w:val="21"/>
        </w:rPr>
        <w:t xml:space="preserve">Do not store caller secrets in SQLite connection strings, preferences, logs, analytics or crash attachments. Sensitive scope labels and identifiers may require application level encryption under a Keystore wrapped key, depending on threat model. Base SQLite is not encrypted by default. An encrypted provider is an additional dependency and deployment gate, not an implicit property of SQLite.</w:t>
      </w:r>
    </w:p>
    <w:p>
      <w:pPr>
        <w:pStyle w:val="Heading2"/>
        <w:keepNext/>
        <w:spacing w:after="90" w:line="260" w:lineRule="auto"/>
      </w:pPr>
      <w:r>
        <w:rPr>
          <w:rFonts w:ascii="DejaVu Sans" w:hAnsi="DejaVu Sans"/>
          <w:b/>
          <w:sz w:val="25"/>
        </w:rPr>
        <w:t xml:space="preserve">Migrations and backup</w:t>
      </w:r>
    </w:p>
    <w:p>
      <w:pPr>
        <w:spacing w:after="90" w:line="260" w:lineRule="auto"/>
      </w:pPr>
      <w:r>
        <w:rPr>
          <w:rFonts w:ascii="DejaVu Sans" w:hAnsi="DejaVu Sans"/>
          <w:sz w:val="21"/>
        </w:rPr>
        <w:t xml:space="preserve">Pause the listener for migrations, check schema/version and available space, apply each transactional migration and record its checksum only on success. Run foreign key and integrity checks. If a migration fails or the schema is newer than supported, remain stopped with a recovery message; do not reset the database or weaken policy. Use SQLite backup APIs or a tested consistent export, never copy only the live .db while WAL is active. [S11]</w:t>
      </w:r>
    </w:p>
    <w:p>
      <w:pPr>
        <w:spacing w:after="90" w:line="260" w:lineRule="auto"/>
      </w:pPr>
      <w:r>
        <w:rPr>
          <w:rFonts w:ascii="DejaVu Sans" w:hAnsi="DejaVu Sans"/>
          <w:sz w:val="21"/>
        </w:rPr>
        <w:t xml:space="preserve">Exclude secrets, the live database and sidecars, approvals and sessions from both cloud backup and device transfer. Validate Android extraction rules on supported devices; allowBackup=false alone is not a universal device transfer guarantee. [S14] Export a versioned, integrity checked configuration package with scope review; encrypt exports containing private identifiers. Restore into a staging database, validate, preview changes, then activate atomically with all clients disabled, fresh revisions and fresh pairing. Keystore keys are not assumed portable.</w:t>
      </w:r>
    </w:p>
    <w:p>
      <w:pPr>
        <w:pStyle w:val="Heading1"/>
        <w:keepNext/>
        <w:spacing w:after="90" w:line="260" w:lineRule="auto"/>
      </w:pPr>
      <w:r>
        <w:rPr>
          <w:rFonts w:ascii="DejaVu Sans" w:hAnsi="DejaVu Sans"/>
          <w:b/>
          <w:sz w:val="30"/>
        </w:rPr>
        <w:t xml:space="preserve">12 Convenience tool contracts</w:t>
      </w:r>
    </w:p>
    <w:p>
      <w:pPr>
        <w:spacing w:after="90" w:line="260" w:lineRule="auto"/>
      </w:pPr>
      <w:r>
        <w:rPr>
          <w:rFonts w:ascii="DejaVu Sans" w:hAnsi="DejaVu Sans"/>
          <w:sz w:val="21"/>
        </w:rPr>
        <w:t xml:space="preserve">These convenience wrappers do not limit the exposed binding surface. Every generated binding also has a stable ID, exact schemas, provenance and dispatch contract. Tool annotations are not authorization. Generic calls validate method/schema identity and client-owned handles; the separately granted low-level Binder path validates its transaction contract. Hand-written wrappers are optional ergonomic layers, not the inventory authority.</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Tool</w:t>
            </w:r>
          </w:p>
        </w:tc>
        <w:tc>
          <w:tcPr>
            <w:tcW w:w="3987" w:type="dxa"/>
            <w:shd w:fill="E4EDF5"/>
            <w:vAlign w:val="top"/>
          </w:tcPr>
          <w:p>
            <w:pPr>
              <w:spacing w:after="60" w:line="235" w:lineRule="auto"/>
            </w:pPr>
            <w:r>
              <w:rPr>
                <w:rFonts w:ascii="DejaVu Sans" w:hAnsi="DejaVu Sans"/>
                <w:b/>
                <w:sz w:val="18"/>
              </w:rPr>
              <w:t xml:space="preserve">Input and output</w:t>
            </w:r>
          </w:p>
        </w:tc>
        <w:tc>
          <w:tcPr>
            <w:tcW w:w="3988" w:type="dxa"/>
            <w:shd w:fill="E4EDF5"/>
            <w:vAlign w:val="top"/>
          </w:tcPr>
          <w:p>
            <w:pPr>
              <w:spacing w:after="60" w:line="235" w:lineRule="auto"/>
            </w:pPr>
            <w:r>
              <w:rPr>
                <w:rFonts w:ascii="DejaVu Sans" w:hAnsi="DejaVu Sans"/>
                <w:b/>
                <w:sz w:val="18"/>
              </w:rPr>
              <w:t xml:space="preserve">Adapter and policy</w:t>
            </w:r>
          </w:p>
        </w:tc>
      </w:tr>
      <w:tr>
        <w:trPr>
          <w:cantSplit/>
        </w:trPr>
        <w:tc>
          <w:tcPr>
            <w:tcW w:w="2249" w:type="dxa"/>
            <w:shd w:fill="FFFFFF"/>
            <w:vAlign w:val="top"/>
          </w:tcPr>
          <w:p>
            <w:pPr>
              <w:spacing w:after="60" w:line="235" w:lineRule="auto"/>
            </w:pPr>
            <w:r>
              <w:rPr>
                <w:rFonts w:ascii="DejaVu Sans" w:hAnsi="DejaVu Sans"/>
                <w:sz w:val="18"/>
              </w:rPr>
              <w:t xml:space="preserve">settings.brightness.get</w:t>
            </w:r>
          </w:p>
        </w:tc>
        <w:tc>
          <w:tcPr>
            <w:tcW w:w="3987" w:type="dxa"/>
            <w:shd w:fill="FFFFFF"/>
            <w:vAlign w:val="top"/>
          </w:tcPr>
          <w:p>
            <w:pPr>
              <w:spacing w:after="60" w:line="235" w:lineRule="auto"/>
            </w:pPr>
            <w:r>
              <w:rPr>
                <w:rFonts w:ascii="DejaVu Sans" w:hAnsi="DejaVu Sans"/>
                <w:sz w:val="18"/>
              </w:rPr>
              <w:t xml:space="preserve">Input {}. Output rawValue observed int32 plus withinDocumentedRange; documented range1..255, mode manual/automatic and observedAt.</w:t>
            </w:r>
          </w:p>
        </w:tc>
        <w:tc>
          <w:tcPr>
            <w:tcW w:w="3988" w:type="dxa"/>
            <w:shd w:fill="FFFFFF"/>
            <w:vAlign w:val="top"/>
          </w:tcPr>
          <w:p>
            <w:pPr>
              <w:spacing w:after="60" w:line="235" w:lineRule="auto"/>
            </w:pPr>
            <w:r>
              <w:rPr>
                <w:rFonts w:ascii="DejaVu Sans" w:hAnsi="DejaVu Sans"/>
                <w:sz w:val="18"/>
              </w:rPr>
              <w:t xml:space="preserve">Settings.System wrapper. Read current value and mode; do not promise physical luminance or device independent perceived brightness. [S15]</w:t>
            </w:r>
          </w:p>
        </w:tc>
      </w:tr>
      <w:tr>
        <w:trPr>
          <w:cantSplit/>
        </w:trPr>
        <w:tc>
          <w:tcPr>
            <w:tcW w:w="2249" w:type="dxa"/>
            <w:shd w:fill="FFFFFF"/>
            <w:vAlign w:val="top"/>
          </w:tcPr>
          <w:p>
            <w:pPr>
              <w:spacing w:after="60" w:line="235" w:lineRule="auto"/>
            </w:pPr>
            <w:r>
              <w:rPr>
                <w:rFonts w:ascii="DejaVu Sans" w:hAnsi="DejaVu Sans"/>
                <w:sz w:val="18"/>
              </w:rPr>
              <w:t xml:space="preserve">settings.brightness.set</w:t>
            </w:r>
          </w:p>
        </w:tc>
        <w:tc>
          <w:tcPr>
            <w:tcW w:w="3987" w:type="dxa"/>
            <w:shd w:fill="FFFFFF"/>
            <w:vAlign w:val="top"/>
          </w:tcPr>
          <w:p>
            <w:pPr>
              <w:spacing w:after="60" w:line="235" w:lineRule="auto"/>
            </w:pPr>
            <w:r>
              <w:rPr>
                <w:rFonts w:ascii="DejaVu Sans" w:hAnsi="DejaVu Sans"/>
                <w:sz w:val="18"/>
              </w:rPr>
              <w:t xml:space="preserve">Input rawValue integer 1..255 and expectedMode manual. Output observed value or conflict.</w:t>
            </w:r>
          </w:p>
        </w:tc>
        <w:tc>
          <w:tcPr>
            <w:tcW w:w="3988" w:type="dxa"/>
            <w:shd w:fill="FFFFFF"/>
            <w:vAlign w:val="top"/>
          </w:tcPr>
          <w:p>
            <w:pPr>
              <w:spacing w:after="60" w:line="235" w:lineRule="auto"/>
            </w:pPr>
            <w:r>
              <w:rPr>
                <w:rFonts w:ascii="DejaVu Sans" w:hAnsi="DejaVu Sans"/>
                <w:sz w:val="18"/>
              </w:rPr>
              <w:t xml:space="preserve">Require Settings.System.canWrite special access (WRITE_SETTINGS), plus policy/Ask. Refuse automatic mode rather than silently changing it; no arbitrary setting keys. [S15]</w:t>
            </w:r>
          </w:p>
        </w:tc>
      </w:tr>
      <w:tr>
        <w:trPr>
          <w:cantSplit/>
        </w:trPr>
        <w:tc>
          <w:tcPr>
            <w:tcW w:w="2249" w:type="dxa"/>
            <w:shd w:fill="FFFFFF"/>
            <w:vAlign w:val="top"/>
          </w:tcPr>
          <w:p>
            <w:pPr>
              <w:spacing w:after="60" w:line="235" w:lineRule="auto"/>
            </w:pPr>
            <w:r>
              <w:rPr>
                <w:rFonts w:ascii="DejaVu Sans" w:hAnsi="DejaVu Sans"/>
                <w:sz w:val="18"/>
              </w:rPr>
              <w:t xml:space="preserve">sensors.list / sensors.read</w:t>
            </w:r>
          </w:p>
        </w:tc>
        <w:tc>
          <w:tcPr>
            <w:tcW w:w="3987" w:type="dxa"/>
            <w:shd w:fill="FFFFFF"/>
            <w:vAlign w:val="top"/>
          </w:tcPr>
          <w:p>
            <w:pPr>
              <w:spacing w:after="60" w:line="235" w:lineRule="auto"/>
            </w:pPr>
            <w:r>
              <w:rPr>
                <w:rFonts w:ascii="DejaVu Sans" w:hAnsi="DejaVu Sans"/>
                <w:sz w:val="18"/>
              </w:rPr>
              <w:t xml:space="preserve">List allowed sensor types only. Read: sensorHandle, rateHz and durationMs. Return bounded samples with units, timestamps and accuracy.</w:t>
            </w:r>
          </w:p>
        </w:tc>
        <w:tc>
          <w:tcPr>
            <w:tcW w:w="3988" w:type="dxa"/>
            <w:shd w:fill="FFFFFF"/>
            <w:vAlign w:val="top"/>
          </w:tcPr>
          <w:p>
            <w:pPr>
              <w:spacing w:after="60" w:line="235" w:lineRule="auto"/>
            </w:pPr>
            <w:r>
              <w:rPr>
                <w:rFonts w:ascii="DejaVu Sans" w:hAnsi="DejaVu Sans"/>
                <w:sz w:val="18"/>
              </w:rPr>
              <w:t xml:space="preserve">SensorManager wrapper; exact sensor allowlist, proposed cap 20 Hz and 5 seconds. Respect runtime permissions, foreground restrictions and device limits; unregister on finish, cancellation, revocation or failure. [S16]</w:t>
            </w:r>
          </w:p>
        </w:tc>
      </w:tr>
      <w:tr>
        <w:trPr>
          <w:cantSplit/>
        </w:trPr>
        <w:tc>
          <w:tcPr>
            <w:tcW w:w="2249" w:type="dxa"/>
            <w:shd w:fill="FFFFFF"/>
            <w:vAlign w:val="top"/>
          </w:tcPr>
          <w:p>
            <w:pPr>
              <w:spacing w:after="60" w:line="235" w:lineRule="auto"/>
            </w:pPr>
            <w:r>
              <w:rPr>
                <w:rFonts w:ascii="DejaVu Sans" w:hAnsi="DejaVu Sans"/>
                <w:sz w:val="18"/>
              </w:rPr>
              <w:t xml:space="preserve">device.battery.read</w:t>
            </w:r>
          </w:p>
        </w:tc>
        <w:tc>
          <w:tcPr>
            <w:tcW w:w="3987" w:type="dxa"/>
            <w:shd w:fill="FFFFFF"/>
            <w:vAlign w:val="top"/>
          </w:tcPr>
          <w:p>
            <w:pPr>
              <w:spacing w:after="60" w:line="235" w:lineRule="auto"/>
            </w:pPr>
            <w:r>
              <w:rPr>
                <w:rFonts w:ascii="DejaVu Sans" w:hAnsi="DejaVu Sans"/>
                <w:sz w:val="18"/>
              </w:rPr>
              <w:t xml:space="preserve">Input {}. Output levelPercent, isCharging and observedAt; omit fields not permitted by policy.</w:t>
            </w:r>
          </w:p>
        </w:tc>
        <w:tc>
          <w:tcPr>
            <w:tcW w:w="3988" w:type="dxa"/>
            <w:shd w:fill="FFFFFF"/>
            <w:vAlign w:val="top"/>
          </w:tcPr>
          <w:p>
            <w:pPr>
              <w:spacing w:after="60" w:line="235" w:lineRule="auto"/>
            </w:pPr>
            <w:r>
              <w:rPr>
                <w:rFonts w:ascii="DejaVu Sans" w:hAnsi="DejaVu Sans"/>
                <w:sz w:val="18"/>
              </w:rPr>
              <w:t xml:space="preserve">Public Android battery API wrapper. Read only; no custom AIDL needed. Available data depends on platform state.</w:t>
            </w:r>
          </w:p>
        </w:tc>
      </w:tr>
      <w:tr>
        <w:trPr>
          <w:cantSplit/>
        </w:trPr>
        <w:tc>
          <w:tcPr>
            <w:tcW w:w="2249" w:type="dxa"/>
            <w:shd w:fill="FFFFFF"/>
            <w:vAlign w:val="top"/>
          </w:tcPr>
          <w:p>
            <w:pPr>
              <w:spacing w:after="60" w:line="235" w:lineRule="auto"/>
            </w:pPr>
            <w:r>
              <w:rPr>
                <w:rFonts w:ascii="DejaVu Sans" w:hAnsi="DejaVu Sans"/>
                <w:sz w:val="18"/>
              </w:rPr>
              <w:t xml:space="preserve">contacts.list</w:t>
            </w:r>
          </w:p>
        </w:tc>
        <w:tc>
          <w:tcPr>
            <w:tcW w:w="3987" w:type="dxa"/>
            <w:shd w:fill="FFFFFF"/>
            <w:vAlign w:val="top"/>
          </w:tcPr>
          <w:p>
            <w:pPr>
              <w:spacing w:after="60" w:line="235" w:lineRule="auto"/>
            </w:pPr>
            <w:r>
              <w:rPr>
                <w:rFonts w:ascii="DejaVu Sans" w:hAnsi="DejaVu Sans"/>
                <w:sz w:val="18"/>
              </w:rPr>
              <w:t xml:space="preserve">Input contactIds[], fields[], limit 1..100. Output bounded records plus an opaque scoped cursor.</w:t>
            </w:r>
          </w:p>
        </w:tc>
        <w:tc>
          <w:tcPr>
            <w:tcW w:w="3988" w:type="dxa"/>
            <w:shd w:fill="FFFFFF"/>
            <w:vAlign w:val="top"/>
          </w:tcPr>
          <w:p>
            <w:pPr>
              <w:spacing w:after="60" w:line="235" w:lineRule="auto"/>
            </w:pPr>
            <w:r>
              <w:rPr>
                <w:rFonts w:ascii="DejaVu Sans" w:hAnsi="DejaVu Sans"/>
                <w:sz w:val="18"/>
              </w:rPr>
              <w:t xml:space="preserve">ContactsContract / ContentResolver wrapper; READ_CONTACTS plus selected ID/field scope. No raw query, projection or selection string. [S12]</w:t>
            </w:r>
          </w:p>
        </w:tc>
      </w:tr>
      <w:tr>
        <w:trPr>
          <w:cantSplit/>
        </w:trPr>
        <w:tc>
          <w:tcPr>
            <w:tcW w:w="2249" w:type="dxa"/>
            <w:shd w:fill="FFFFFF"/>
            <w:vAlign w:val="top"/>
          </w:tcPr>
          <w:p>
            <w:pPr>
              <w:spacing w:after="60" w:line="235" w:lineRule="auto"/>
            </w:pPr>
            <w:r>
              <w:rPr>
                <w:rFonts w:ascii="DejaVu Sans" w:hAnsi="DejaVu Sans"/>
                <w:sz w:val="18"/>
              </w:rPr>
              <w:t xml:space="preserve">document.read</w:t>
            </w:r>
          </w:p>
        </w:tc>
        <w:tc>
          <w:tcPr>
            <w:tcW w:w="3987" w:type="dxa"/>
            <w:shd w:fill="FFFFFF"/>
            <w:vAlign w:val="top"/>
          </w:tcPr>
          <w:p>
            <w:pPr>
              <w:spacing w:after="60" w:line="235" w:lineRule="auto"/>
            </w:pPr>
            <w:r>
              <w:rPr>
                <w:rFonts w:ascii="DejaVu Sans" w:hAnsi="DejaVu Sans"/>
                <w:sz w:val="18"/>
              </w:rPr>
              <w:t xml:space="preserve">Input documentHandle, offset and maxBytes. Output bounded content of an allowed media type.</w:t>
            </w:r>
          </w:p>
        </w:tc>
        <w:tc>
          <w:tcPr>
            <w:tcW w:w="3988" w:type="dxa"/>
            <w:shd w:fill="FFFFFF"/>
            <w:vAlign w:val="top"/>
          </w:tcPr>
          <w:p>
            <w:pPr>
              <w:spacing w:after="60" w:line="235" w:lineRule="auto"/>
            </w:pPr>
            <w:r>
              <w:rPr>
                <w:rFonts w:ascii="DejaVu Sans" w:hAnsi="DejaVu Sans"/>
                <w:sz w:val="18"/>
              </w:rPr>
              <w:t xml:space="preserve">Handle minted from an owner selected persisted URI grant; bind it to client, exact URI, access mode and revision. Never accept arbitrary file paths.</w:t>
            </w:r>
          </w:p>
        </w:tc>
      </w:tr>
      <w:tr>
        <w:trPr>
          <w:cantSplit/>
        </w:trPr>
        <w:tc>
          <w:tcPr>
            <w:tcW w:w="2249" w:type="dxa"/>
            <w:shd w:fill="FFFFFF"/>
            <w:vAlign w:val="top"/>
          </w:tcPr>
          <w:p>
            <w:pPr>
              <w:spacing w:after="60" w:line="235" w:lineRule="auto"/>
            </w:pPr>
            <w:r>
              <w:rPr>
                <w:rFonts w:ascii="DejaVu Sans" w:hAnsi="DejaVu Sans"/>
                <w:sz w:val="18"/>
              </w:rPr>
              <w:t xml:space="preserve">partner.status.read</w:t>
            </w:r>
          </w:p>
        </w:tc>
        <w:tc>
          <w:tcPr>
            <w:tcW w:w="3987" w:type="dxa"/>
            <w:shd w:fill="FFFFFF"/>
            <w:vAlign w:val="top"/>
          </w:tcPr>
          <w:p>
            <w:pPr>
              <w:spacing w:after="60" w:line="235" w:lineRule="auto"/>
            </w:pPr>
            <w:r>
              <w:rPr>
                <w:rFonts w:ascii="DejaVu Sans" w:hAnsi="DejaVu Sans"/>
                <w:sz w:val="18"/>
              </w:rPr>
              <w:t xml:space="preserve">Input accountHandle. Output a versioned status record.</w:t>
            </w:r>
          </w:p>
        </w:tc>
        <w:tc>
          <w:tcPr>
            <w:tcW w:w="3988" w:type="dxa"/>
            <w:shd w:fill="FFFFFF"/>
            <w:vAlign w:val="top"/>
          </w:tcPr>
          <w:p>
            <w:pPr>
              <w:spacing w:after="60" w:line="235" w:lineRule="auto"/>
            </w:pPr>
            <w:r>
              <w:rPr>
                <w:rFonts w:ascii="DejaVu Sans" w:hAnsi="DejaVu Sans"/>
                <w:sz w:val="18"/>
              </w:rPr>
              <w:t xml:space="preserve">Illustrative integration with a known partner AIDL service, explicit component and pinned signing identity. Requires a real partner contract; not an existing Android platform API.</w:t>
            </w:r>
          </w:p>
        </w:tc>
      </w:tr>
    </w:tbl>
    <w:p>
      <w:pPr>
        <w:spacing w:after="90" w:line="260" w:lineRule="auto"/>
      </w:pPr>
    </w:p>
    <w:p>
      <w:pPr>
        <w:pStyle w:val="Heading1"/>
        <w:keepNext/>
        <w:spacing w:after="90" w:line="260" w:lineRule="auto"/>
      </w:pPr>
      <w:r>
        <w:rPr>
          <w:rFonts w:ascii="DejaVu Sans" w:hAnsi="DejaVu Sans"/>
          <w:b/>
          <w:sz w:val="30"/>
        </w:rPr>
        <w:t xml:space="preserve">Tool exchanges and result behavior</w:t>
      </w:r>
    </w:p>
    <w:p>
      <w:pPr>
        <w:pStyle w:val="Heading2"/>
        <w:keepNext/>
        <w:spacing w:after="90" w:line="260" w:lineRule="auto"/>
      </w:pPr>
      <w:r>
        <w:rPr>
          <w:rFonts w:ascii="DejaVu Sans" w:hAnsi="DejaVu Sans"/>
          <w:b/>
          <w:sz w:val="25"/>
        </w:rPr>
        <w:t xml:space="preserve">Settings and sensor semantics</w:t>
      </w:r>
    </w:p>
    <w:p>
      <w:pPr>
        <w:spacing w:after="90" w:line="260" w:lineRule="auto"/>
      </w:pPr>
      <w:r>
        <w:rPr>
          <w:rFonts w:ascii="DejaVu Sans" w:hAnsi="DejaVu Sans"/>
          <w:sz w:val="21"/>
        </w:rPr>
        <w:t xml:space="preserve">Brightness write uses the documented raw 1 to 255 range, with a narrower default policy range such as 16 to 240. Check manual mode before dispatch and read back afterward; Settings.System does not provide an atomic compare and set across external actors. Do not change automatic mode or undo another actor’s change. Report a conflict or uncertain outcome honestly. Sensor rates are requested ceilings, not promised delivery timing; bound sample count and bytes, report actual timestamps, and always unregister listeners. [S15, S16]</w:t>
      </w:r>
    </w:p>
    <w:p>
      <w:pPr>
        <w:pStyle w:val="Heading2"/>
        <w:keepNext/>
        <w:spacing w:after="90" w:line="260" w:lineRule="auto"/>
      </w:pPr>
      <w:r>
        <w:rPr>
          <w:rFonts w:ascii="DejaVu Sans" w:hAnsi="DejaVu Sans"/>
          <w:b/>
          <w:sz w:val="25"/>
        </w:rPr>
        <w:t xml:space="preserve">Example MCP exchange</w:t>
      </w:r>
    </w:p>
    <w:p>
      <w:pPr>
        <w:shd w:fill="F2F6FA"/>
        <w:spacing w:after="0" w:line="220" w:lineRule="auto"/>
      </w:pPr>
      <w:r>
        <w:rPr>
          <w:rFonts w:ascii="DejaVu Sans Mono" w:hAnsi="DejaVu Sans Mono"/>
          <w:sz w:val="18"/>
        </w:rPr>
        <w:t xml:space="preserve">POST /mcp</w:t>
      </w:r>
    </w:p>
    <w:p>
      <w:pPr>
        <w:shd w:fill="F2F6FA"/>
        <w:spacing w:after="0" w:line="220" w:lineRule="auto"/>
      </w:pPr>
      <w:r>
        <w:rPr>
          <w:rFonts w:ascii="DejaVu Sans Mono" w:hAnsi="DejaVu Sans Mono"/>
          <w:sz w:val="18"/>
        </w:rPr>
        <w:t xml:space="preserve">Authorization: Bearer &lt;credential_id.secret&gt;</w:t>
      </w:r>
    </w:p>
    <w:p>
      <w:pPr>
        <w:shd w:fill="F2F6FA"/>
        <w:spacing w:after="0" w:line="220" w:lineRule="auto"/>
      </w:pPr>
      <w:r>
        <w:rPr>
          <w:rFonts w:ascii="DejaVu Sans Mono" w:hAnsi="DejaVu Sans Mono"/>
          <w:sz w:val="18"/>
        </w:rPr>
        <w:t xml:space="preserve">MCP-Protocol-Version: 2025-11-25</w:t>
      </w:r>
    </w:p>
    <w:p>
      <w:pPr>
        <w:shd w:fill="F2F6FA"/>
        <w:spacing w:after="0" w:line="220" w:lineRule="auto"/>
      </w:pPr>
      <w:r>
        <w:rPr>
          <w:rFonts w:ascii="DejaVu Sans Mono" w:hAnsi="DejaVu Sans Mono"/>
          <w:sz w:val="18"/>
        </w:rPr>
        <w:t xml:space="preserve">Mcp-Session-Id: &lt;bound-session-if-negotiated&gt;</w:t>
      </w:r>
    </w:p>
    <w:p>
      <w:pPr>
        <w:shd w:fill="F2F6FA"/>
        <w:spacing w:after="0" w:line="220" w:lineRule="auto"/>
      </w:pPr>
      <w:r>
        <w:rPr>
          <w:rFonts w:ascii="DejaVu Sans Mono" w:hAnsi="DejaVu Sans Mono"/>
          <w:sz w:val="18"/>
        </w:rPr>
        <w:t xml:space="preserve">Content-Type: application/json</w:t>
      </w:r>
    </w:p>
    <w:p>
      <w:pPr>
        <w:shd w:fill="F2F6FA"/>
        <w:spacing w:after="0" w:line="220" w:lineRule="auto"/>
      </w:pPr>
      <w:r>
        <w:rPr>
          <w:rFonts w:ascii="DejaVu Sans Mono" w:hAnsi="DejaVu Sans Mono"/>
          <w:sz w:val="18"/>
        </w:rPr>
        <w:t xml:space="preserve">Accept: application/json, text/event-stream</w:t>
      </w:r>
    </w:p>
    <w:p>
      <w:pPr>
        <w:shd w:fill="F2F6FA"/>
        <w:spacing w:after="0" w:line="220" w:lineRule="auto"/>
      </w:pPr>
    </w:p>
    <w:p>
      <w:pPr>
        <w:shd w:fill="F2F6FA"/>
        <w:spacing w:after="0" w:line="220" w:lineRule="auto"/>
      </w:pPr>
      <w:r>
        <w:rPr>
          <w:rFonts w:ascii="DejaVu Sans Mono" w:hAnsi="DejaVu Sans Mono"/>
          <w:sz w:val="18"/>
        </w:rPr>
        <w:t xml:space="preserve">{"jsonrpc":"2.0","id":42,"method":"tools/call",</w:t>
      </w:r>
    </w:p>
    <w:p>
      <w:pPr>
        <w:shd w:fill="F2F6FA"/>
        <w:spacing w:after="0" w:line="220" w:lineRule="auto"/>
      </w:pPr>
      <w:r>
        <w:rPr>
          <w:rFonts w:ascii="DejaVu Sans Mono" w:hAnsi="DejaVu Sans Mono"/>
          <w:sz w:val="18"/>
        </w:rPr>
        <w:t xml:space="preserve"> "params":{"name":"contacts.list","arguments":{</w:t>
      </w:r>
    </w:p>
    <w:p>
      <w:pPr>
        <w:shd w:fill="F2F6FA"/>
        <w:spacing w:after="0" w:line="220" w:lineRule="auto"/>
      </w:pPr>
      <w:r>
        <w:rPr>
          <w:rFonts w:ascii="DejaVu Sans Mono" w:hAnsi="DejaVu Sans Mono"/>
          <w:sz w:val="18"/>
        </w:rPr>
        <w:t xml:space="preserve">   "contactIds":["contact_7"],</w:t>
      </w:r>
    </w:p>
    <w:p>
      <w:pPr>
        <w:shd w:fill="F2F6FA"/>
        <w:spacing w:after="0" w:line="220" w:lineRule="auto"/>
      </w:pPr>
      <w:r>
        <w:rPr>
          <w:rFonts w:ascii="DejaVu Sans Mono" w:hAnsi="DejaVu Sans Mono"/>
          <w:sz w:val="18"/>
        </w:rPr>
        <w:t xml:space="preserve">   "fields":["displayName"],"limit":1}}}</w:t>
      </w:r>
    </w:p>
    <w:p>
      <w:pPr>
        <w:shd w:fill="F2F6FA"/>
        <w:spacing w:after="0" w:line="220" w:lineRule="auto"/>
      </w:pPr>
    </w:p>
    <w:p>
      <w:pPr>
        <w:shd w:fill="F2F6FA"/>
        <w:spacing w:after="0" w:line="220" w:lineRule="auto"/>
      </w:pPr>
      <w:r>
        <w:rPr>
          <w:rFonts w:ascii="DejaVu Sans Mono" w:hAnsi="DejaVu Sans Mono"/>
          <w:sz w:val="18"/>
        </w:rPr>
        <w:t xml:space="preserve">{"jsonrpc":"2.0","id":42,"result":{</w:t>
      </w:r>
    </w:p>
    <w:p>
      <w:pPr>
        <w:shd w:fill="F2F6FA"/>
        <w:spacing w:after="0" w:line="220" w:lineRule="auto"/>
      </w:pPr>
      <w:r>
        <w:rPr>
          <w:rFonts w:ascii="DejaVu Sans Mono" w:hAnsi="DejaVu Sans Mono"/>
          <w:sz w:val="18"/>
        </w:rPr>
        <w:t xml:space="preserve"> "content":[{"type":"text","text":"1 contact returned"}],</w:t>
      </w:r>
    </w:p>
    <w:p>
      <w:pPr>
        <w:shd w:fill="F2F6FA"/>
        <w:spacing w:after="0" w:line="220" w:lineRule="auto"/>
      </w:pPr>
      <w:r>
        <w:rPr>
          <w:rFonts w:ascii="DejaVu Sans Mono" w:hAnsi="DejaVu Sans Mono"/>
          <w:sz w:val="18"/>
        </w:rPr>
        <w:t xml:space="preserve"> "structuredContent":{"contacts":[{</w:t>
      </w:r>
    </w:p>
    <w:p>
      <w:pPr>
        <w:shd w:fill="F2F6FA"/>
        <w:spacing w:after="0" w:line="220" w:lineRule="auto"/>
      </w:pPr>
      <w:r>
        <w:rPr>
          <w:rFonts w:ascii="DejaVu Sans Mono" w:hAnsi="DejaVu Sans Mono"/>
          <w:sz w:val="18"/>
        </w:rPr>
        <w:t xml:space="preserve">   "id":"contact_7","displayName":"Example person"}]},</w:t>
      </w:r>
    </w:p>
    <w:p>
      <w:pPr>
        <w:shd w:fill="F2F6FA"/>
        <w:spacing w:after="0" w:line="220" w:lineRule="auto"/>
      </w:pPr>
      <w:r>
        <w:rPr>
          <w:rFonts w:ascii="DejaVu Sans Mono" w:hAnsi="DejaVu Sans Mono"/>
          <w:sz w:val="18"/>
        </w:rPr>
        <w:t xml:space="preserve"> "isError":false}}</w:t>
      </w:r>
    </w:p>
    <w:p>
      <w:pPr>
        <w:spacing w:after="90" w:line="260" w:lineRule="auto"/>
      </w:pPr>
      <w:r>
        <w:rPr>
          <w:rFonts w:ascii="DejaVu Sans" w:hAnsi="DejaVu Sans"/>
          <w:sz w:val="21"/>
        </w:rPr>
        <w:t xml:space="preserve">This example assumes initialization, pairing, OS grant, scoped permission and any Ask approval already succeeded. The displayed contact is fictitious. Discovery advertises the matching output schema; the adapter validates and minimizes output before serialization. Cursors are opaque, client bound and invalidated by policy changes; they do not bypass field or row scope.</w:t>
      </w:r>
    </w:p>
    <w:p>
      <w:pPr>
        <w:pStyle w:val="Heading2"/>
        <w:keepNext/>
        <w:spacing w:after="90" w:line="260" w:lineRule="auto"/>
      </w:pPr>
      <w:r>
        <w:rPr>
          <w:rFonts w:ascii="DejaVu Sans" w:hAnsi="DejaVu Sans"/>
          <w:b/>
          <w:sz w:val="25"/>
        </w:rPr>
        <w:t xml:space="preserve">Error contract and retries</w:t>
      </w:r>
    </w:p>
    <w:p>
      <w:pPr>
        <w:spacing w:after="90" w:line="260" w:lineRule="auto"/>
      </w:pPr>
      <w:r>
        <w:rPr>
          <w:rFonts w:ascii="DejaVu Sans" w:hAnsi="DejaVu Sans"/>
          <w:sz w:val="21"/>
        </w:rPr>
        <w:t xml:space="preserve">Use protocol errors for malformed or unsupported JSON-RPC/MCP requests; use a tool result with isError for a valid call that cannot execute, with stable sanitized codes such as POLICY_DENIED, APPROVAL_EXPIRED, OS_PERMISSION_REQUIRED, SERVICE_UNAVAILABLE, RATE_LIMITED or OUTCOME_UNKNOWN. Authentication failures stay at HTTP. Never return stack traces, Binder parcels or existence details to unauthorized callers. Read retries may be safe; write retries require adapter supported idempotency or explicit user review.</w:t>
      </w:r>
    </w:p>
    <w:p>
      <w:pPr>
        <w:pStyle w:val="Heading1"/>
        <w:keepNext/>
        <w:spacing w:after="90" w:line="260" w:lineRule="auto"/>
      </w:pPr>
      <w:r>
        <w:rPr>
          <w:rFonts w:ascii="DejaVu Sans" w:hAnsi="DejaVu Sans"/>
          <w:b/>
          <w:sz w:val="30"/>
        </w:rPr>
        <w:t xml:space="preserve">13 Threat model and operational limits</w:t>
      </w:r>
    </w:p>
    <w:p>
      <w:pPr>
        <w:spacing w:after="90" w:line="260" w:lineRule="auto"/>
      </w:pPr>
      <w:r>
        <w:rPr>
          <w:rFonts w:ascii="DejaVu Sans" w:hAnsi="DejaVu Sans"/>
          <w:sz w:val="21"/>
        </w:rPr>
        <w:t xml:space="preserve">Protect user data, Android capabilities, approval integrity, credentials and policy history against malicious local apps, prompt injected agents, hostile websites reaching loopback, stolen client credentials and buggy target services. Device root or full bridge process compromise is outside the default trust guarantee; document this residual risk rather than implying Keystore or SQLite prevents it.</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Threat</w:t>
            </w:r>
          </w:p>
        </w:tc>
        <w:tc>
          <w:tcPr>
            <w:tcW w:w="7668" w:type="dxa"/>
            <w:shd w:fill="E4EDF5"/>
            <w:vAlign w:val="top"/>
          </w:tcPr>
          <w:p>
            <w:pPr>
              <w:spacing w:after="60" w:line="235" w:lineRule="auto"/>
            </w:pPr>
            <w:r>
              <w:rPr>
                <w:rFonts w:ascii="DejaVu Sans" w:hAnsi="DejaVu Sans"/>
                <w:b/>
                <w:sz w:val="18"/>
              </w:rPr>
              <w:t xml:space="preserve">Required mitigation and residual limit</w:t>
            </w:r>
          </w:p>
        </w:tc>
      </w:tr>
      <w:tr>
        <w:trPr>
          <w:cantSplit/>
        </w:trPr>
        <w:tc>
          <w:tcPr>
            <w:tcW w:w="2556" w:type="dxa"/>
            <w:shd w:fill="FFFFFF"/>
            <w:vAlign w:val="top"/>
          </w:tcPr>
          <w:p>
            <w:pPr>
              <w:spacing w:after="60" w:line="235" w:lineRule="auto"/>
            </w:pPr>
            <w:r>
              <w:rPr>
                <w:rFonts w:ascii="DejaVu Sans" w:hAnsi="DejaVu Sans"/>
                <w:sz w:val="18"/>
              </w:rPr>
              <w:t xml:space="preserve">Confused deputy</w:t>
            </w:r>
          </w:p>
        </w:tc>
        <w:tc>
          <w:tcPr>
            <w:tcW w:w="7668" w:type="dxa"/>
            <w:shd w:fill="FFFFFF"/>
            <w:vAlign w:val="top"/>
          </w:tcPr>
          <w:p>
            <w:pPr>
              <w:spacing w:after="60" w:line="235" w:lineRule="auto"/>
            </w:pPr>
            <w:r>
              <w:rPr>
                <w:rFonts w:ascii="DejaVu Sans" w:hAnsi="DejaVu Sans"/>
                <w:sz w:val="18"/>
              </w:rPr>
              <w:t xml:space="preserve">Resolve client identity before dispatch; authorize exact tool, resource and output. Native services see the bridge UID; ADB uses shell authority, not the original MCP principal.</w:t>
            </w:r>
          </w:p>
        </w:tc>
      </w:tr>
      <w:tr>
        <w:trPr>
          <w:cantSplit/>
        </w:trPr>
        <w:tc>
          <w:tcPr>
            <w:tcW w:w="2556" w:type="dxa"/>
            <w:shd w:fill="FFFFFF"/>
            <w:vAlign w:val="top"/>
          </w:tcPr>
          <w:p>
            <w:pPr>
              <w:spacing w:after="60" w:line="235" w:lineRule="auto"/>
            </w:pPr>
            <w:r>
              <w:rPr>
                <w:rFonts w:ascii="DejaVu Sans" w:hAnsi="DejaVu Sans"/>
                <w:sz w:val="18"/>
              </w:rPr>
              <w:t xml:space="preserve">Local port impersonation</w:t>
            </w:r>
          </w:p>
        </w:tc>
        <w:tc>
          <w:tcPr>
            <w:tcW w:w="7668" w:type="dxa"/>
            <w:shd w:fill="FFFFFF"/>
            <w:vAlign w:val="top"/>
          </w:tcPr>
          <w:p>
            <w:pPr>
              <w:spacing w:after="60" w:line="235" w:lineRule="auto"/>
            </w:pPr>
            <w:r>
              <w:rPr>
                <w:rFonts w:ascii="DejaVu Sans" w:hAnsi="DejaVu Sans"/>
                <w:sz w:val="18"/>
              </w:rPr>
              <w:t xml:space="preserve">Pin paired server identity with HTTPS where supported. Do not claim random ports or localhost authenticate the bridge. Plain HTTP mode is reduced assurance.</w:t>
            </w:r>
          </w:p>
        </w:tc>
      </w:tr>
      <w:tr>
        <w:trPr>
          <w:cantSplit/>
        </w:trPr>
        <w:tc>
          <w:tcPr>
            <w:tcW w:w="2556" w:type="dxa"/>
            <w:shd w:fill="FFFFFF"/>
            <w:vAlign w:val="top"/>
          </w:tcPr>
          <w:p>
            <w:pPr>
              <w:spacing w:after="60" w:line="235" w:lineRule="auto"/>
            </w:pPr>
            <w:r>
              <w:rPr>
                <w:rFonts w:ascii="DejaVu Sans" w:hAnsi="DejaVu Sans"/>
                <w:sz w:val="18"/>
              </w:rPr>
              <w:t xml:space="preserve">DNS rebinding or browser attack</w:t>
            </w:r>
          </w:p>
        </w:tc>
        <w:tc>
          <w:tcPr>
            <w:tcW w:w="7668" w:type="dxa"/>
            <w:shd w:fill="FFFFFF"/>
            <w:vAlign w:val="top"/>
          </w:tcPr>
          <w:p>
            <w:pPr>
              <w:spacing w:after="60" w:line="235" w:lineRule="auto"/>
            </w:pPr>
            <w:r>
              <w:rPr>
                <w:rFonts w:ascii="DejaVu Sans" w:hAnsi="DejaVu Sans"/>
                <w:sz w:val="18"/>
              </w:rPr>
              <w:t xml:space="preserve">Loopback only binding, Host and Origin validation, no permissive CORS, no cookie auth, per request bearer verification. No browser page can pair silently.</w:t>
            </w:r>
          </w:p>
        </w:tc>
      </w:tr>
      <w:tr>
        <w:trPr>
          <w:cantSplit/>
        </w:trPr>
        <w:tc>
          <w:tcPr>
            <w:tcW w:w="2556" w:type="dxa"/>
            <w:shd w:fill="FFFFFF"/>
            <w:vAlign w:val="top"/>
          </w:tcPr>
          <w:p>
            <w:pPr>
              <w:spacing w:after="60" w:line="235" w:lineRule="auto"/>
            </w:pPr>
            <w:r>
              <w:rPr>
                <w:rFonts w:ascii="DejaVu Sans" w:hAnsi="DejaVu Sans"/>
                <w:sz w:val="18"/>
              </w:rPr>
              <w:t xml:space="preserve">Prompt injection or consent spoofing</w:t>
            </w:r>
          </w:p>
        </w:tc>
        <w:tc>
          <w:tcPr>
            <w:tcW w:w="7668" w:type="dxa"/>
            <w:shd w:fill="FFFFFF"/>
            <w:vAlign w:val="top"/>
          </w:tcPr>
          <w:p>
            <w:pPr>
              <w:spacing w:after="60" w:line="235" w:lineRule="auto"/>
            </w:pPr>
            <w:r>
              <w:rPr>
                <w:rFonts w:ascii="DejaVu Sans" w:hAnsi="DejaVu Sans"/>
                <w:sz w:val="18"/>
              </w:rPr>
              <w:t xml:space="preserve">Agent text cannot grant policy. Local UI renders escaped text, bounded previews and trusted action labels; approval is bound to an immutable canonical plan.</w:t>
            </w:r>
          </w:p>
        </w:tc>
      </w:tr>
      <w:tr>
        <w:trPr>
          <w:cantSplit/>
        </w:trPr>
        <w:tc>
          <w:tcPr>
            <w:tcW w:w="2556" w:type="dxa"/>
            <w:shd w:fill="FFFFFF"/>
            <w:vAlign w:val="top"/>
          </w:tcPr>
          <w:p>
            <w:pPr>
              <w:spacing w:after="60" w:line="235" w:lineRule="auto"/>
            </w:pPr>
            <w:r>
              <w:rPr>
                <w:rFonts w:ascii="DejaVu Sans" w:hAnsi="DejaVu Sans"/>
                <w:sz w:val="18"/>
              </w:rPr>
              <w:t xml:space="preserve">Credential theft or replay</w:t>
            </w:r>
          </w:p>
        </w:tc>
        <w:tc>
          <w:tcPr>
            <w:tcW w:w="7668" w:type="dxa"/>
            <w:shd w:fill="FFFFFF"/>
            <w:vAlign w:val="top"/>
          </w:tcPr>
          <w:p>
            <w:pPr>
              <w:spacing w:after="60" w:line="235" w:lineRule="auto"/>
            </w:pPr>
            <w:r>
              <w:rPr>
                <w:rFonts w:ascii="DejaVu Sans" w:hAnsi="DejaVu Sans"/>
                <w:sz w:val="18"/>
              </w:rPr>
              <w:t xml:space="preserve">High entropy secrets, Keystore backed verifier, short setup window, redaction, rotation and immediate revocation. Bearer possession remains impersonation until revoked.</w:t>
            </w:r>
          </w:p>
        </w:tc>
      </w:tr>
      <w:tr>
        <w:trPr>
          <w:cantSplit/>
        </w:trPr>
        <w:tc>
          <w:tcPr>
            <w:tcW w:w="2556" w:type="dxa"/>
            <w:shd w:fill="FFFFFF"/>
            <w:vAlign w:val="top"/>
          </w:tcPr>
          <w:p>
            <w:pPr>
              <w:spacing w:after="60" w:line="235" w:lineRule="auto"/>
            </w:pPr>
            <w:r>
              <w:rPr>
                <w:rFonts w:ascii="DejaVu Sans" w:hAnsi="DejaVu Sans"/>
                <w:sz w:val="18"/>
              </w:rPr>
              <w:t xml:space="preserve">Scope escape</w:t>
            </w:r>
          </w:p>
        </w:tc>
        <w:tc>
          <w:tcPr>
            <w:tcW w:w="7668" w:type="dxa"/>
            <w:shd w:fill="FFFFFF"/>
            <w:vAlign w:val="top"/>
          </w:tcPr>
          <w:p>
            <w:pPr>
              <w:spacing w:after="60" w:line="235" w:lineRule="auto"/>
            </w:pPr>
            <w:r>
              <w:rPr>
                <w:rFonts w:ascii="DejaVu Sans" w:hAnsi="DejaVu Sans"/>
                <w:sz w:val="18"/>
              </w:rPr>
              <w:t xml:space="preserve">Resolve exact resources, schema hashes and owned handles. Generic and raw Binder calls use the same per-client gate, bounded marshalling and service identity checks; no unvalidated pointer or SQL pass-through.</w:t>
            </w:r>
          </w:p>
        </w:tc>
      </w:tr>
      <w:tr>
        <w:trPr>
          <w:cantSplit/>
        </w:trPr>
        <w:tc>
          <w:tcPr>
            <w:tcW w:w="2556" w:type="dxa"/>
            <w:shd w:fill="FFFFFF"/>
            <w:vAlign w:val="top"/>
          </w:tcPr>
          <w:p>
            <w:pPr>
              <w:spacing w:after="60" w:line="235" w:lineRule="auto"/>
            </w:pPr>
            <w:r>
              <w:rPr>
                <w:rFonts w:ascii="DejaVu Sans" w:hAnsi="DejaVu Sans"/>
                <w:sz w:val="18"/>
              </w:rPr>
              <w:t xml:space="preserve">Revocation race</w:t>
            </w:r>
          </w:p>
        </w:tc>
        <w:tc>
          <w:tcPr>
            <w:tcW w:w="7668" w:type="dxa"/>
            <w:shd w:fill="FFFFFF"/>
            <w:vAlign w:val="top"/>
          </w:tcPr>
          <w:p>
            <w:pPr>
              <w:spacing w:after="60" w:line="235" w:lineRule="auto"/>
            </w:pPr>
            <w:r>
              <w:rPr>
                <w:rFonts w:ascii="DejaVu Sans" w:hAnsi="DejaVu Sans"/>
                <w:sz w:val="18"/>
              </w:rPr>
              <w:t xml:space="preserve">Serialized admission boundary, revision recheck, invalidated approvals, canceled streams and no stale replay. Cannot undo a previously dispatched external effect.</w:t>
            </w:r>
          </w:p>
        </w:tc>
      </w:tr>
      <w:tr>
        <w:trPr>
          <w:cantSplit/>
        </w:trPr>
        <w:tc>
          <w:tcPr>
            <w:tcW w:w="2556" w:type="dxa"/>
            <w:shd w:fill="FFFFFF"/>
            <w:vAlign w:val="top"/>
          </w:tcPr>
          <w:p>
            <w:pPr>
              <w:spacing w:after="60" w:line="235" w:lineRule="auto"/>
            </w:pPr>
            <w:r>
              <w:rPr>
                <w:rFonts w:ascii="DejaVu Sans" w:hAnsi="DejaVu Sans"/>
                <w:sz w:val="18"/>
              </w:rPr>
              <w:t xml:space="preserve">Memory or Binder denial of service</w:t>
            </w:r>
          </w:p>
        </w:tc>
        <w:tc>
          <w:tcPr>
            <w:tcW w:w="7668" w:type="dxa"/>
            <w:shd w:fill="FFFFFF"/>
            <w:vAlign w:val="top"/>
          </w:tcPr>
          <w:p>
            <w:pPr>
              <w:spacing w:after="60" w:line="235" w:lineRule="auto"/>
            </w:pPr>
            <w:r>
              <w:rPr>
                <w:rFonts w:ascii="DejaVu Sans" w:hAnsi="DejaVu Sans"/>
                <w:sz w:val="18"/>
              </w:rPr>
              <w:t xml:space="preserve">Bound request sizes, nested JSON, concurrent calls, pending approvals, output and event buffers. Use deadlines and bounded worker pools, not UI or Binder thread blocking.</w:t>
            </w:r>
          </w:p>
        </w:tc>
      </w:tr>
      <w:tr>
        <w:trPr>
          <w:cantSplit/>
        </w:trPr>
        <w:tc>
          <w:tcPr>
            <w:tcW w:w="2556" w:type="dxa"/>
            <w:shd w:fill="FFFFFF"/>
            <w:vAlign w:val="top"/>
          </w:tcPr>
          <w:p>
            <w:pPr>
              <w:spacing w:after="60" w:line="235" w:lineRule="auto"/>
            </w:pPr>
            <w:r>
              <w:rPr>
                <w:rFonts w:ascii="DejaVu Sans" w:hAnsi="DejaVu Sans"/>
                <w:sz w:val="18"/>
              </w:rPr>
              <w:t xml:space="preserve">Backup or diagnostic leakage</w:t>
            </w:r>
          </w:p>
        </w:tc>
        <w:tc>
          <w:tcPr>
            <w:tcW w:w="7668" w:type="dxa"/>
            <w:shd w:fill="FFFFFF"/>
            <w:vAlign w:val="top"/>
          </w:tcPr>
          <w:p>
            <w:pPr>
              <w:spacing w:after="60" w:line="235" w:lineRule="auto"/>
            </w:pPr>
            <w:r>
              <w:rPr>
                <w:rFonts w:ascii="DejaVu Sans" w:hAnsi="DejaVu Sans"/>
                <w:sz w:val="18"/>
              </w:rPr>
              <w:t xml:space="preserve">Private app storage, protected exports, no secrets or raw-payload logging, disabled clients after restore and opt in redacted diagnostics.</w:t>
            </w:r>
          </w:p>
        </w:tc>
      </w:tr>
      <w:tr>
        <w:trPr>
          <w:cantSplit/>
        </w:trPr>
        <w:tc>
          <w:tcPr>
            <w:tcW w:w="2556" w:type="dxa"/>
            <w:shd w:fill="FFFFFF"/>
            <w:vAlign w:val="top"/>
          </w:tcPr>
          <w:p>
            <w:pPr>
              <w:spacing w:after="60" w:line="235" w:lineRule="auto"/>
            </w:pPr>
            <w:r>
              <w:rPr>
                <w:rFonts w:ascii="DejaVu Sans" w:hAnsi="DejaVu Sans"/>
                <w:sz w:val="18"/>
              </w:rPr>
              <w:t xml:space="preserve">Database tampering or downgrade</w:t>
            </w:r>
          </w:p>
        </w:tc>
        <w:tc>
          <w:tcPr>
            <w:tcW w:w="7668" w:type="dxa"/>
            <w:shd w:fill="FFFFFF"/>
            <w:vAlign w:val="top"/>
          </w:tcPr>
          <w:p>
            <w:pPr>
              <w:spacing w:after="60" w:line="235" w:lineRule="auto"/>
            </w:pPr>
            <w:r>
              <w:rPr>
                <w:rFonts w:ascii="DejaVu Sans" w:hAnsi="DejaVu Sans"/>
                <w:sz w:val="18"/>
              </w:rPr>
              <w:t xml:space="preserve">Constrained schema, integrity checks, version checks and fail closed restore. App sandbox is the baseline; full OS compromise is not solved by these checks.</w:t>
            </w:r>
          </w:p>
        </w:tc>
      </w:tr>
    </w:tbl>
    <w:p>
      <w:pPr>
        <w:spacing w:after="90" w:line="260" w:lineRule="auto"/>
      </w:pPr>
    </w:p>
    <w:p>
      <w:pPr>
        <w:pStyle w:val="Heading2"/>
        <w:keepNext/>
        <w:spacing w:after="90" w:line="260" w:lineRule="auto"/>
      </w:pPr>
      <w:r>
        <w:rPr>
          <w:rFonts w:ascii="DejaVu Sans" w:hAnsi="DejaVu Sans"/>
          <w:b/>
          <w:sz w:val="25"/>
        </w:rPr>
        <w:t xml:space="preserve">Logging and data retention</w:t>
      </w:r>
    </w:p>
    <w:p>
      <w:pPr>
        <w:spacing w:after="90" w:line="260" w:lineRule="auto"/>
      </w:pPr>
      <w:r>
        <w:rPr>
          <w:rFonts w:ascii="DejaVu Sans" w:hAnsi="DejaVu Sans"/>
          <w:sz w:val="21"/>
        </w:rPr>
        <w:t xml:space="preserve">Log opaque execution and client IDs, tool name, decision category, reason code, policy revision, latency and sanitized outcome. Never log Authorization headers, pairing secrets, full arguments, content URIs, contact names, document contents, raw Binder exceptions or SSE payloads. A request digest may itself enable correlation; retain only when needed, preferably keyed, and do not treat it as anonymous data.</w:t>
      </w:r>
    </w:p>
    <w:p>
      <w:pPr>
        <w:spacing w:after="90" w:line="260" w:lineRule="auto"/>
      </w:pPr>
      <w:r>
        <w:rPr>
          <w:rFonts w:ascii="DejaVu Sans" w:hAnsi="DejaVu Sans"/>
          <w:sz w:val="21"/>
        </w:rPr>
        <w:t xml:space="preserve">Optional call logging follows Section 14, with Off, Metadata and expiring Redacted diagnostic modes. Suggested mandatory audit default: 7 days of local redacted audit metadata and a fixed storage cap with owner controlled deletion. Configuration change audit should be durable; if it cannot be recorded, reject that mutation. For tool dispatch, failure to record admission fails closed. Logging is not tamper proof against full app compromise. Metrics and support exports are opt in and previewed before sharing.</w:t>
      </w:r>
    </w:p>
    <w:p>
      <w:pPr>
        <w:pStyle w:val="Heading1"/>
        <w:keepNext/>
        <w:spacing w:after="90" w:line="260" w:lineRule="auto"/>
      </w:pPr>
      <w:r>
        <w:rPr>
          <w:rFonts w:ascii="DejaVu Sans" w:hAnsi="DejaVu Sans"/>
          <w:b/>
          <w:sz w:val="30"/>
        </w:rPr>
        <w:t xml:space="preserve">14 Configurable call logging per client</w:t>
      </w:r>
    </w:p>
    <w:p>
      <w:pPr>
        <w:spacing w:after="90" w:line="260" w:lineRule="auto"/>
      </w:pPr>
      <w:r>
        <w:rPr>
          <w:rFonts w:ascii="DejaVu Sans" w:hAnsi="DejaVu Sans"/>
          <w:sz w:val="21"/>
        </w:rPr>
        <w:t xml:space="preserve">The local owner configures optional call logging independently for every authenticated client. Off means no optional call records, not zero security records: the minimal permission, revocation and execution-admission audit remains mandatory. A remote client cannot enable its own diagnostics, change retention or export logs.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Mode</w:t>
            </w:r>
          </w:p>
        </w:tc>
        <w:tc>
          <w:tcPr>
            <w:tcW w:w="7668" w:type="dxa"/>
            <w:shd w:fill="E4EDF5"/>
            <w:vAlign w:val="top"/>
          </w:tcPr>
          <w:p>
            <w:pPr>
              <w:spacing w:after="60" w:line="235" w:lineRule="auto"/>
            </w:pPr>
            <w:r>
              <w:rPr>
                <w:rFonts w:ascii="DejaVu Sans" w:hAnsi="DejaVu Sans"/>
                <w:b/>
                <w:sz w:val="18"/>
              </w:rPr>
              <w:t xml:space="preserve">Captured data and limits</w:t>
            </w:r>
          </w:p>
        </w:tc>
      </w:tr>
      <w:tr>
        <w:trPr>
          <w:cantSplit/>
        </w:trPr>
        <w:tc>
          <w:tcPr>
            <w:tcW w:w="2556" w:type="dxa"/>
            <w:shd w:fill="FFFFFF"/>
            <w:vAlign w:val="top"/>
          </w:tcPr>
          <w:p>
            <w:pPr>
              <w:spacing w:after="60" w:line="235" w:lineRule="auto"/>
            </w:pPr>
            <w:r>
              <w:rPr>
                <w:rFonts w:ascii="DejaVu Sans" w:hAnsi="DejaVu Sans"/>
                <w:sz w:val="18"/>
              </w:rPr>
              <w:t xml:space="preserve">Off</w:t>
            </w:r>
          </w:p>
        </w:tc>
        <w:tc>
          <w:tcPr>
            <w:tcW w:w="7668" w:type="dxa"/>
            <w:shd w:fill="FFFFFF"/>
            <w:vAlign w:val="top"/>
          </w:tcPr>
          <w:p>
            <w:pPr>
              <w:spacing w:after="60" w:line="235" w:lineRule="auto"/>
            </w:pPr>
            <w:r>
              <w:rPr>
                <w:rFonts w:ascii="DejaVu Sans" w:hAnsi="DejaVu Sans"/>
                <w:sz w:val="18"/>
              </w:rPr>
              <w:t xml:space="preserve">No optional call records. Mandatory minimal security/admission audit still applies.</w:t>
            </w:r>
          </w:p>
        </w:tc>
      </w:tr>
      <w:tr>
        <w:trPr>
          <w:cantSplit/>
        </w:trPr>
        <w:tc>
          <w:tcPr>
            <w:tcW w:w="2556" w:type="dxa"/>
            <w:shd w:fill="FFFFFF"/>
            <w:vAlign w:val="top"/>
          </w:tcPr>
          <w:p>
            <w:pPr>
              <w:spacing w:after="60" w:line="235" w:lineRule="auto"/>
            </w:pPr>
            <w:r>
              <w:rPr>
                <w:rFonts w:ascii="DejaVu Sans" w:hAnsi="DejaVu Sans"/>
                <w:sz w:val="18"/>
              </w:rPr>
              <w:t xml:space="preserve">Metadata default</w:t>
            </w:r>
          </w:p>
        </w:tc>
        <w:tc>
          <w:tcPr>
            <w:tcW w:w="7668" w:type="dxa"/>
            <w:shd w:fill="FFFFFF"/>
            <w:vAlign w:val="top"/>
          </w:tcPr>
          <w:p>
            <w:pPr>
              <w:spacing w:after="60" w:line="235" w:lineRule="auto"/>
            </w:pPr>
            <w:r>
              <w:rPr>
                <w:rFonts w:ascii="DejaVu Sans" w:hAnsi="DejaVu Sans"/>
                <w:sz w:val="18"/>
              </w:rPr>
              <w:t xml:space="preserve">Server-generated call ID, client ID, tool/backend ID, timestamps, duration, bounded decision/outcome code and revision numbers. No headers, targets, argument values or free-text errors.</w:t>
            </w:r>
          </w:p>
        </w:tc>
      </w:tr>
      <w:tr>
        <w:trPr>
          <w:cantSplit/>
        </w:trPr>
        <w:tc>
          <w:tcPr>
            <w:tcW w:w="2556" w:type="dxa"/>
            <w:shd w:fill="FFFFFF"/>
            <w:vAlign w:val="top"/>
          </w:tcPr>
          <w:p>
            <w:pPr>
              <w:spacing w:after="60" w:line="235" w:lineRule="auto"/>
            </w:pPr>
            <w:r>
              <w:rPr>
                <w:rFonts w:ascii="DejaVu Sans" w:hAnsi="DejaVu Sans"/>
                <w:sz w:val="18"/>
              </w:rPr>
              <w:t xml:space="preserve">Redacted diagnostic</w:t>
            </w:r>
          </w:p>
        </w:tc>
        <w:tc>
          <w:tcPr>
            <w:tcW w:w="7668" w:type="dxa"/>
            <w:shd w:fill="FFFFFF"/>
            <w:vAlign w:val="top"/>
          </w:tcPr>
          <w:p>
            <w:pPr>
              <w:spacing w:after="60" w:line="235" w:lineRule="auto"/>
            </w:pPr>
            <w:r>
              <w:rPr>
                <w:rFonts w:ascii="DejaVu Sans" w:hAnsi="DejaVu Sans"/>
                <w:sz w:val="18"/>
              </w:rPr>
              <w:t xml:space="preserve">Explicit per-client, time-limited opt-in. Add only adapter-defined, schema-validated derived fields such as counts, enum state and rounded timings. Redact before buffering. Never raw arguments, full results, screenshots, UI text, credentials, shell text or Binder parcels.</w:t>
            </w:r>
          </w:p>
        </w:tc>
      </w:tr>
    </w:tbl>
    <w:p>
      <w:pPr>
        <w:spacing w:after="90" w:line="260" w:lineRule="auto"/>
      </w:pPr>
    </w:p>
    <w:p>
      <w:pPr>
        <w:pStyle w:val="Heading2"/>
        <w:keepNext/>
        <w:spacing w:after="90" w:line="260" w:lineRule="auto"/>
      </w:pPr>
      <w:r>
        <w:rPr>
          <w:rFonts w:ascii="DejaVu Sans" w:hAnsi="DejaVu Sans"/>
          <w:b/>
          <w:sz w:val="25"/>
        </w:rPr>
        <w:t xml:space="preserve">Logging tab and owner controls</w:t>
      </w:r>
    </w:p>
    <w:p>
      <w:pPr>
        <w:spacing w:after="90" w:line="260" w:lineRule="auto"/>
      </w:pPr>
      <w:r>
        <w:rPr>
          <w:rFonts w:ascii="DejaVu Sans" w:hAnsi="DejaVu Sans"/>
          <w:sz w:val="21"/>
        </w:rPr>
        <w:t xml:space="preserve">Clients &gt; selected client &gt; Logging shows mode, diagnostic expiry, retention, storage used/cap, per-record cap and dropped-record count. Proposed defaults: Metadata, 7-day retention, 10 MiB per client, 100 MiB total and a 4 KiB maximum diagnostic projection; a diagnostic session expires after 15 minutes. These are tunable design defaults, always bounded by global limits. Show a preview of the exact fields each tool may record before enabling diagnostics.</w:t>
      </w:r>
    </w:p>
    <w:p>
      <w:pPr>
        <w:spacing w:after="90" w:line="260" w:lineRule="auto"/>
      </w:pPr>
      <w:r>
        <w:rPr>
          <w:rFonts w:ascii="DejaVu Sans" w:hAnsi="DejaVu Sans"/>
          <w:sz w:val="21"/>
        </w:rPr>
        <w:t xml:space="preserve">Apply uses expected logging_revision, with the same draft/review/conflict experience as permissions. Pause stops future optional capture without deleting history. Purge optional logs deletes this client’s optional records and queued projections, not the security audit. Export is an explicit local-owner action over a bounded, redacted snapshot; warn that exported copies are outside later expiry or purge enforcement. RemoteControl and ADB input must not trigger these controls.</w:t>
      </w:r>
    </w:p>
    <w:p>
      <w:pPr>
        <w:pStyle w:val="Heading2"/>
        <w:keepNext/>
        <w:spacing w:after="90" w:line="260" w:lineRule="auto"/>
      </w:pPr>
      <w:r>
        <w:rPr>
          <w:rFonts w:ascii="DejaVu Sans" w:hAnsi="DejaVu Sans"/>
          <w:b/>
          <w:sz w:val="25"/>
        </w:rPr>
        <w:t xml:space="preserve">SQLite extension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invariants</w:t>
            </w:r>
          </w:p>
        </w:tc>
      </w:tr>
      <w:tr>
        <w:trPr>
          <w:cantSplit/>
        </w:trPr>
        <w:tc>
          <w:tcPr>
            <w:tcW w:w="2556" w:type="dxa"/>
            <w:shd w:fill="FFFFFF"/>
            <w:vAlign w:val="top"/>
          </w:tcPr>
          <w:p>
            <w:pPr>
              <w:spacing w:after="60" w:line="235" w:lineRule="auto"/>
            </w:pPr>
            <w:r>
              <w:rPr>
                <w:rFonts w:ascii="DejaVu Sans" w:hAnsi="DejaVu Sans"/>
                <w:sz w:val="18"/>
              </w:rPr>
              <w:t xml:space="preserve">client_logging_config / PK client_id</w:t>
            </w:r>
          </w:p>
        </w:tc>
        <w:tc>
          <w:tcPr>
            <w:tcW w:w="7668" w:type="dxa"/>
            <w:shd w:fill="FFFFFF"/>
            <w:vAlign w:val="top"/>
          </w:tcPr>
          <w:p>
            <w:pPr>
              <w:spacing w:after="60" w:line="235" w:lineRule="auto"/>
            </w:pPr>
            <w:r>
              <w:rPr>
                <w:rFonts w:ascii="DejaVu Sans" w:hAnsi="DejaVu Sans"/>
                <w:sz w:val="18"/>
              </w:rPr>
              <w:t xml:space="preserve">FK clients CASCADE; mode CHECK off/metadata/diagnostic; paused CHECK 0/1; logging_revision &gt;= 1; retention_seconds &gt;= 0; byte_quota &gt;= 0; record_byte_cap &gt;= 0; diagnostic_expires_at nullable; diagnostic_boot_id nullable; redaction_profile_version; updated_at. Diagnostic expires on restart.</w:t>
            </w:r>
          </w:p>
        </w:tc>
      </w:tr>
      <w:tr>
        <w:trPr>
          <w:cantSplit/>
        </w:trPr>
        <w:tc>
          <w:tcPr>
            <w:tcW w:w="2556" w:type="dxa"/>
            <w:shd w:fill="FFFFFF"/>
            <w:vAlign w:val="top"/>
          </w:tcPr>
          <w:p>
            <w:pPr>
              <w:spacing w:after="60" w:line="235" w:lineRule="auto"/>
            </w:pPr>
            <w:r>
              <w:rPr>
                <w:rFonts w:ascii="DejaVu Sans" w:hAnsi="DejaVu Sans"/>
                <w:sz w:val="18"/>
              </w:rPr>
              <w:t xml:space="preserve">client_call_logs / PK log_id</w:t>
            </w:r>
          </w:p>
        </w:tc>
        <w:tc>
          <w:tcPr>
            <w:tcW w:w="7668" w:type="dxa"/>
            <w:shd w:fill="FFFFFF"/>
            <w:vAlign w:val="top"/>
          </w:tcPr>
          <w:p>
            <w:pPr>
              <w:spacing w:after="60" w:line="235" w:lineRule="auto"/>
            </w:pPr>
            <w:r>
              <w:rPr>
                <w:rFonts w:ascii="DejaVu Sans" w:hAnsi="DejaVu Sans"/>
                <w:sz w:val="18"/>
              </w:rPr>
              <w:t xml:space="preserve">client_id FK clients CASCADE; call_id; tool_id; backend_kind; started_at; finished_at nullable; decision_code; outcome_code; policy_revision; logging_revision; expires_at; size_bytes &gt;= 0; payload_ciphertext nullable; key_alias nullable. No raw payload columns.</w:t>
            </w:r>
          </w:p>
        </w:tc>
      </w:tr>
      <w:tr>
        <w:trPr>
          <w:cantSplit/>
        </w:trPr>
        <w:tc>
          <w:tcPr>
            <w:tcW w:w="2556" w:type="dxa"/>
            <w:shd w:fill="FFFFFF"/>
            <w:vAlign w:val="top"/>
          </w:tcPr>
          <w:p>
            <w:pPr>
              <w:spacing w:after="60" w:line="235" w:lineRule="auto"/>
            </w:pPr>
            <w:r>
              <w:rPr>
                <w:rFonts w:ascii="DejaVu Sans" w:hAnsi="DejaVu Sans"/>
                <w:sz w:val="18"/>
              </w:rPr>
              <w:t xml:space="preserve">logging_counters / PK client_id</w:t>
            </w:r>
          </w:p>
        </w:tc>
        <w:tc>
          <w:tcPr>
            <w:tcW w:w="7668" w:type="dxa"/>
            <w:shd w:fill="FFFFFF"/>
            <w:vAlign w:val="top"/>
          </w:tcPr>
          <w:p>
            <w:pPr>
              <w:spacing w:after="60" w:line="235" w:lineRule="auto"/>
            </w:pPr>
            <w:r>
              <w:rPr>
                <w:rFonts w:ascii="DejaVu Sans" w:hAnsi="DejaVu Sans"/>
                <w:sz w:val="18"/>
              </w:rPr>
              <w:t xml:space="preserve">FK clients CASCADE; optional_dropped_count &gt;= 0; quota_dropped_count &gt;= 0; last_drop_at nullable. Bounded aggregate counters, not one error row per failed log write.</w:t>
            </w:r>
          </w:p>
        </w:tc>
      </w:tr>
    </w:tbl>
    <w:p>
      <w:pPr>
        <w:spacing w:after="90" w:line="260" w:lineRule="auto"/>
      </w:pPr>
    </w:p>
    <w:p>
      <w:pPr>
        <w:spacing w:after="90" w:line="260" w:lineRule="auto"/>
      </w:pPr>
      <w:r>
        <w:rPr>
          <w:rFonts w:ascii="DejaVu Sans" w:hAnsi="DejaVu Sans"/>
          <w:sz w:val="21"/>
        </w:rPr>
        <w:t xml:space="preserve">Index client_call_logs(client_id, started_at), client_call_logs(expires_at) and client_call_logs(client_id, expires_at). Enforce each client quota and the global budget in the writer transaction; expire/evict oldest eligible optional records before rejecting new optional records. Keep a reserved, bounded budget for required security audit. Do not let a diagnostic flood consume all device storage.</w:t>
      </w:r>
    </w:p>
    <w:p>
      <w:pPr>
        <w:pStyle w:val="Heading1"/>
        <w:keepNext/>
        <w:spacing w:after="90" w:line="260" w:lineRule="auto"/>
      </w:pPr>
      <w:r>
        <w:rPr>
          <w:rFonts w:ascii="DejaVu Sans" w:hAnsi="DejaVu Sans"/>
          <w:b/>
          <w:sz w:val="30"/>
        </w:rPr>
        <w:t xml:space="preserve">Logging lifecycle and failure semantics</w:t>
      </w:r>
    </w:p>
    <w:p>
      <w:pPr>
        <w:spacing w:after="90" w:line="260" w:lineRule="auto"/>
      </w:pPr>
      <w:r>
        <w:rPr>
          <w:rFonts w:ascii="DejaVu Sans" w:hAnsi="DejaVu Sans"/>
          <w:sz w:val="21"/>
        </w:rPr>
        <w:t xml:space="preserve">Keep logging_revision separate from authorization policy_revision. Ordinary logging changes do not broaden tool authority or invalidate otherwise unchanged Ask approvals. At request admission, capture the permitted logging ceiling; before every optional emission and commit, intersect that ceiling with current client settings and current global limits.</w:t>
      </w:r>
    </w:p>
    <w:p>
      <w:pPr>
        <w:shd w:fill="F2F6FA"/>
        <w:spacing w:after="0" w:line="220" w:lineRule="auto"/>
      </w:pPr>
      <w:r>
        <w:rPr>
          <w:rFonts w:ascii="DejaVu Sans Mono" w:hAnsi="DejaVu Sans Mono"/>
          <w:sz w:val="18"/>
        </w:rPr>
        <w:t xml:space="preserve">effectiveCapture = admissionLoggingCeiling</w:t>
      </w:r>
    </w:p>
    <w:p>
      <w:pPr>
        <w:shd w:fill="F2F6FA"/>
        <w:spacing w:after="0" w:line="220" w:lineRule="auto"/>
      </w:pPr>
      <w:r>
        <w:rPr>
          <w:rFonts w:ascii="DejaVu Sans Mono" w:hAnsi="DejaVu Sans Mono"/>
          <w:sz w:val="18"/>
        </w:rPr>
        <w:t xml:space="preserve">                   INTERSECT currentClientLoggingConfig</w:t>
      </w:r>
    </w:p>
    <w:p>
      <w:pPr>
        <w:shd w:fill="F2F6FA"/>
        <w:spacing w:after="0" w:line="220" w:lineRule="auto"/>
      </w:pPr>
      <w:r>
        <w:rPr>
          <w:rFonts w:ascii="DejaVu Sans Mono" w:hAnsi="DejaVu Sans Mono"/>
          <w:sz w:val="18"/>
        </w:rPr>
        <w:t xml:space="preserve">                   INTERSECT currentGlobalLimits</w:t>
      </w:r>
    </w:p>
    <w:p>
      <w:pPr>
        <w:shd w:fill="F2F6FA"/>
        <w:spacing w:after="0" w:line="220" w:lineRule="auto"/>
      </w:pPr>
      <w:r>
        <w:rPr>
          <w:rFonts w:ascii="DejaVu Sans Mono" w:hAnsi="DejaVu Sans Mono"/>
          <w:sz w:val="18"/>
        </w:rPr>
        <w:t xml:space="preserve">// Enabling more capture affects new calls only.</w:t>
      </w:r>
    </w:p>
    <w:p>
      <w:pPr>
        <w:shd w:fill="F2F6FA"/>
        <w:spacing w:after="0" w:line="220" w:lineRule="auto"/>
      </w:pPr>
      <w:r>
        <w:rPr>
          <w:rFonts w:ascii="DejaVu Sans Mono" w:hAnsi="DejaVu Sans Mono"/>
          <w:sz w:val="18"/>
        </w:rPr>
        <w:t xml:space="preserve">// Reductions, expiry and revocation affect queued writes immediately.</w:t>
      </w:r>
    </w:p>
    <w:p>
      <w:pPr>
        <w:spacing w:after="90" w:line="260" w:lineRule="auto"/>
      </w:pPr>
      <w:r>
        <w:rPr>
          <w:rFonts w:ascii="DejaVu Sans" w:hAnsi="DejaVu Sans"/>
          <w:sz w:val="21"/>
        </w:rPr>
        <w:t xml:space="preserve">Enabling diagnostics during a call never reconstructs prior inputs or expands that call’s captured fields. Pausing, lowering the level, diagnostic expiry or client revocation suppresses further optional capture and discards now-disallowed buffers. Serialize queued writes against logging reductions so a stale snapshot cannot commit afterward. Shorter retention also reduces expiry of existing records; longer retention does not silently extend their original expiry.</w:t>
      </w:r>
    </w:p>
    <w:p>
      <w:pPr>
        <w:pStyle w:val="Heading2"/>
        <w:keepNext/>
        <w:spacing w:after="90" w:line="260" w:lineRule="auto"/>
      </w:pPr>
      <w:r>
        <w:rPr>
          <w:rFonts w:ascii="DejaVu Sans" w:hAnsi="DejaVu Sans"/>
          <w:b/>
          <w:sz w:val="25"/>
        </w:rPr>
        <w:t xml:space="preserve">Security and data handling</w:t>
      </w:r>
    </w:p>
    <w:p>
      <w:pPr>
        <w:numPr>
          <w:ilvl w:val="0"/>
          <w:numId w:val="1001"/>
        </w:numPr>
        <w:spacing w:after="90" w:line="260" w:lineRule="auto"/>
      </w:pPr>
      <w:r>
        <w:rPr>
          <w:rFonts w:ascii="DejaVu Sans" w:hAnsi="DejaVu Sans"/>
          <w:sz w:val="21"/>
        </w:rPr>
        <w:t xml:space="preserve">Encrypt diagnostic projections with keys protected by Android Keystore. Use an independently destroyable per-client log-domain key if cryptographic deletion is required. Never reuse the mandatory-audit key for optional-log deletion. Plain SQLite is not encryption.</w:t>
      </w:r>
    </w:p>
    <w:p>
      <w:pPr>
        <w:numPr>
          <w:ilvl w:val="0"/>
          <w:numId w:val="1001"/>
        </w:numPr>
        <w:spacing w:after="90" w:line="260" w:lineRule="auto"/>
      </w:pPr>
      <w:r>
        <w:rPr>
          <w:rFonts w:ascii="DejaVu Sans" w:hAnsi="DejaVu Sans"/>
          <w:sz w:val="21"/>
        </w:rPr>
        <w:t xml:space="preserve">Adapter-defined allowlists are primary; regex redaction is only a secondary defense. Credentials, authorization headers, pairing codes, ADB private keys, target runtime tokens, clipboard/text input, UI text, file contents and screen images are always excluded, even when diagnostics are enabled.</w:t>
      </w:r>
    </w:p>
    <w:p>
      <w:pPr>
        <w:numPr>
          <w:ilvl w:val="0"/>
          <w:numId w:val="1001"/>
        </w:numPr>
        <w:spacing w:after="90" w:line="260" w:lineRule="auto"/>
      </w:pPr>
      <w:r>
        <w:rPr>
          <w:rFonts w:ascii="DejaVu Sans" w:hAnsi="DejaVu Sans"/>
          <w:sz w:val="21"/>
        </w:rPr>
        <w:t xml:space="preserve">Known authenticated denied calls may be attributed to that client and logged according to its settings, without denied argument values. Unauthenticated attempts have no trustworthy client ownership: use a separate rate-limited security aggregate, never an attacker-supplied client ID.</w:t>
      </w:r>
    </w:p>
    <w:p>
      <w:pPr>
        <w:numPr>
          <w:ilvl w:val="0"/>
          <w:numId w:val="1001"/>
        </w:numPr>
        <w:spacing w:after="90" w:line="260" w:lineRule="auto"/>
      </w:pPr>
      <w:r>
        <w:rPr>
          <w:rFonts w:ascii="DejaVu Sans" w:hAnsi="DejaVu Sans"/>
          <w:sz w:val="21"/>
        </w:rPr>
        <w:t xml:space="preserve">Log admitted, dispatched, completed, failed, canceled and outcome unknown distinctly. Admission does not prove a side effect happened. Extend executions.state with dispatched and record dispatch time when observable; process death can still make the true outcome unknown.</w:t>
      </w:r>
    </w:p>
    <w:p>
      <w:pPr>
        <w:pStyle w:val="Heading2"/>
        <w:keepNext/>
        <w:spacing w:after="90" w:line="260" w:lineRule="auto"/>
      </w:pPr>
      <w:r>
        <w:rPr>
          <w:rFonts w:ascii="DejaVu Sans" w:hAnsi="DejaVu Sans"/>
          <w:b/>
          <w:sz w:val="25"/>
        </w:rPr>
        <w:t xml:space="preserve">Failure and deletion behavior</w:t>
      </w:r>
    </w:p>
    <w:p>
      <w:pPr>
        <w:spacing w:after="90" w:line="260" w:lineRule="auto"/>
      </w:pPr>
      <w:r>
        <w:rPr>
          <w:rFonts w:ascii="DejaVu Sans" w:hAnsi="DejaVu Sans"/>
          <w:sz w:val="21"/>
        </w:rPr>
        <w:t xml:space="preserve">Optional logger failures drop bounded optional records and increment aggregate counters; they neither permit a denied action nor block an already authorized action merely to preserve diagnostics. Required pre-dispatch admission-audit failure remains fail closed for all execution admissions. A completion-audit failure after an irreversible effect cannot undo that effect: report the audit gap/unknown status and never reexecute solely to obtain a log.</w:t>
      </w:r>
    </w:p>
    <w:p>
      <w:pPr>
        <w:spacing w:after="90" w:line="260" w:lineRule="auto"/>
      </w:pPr>
      <w:r>
        <w:rPr>
          <w:rFonts w:ascii="DejaVu Sans" w:hAnsi="DejaVu Sans"/>
          <w:sz w:val="21"/>
        </w:rPr>
        <w:t xml:space="preserve">Purge must clear queued projections, committed rows, indexes/caches and prepared local exports. Ordinary SQLite deletion does not guarantee immediate physical erasure from WAL files, backups or flash storage. Checkpoint/vacuum policies and independently destroyable encryption keys address different risks; do not promise secure erasure without evidence.</w:t>
      </w:r>
    </w:p>
    <w:p>
      <w:pPr>
        <w:pStyle w:val="Heading2"/>
        <w:keepNext/>
        <w:spacing w:after="90" w:line="260" w:lineRule="auto"/>
      </w:pPr>
      <w:r>
        <w:rPr>
          <w:rFonts w:ascii="DejaVu Sans" w:hAnsi="DejaVu Sans"/>
          <w:b/>
          <w:sz w:val="25"/>
        </w:rPr>
        <w:t xml:space="preserve">Logging acceptance checks</w:t>
      </w:r>
    </w:p>
    <w:p>
      <w:pPr>
        <w:spacing w:after="90" w:line="260" w:lineRule="auto"/>
      </w:pPr>
      <w:r>
        <w:rPr>
          <w:rFonts w:ascii="DejaVu Sans" w:hAnsi="DejaVu Sans"/>
          <w:sz w:val="21"/>
        </w:rPr>
        <w:t xml:space="preserve">Test client isolation; Off-to-diagnostic during a call; diagnostic-to-Off/expiry/revocation racing a queued write; secret canaries; per-client/global quota pressure; retention shortening; export review; purge versus mandatory audit; disk-full drop counting; and post-effect audit failure without duplicate execution.</w:t>
      </w:r>
    </w:p>
    <w:p>
      <w:pPr>
        <w:pStyle w:val="Heading1"/>
        <w:keepNext/>
        <w:spacing w:after="90" w:line="260" w:lineRule="auto"/>
      </w:pPr>
      <w:r>
        <w:rPr>
          <w:rFonts w:ascii="DejaVu Sans" w:hAnsi="DejaVu Sans"/>
          <w:b/>
          <w:sz w:val="30"/>
        </w:rPr>
        <w:t xml:space="preserve">15 Authorized ADB execution architecture</w:t>
      </w:r>
    </w:p>
    <w:p>
      <w:pPr>
        <w:spacing w:after="90" w:line="260" w:lineRule="auto"/>
      </w:pPr>
      <w:r>
        <w:rPr>
          <w:rFonts w:ascii="DejaVu Sans" w:hAnsi="DejaVu Sans"/>
          <w:sz w:val="21"/>
        </w:rPr>
        <w:t xml:space="preserve">The primary arbitrary-app control path is App A agent -&gt; authenticated MCP bridge -&gt; typed ADB adapter -&gt; owner-paired adbd -&gt; the visible UI of App B. App B does not need Avalonia or embedded instrumentation for on-demand screen.state and input.tap operations. Optional UI hierarchy is a separately permissioned capability, not a prerequisite. This is reusable visible-UI access, not private-data access or full debugging of every application.</w:t>
      </w:r>
    </w:p>
    <w:p>
      <w:pPr>
        <w:pStyle w:val="Heading2"/>
        <w:keepNext/>
        <w:spacing w:after="90" w:line="260" w:lineRule="auto"/>
      </w:pPr>
      <w:r>
        <w:rPr>
          <w:rFonts w:ascii="DejaVu Sans" w:hAnsi="DejaVu Sans"/>
          <w:b/>
          <w:sz w:val="25"/>
        </w:rPr>
        <w:t xml:space="preserve">Three distinct backend modes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Mode</w:t>
            </w:r>
          </w:p>
        </w:tc>
        <w:tc>
          <w:tcPr>
            <w:tcW w:w="7668" w:type="dxa"/>
            <w:shd w:fill="E4EDF5"/>
            <w:vAlign w:val="top"/>
          </w:tcPr>
          <w:p>
            <w:pPr>
              <w:spacing w:after="60" w:line="235" w:lineRule="auto"/>
            </w:pPr>
            <w:r>
              <w:rPr>
                <w:rFonts w:ascii="DejaVu Sans" w:hAnsi="DejaVu Sans"/>
                <w:b/>
                <w:sz w:val="18"/>
              </w:rPr>
              <w:t xml:space="preserve">Connection and trust</w:t>
            </w:r>
          </w:p>
        </w:tc>
      </w:tr>
      <w:tr>
        <w:trPr>
          <w:cantSplit/>
        </w:trPr>
        <w:tc>
          <w:tcPr>
            <w:tcW w:w="2556" w:type="dxa"/>
            <w:shd w:fill="FFFFFF"/>
            <w:vAlign w:val="top"/>
          </w:tcPr>
          <w:p>
            <w:pPr>
              <w:spacing w:after="60" w:line="235" w:lineRule="auto"/>
            </w:pPr>
            <w:r>
              <w:rPr>
                <w:rFonts w:ascii="DejaVu Sans" w:hAnsi="DejaVu Sans"/>
                <w:sz w:val="18"/>
              </w:rPr>
              <w:t xml:space="preserve">Self ADB primary</w:t>
            </w:r>
          </w:p>
        </w:tc>
        <w:tc>
          <w:tcPr>
            <w:tcW w:w="7668" w:type="dxa"/>
            <w:shd w:fill="FFFFFF"/>
            <w:vAlign w:val="top"/>
          </w:tcPr>
          <w:p>
            <w:pPr>
              <w:spacing w:after="60" w:line="235" w:lineRule="auto"/>
            </w:pPr>
            <w:r>
              <w:rPr>
                <w:rFonts w:ascii="DejaVu Sans" w:hAnsi="DejaVu Sans"/>
                <w:sz w:val="18"/>
              </w:rPr>
              <w:t xml:space="preserve">An embedded/native ADB client connects from the bridge app to this device’s owner-enabled Wireless Debugging service. Android 11+ is the starting compatibility target, subject to device support. Owner explicitly enables and pairs it. LADB demonstrates feasibility, not a selected dependency or license approval. [S17, S18]</w:t>
            </w:r>
          </w:p>
        </w:tc>
      </w:tr>
      <w:tr>
        <w:trPr>
          <w:cantSplit/>
        </w:trPr>
        <w:tc>
          <w:tcPr>
            <w:tcW w:w="2556" w:type="dxa"/>
            <w:shd w:fill="FFFFFF"/>
            <w:vAlign w:val="top"/>
          </w:tcPr>
          <w:p>
            <w:pPr>
              <w:spacing w:after="60" w:line="235" w:lineRule="auto"/>
            </w:pPr>
            <w:r>
              <w:rPr>
                <w:rFonts w:ascii="DejaVu Sans" w:hAnsi="DejaVu Sans"/>
                <w:sz w:val="18"/>
              </w:rPr>
              <w:t xml:space="preserve">External ADB host</w:t>
            </w:r>
          </w:p>
        </w:tc>
        <w:tc>
          <w:tcPr>
            <w:tcW w:w="7668" w:type="dxa"/>
            <w:shd w:fill="FFFFFF"/>
            <w:vAlign w:val="top"/>
          </w:tcPr>
          <w:p>
            <w:pPr>
              <w:spacing w:after="60" w:line="235" w:lineRule="auto"/>
            </w:pPr>
            <w:r>
              <w:rPr>
                <w:rFonts w:ascii="DejaVu Sans" w:hAnsi="DejaVu Sans"/>
                <w:sz w:val="18"/>
              </w:rPr>
              <w:t xml:space="preserve">An already-authorized USB or securely paired wireless host forwards its localhost socket to a phone loopback endpoint. Keep the host ADB server and forwards local. This is separate from the same-device ADB client profile. [S19]</w:t>
            </w:r>
          </w:p>
        </w:tc>
      </w:tr>
      <w:tr>
        <w:trPr>
          <w:cantSplit/>
        </w:trPr>
        <w:tc>
          <w:tcPr>
            <w:tcW w:w="2556" w:type="dxa"/>
            <w:shd w:fill="FFFFFF"/>
            <w:vAlign w:val="top"/>
          </w:tcPr>
          <w:p>
            <w:pPr>
              <w:spacing w:after="60" w:line="235" w:lineRule="auto"/>
            </w:pPr>
            <w:r>
              <w:rPr>
                <w:rFonts w:ascii="DejaVu Sans" w:hAnsi="DejaVu Sans"/>
                <w:sz w:val="18"/>
              </w:rPr>
              <w:t xml:space="preserve">Avalonia runtime optional</w:t>
            </w:r>
          </w:p>
        </w:tc>
        <w:tc>
          <w:tcPr>
            <w:tcW w:w="7668" w:type="dxa"/>
            <w:shd w:fill="FFFFFF"/>
            <w:vAlign w:val="top"/>
          </w:tcPr>
          <w:p>
            <w:pPr>
              <w:spacing w:after="60" w:line="235" w:lineRule="auto"/>
            </w:pPr>
            <w:r>
              <w:rPr>
                <w:rFonts w:ascii="DejaVu Sans" w:hAnsi="DejaVu Sans"/>
                <w:sz w:val="18"/>
              </w:rPr>
              <w:t xml:space="preserve">A target app embeds an opted-in Avalonia.RemoteControl runtime. A new Android protocol adapter controls only its exposed Avalonia root. This specialized route is not required for arbitrary-app ADB automation. [S20]</w:t>
            </w:r>
          </w:p>
        </w:tc>
      </w:tr>
    </w:tbl>
    <w:p>
      <w:pPr>
        <w:spacing w:after="90" w:line="260" w:lineRule="auto"/>
      </w:pPr>
    </w:p>
    <w:p>
      <w:pPr>
        <w:spacing w:after="90" w:line="260" w:lineRule="auto"/>
      </w:pPr>
      <w:r>
        <w:rPr>
          <w:rFonts w:ascii="DejaVu Sans" w:hAnsi="DejaVu Sans"/>
          <w:sz w:val="21"/>
        </w:rPr>
        <w:t xml:space="preserve">MCP client identity, ADB paired-host identity and target-app identity are different principals. A paired ADB key establishes backend access, not a per-agent permission grant. Every MCP call still passes the bridge policy engine. Ordinary adbd commands use shell authority, not root and not the bridge UID. Device policy, user/profile boundaries, protected windows and platform restrictions remain upper bounds.</w:t>
      </w:r>
    </w:p>
    <w:p>
      <w:pPr>
        <w:pStyle w:val="Heading2"/>
        <w:keepNext/>
        <w:spacing w:after="90" w:line="260" w:lineRule="auto"/>
      </w:pPr>
      <w:r>
        <w:rPr>
          <w:rFonts w:ascii="DejaVu Sans" w:hAnsi="DejaVu Sans"/>
          <w:b/>
          <w:sz w:val="25"/>
        </w:rPr>
        <w:t xml:space="preserve">Pairing and lifecycle</w:t>
      </w:r>
    </w:p>
    <w:p>
      <w:pPr>
        <w:numPr>
          <w:ilvl w:val="0"/>
          <w:numId w:val="1005"/>
        </w:numPr>
        <w:spacing w:after="90" w:line="260" w:lineRule="auto"/>
      </w:pPr>
      <w:r>
        <w:rPr>
          <w:rFonts w:ascii="DejaVu Sans" w:hAnsi="DejaVu Sans"/>
          <w:sz w:val="21"/>
        </w:rPr>
        <w:t xml:space="preserve">In local Settings &gt; Connections, create a Self ADB profile. Explain the broad shell authority and require the owner to enable Wireless Debugging and confirm its pairing code in Android settings. Never enable debugging, accept a pairing prompt or change security settings silently.</w:t>
      </w:r>
    </w:p>
    <w:p>
      <w:pPr>
        <w:numPr>
          <w:ilvl w:val="0"/>
          <w:numId w:val="1005"/>
        </w:numPr>
        <w:spacing w:after="90" w:line="260" w:lineRule="auto"/>
      </w:pPr>
      <w:r>
        <w:rPr>
          <w:rFonts w:ascii="DejaVu Sans" w:hAnsi="DejaVu Sans"/>
          <w:sz w:val="21"/>
        </w:rPr>
        <w:t xml:space="preserve">Use the pairing endpoint only for pairing, then discover the authenticated connect endpoint. Ports may differ and change after reboot, debugging toggle or network changes. Track Unpaired, Paired offline, Connecting, Connected, Locked and Revoked separately.</w:t>
      </w:r>
    </w:p>
    <w:p>
      <w:pPr>
        <w:numPr>
          <w:ilvl w:val="0"/>
          <w:numId w:val="1005"/>
        </w:numPr>
        <w:spacing w:after="90" w:line="260" w:lineRule="auto"/>
      </w:pPr>
      <w:r>
        <w:rPr>
          <w:rFonts w:ascii="DejaVu Sans" w:hAnsi="DejaVu Sans"/>
          <w:sz w:val="21"/>
        </w:rPr>
        <w:t xml:space="preserve">Persist the ADB key encrypted under a Keystore-protected wrapping key and exclude it from backup/export/logs. A native ADB implementation may need plaintext key material in process; do not claim the ADB private key is nonexportable or hardware backed unless proven.</w:t>
      </w:r>
    </w:p>
    <w:p>
      <w:pPr>
        <w:numPr>
          <w:ilvl w:val="0"/>
          <w:numId w:val="1005"/>
        </w:numPr>
        <w:spacing w:after="90" w:line="260" w:lineRule="auto"/>
      </w:pPr>
      <w:r>
        <w:rPr>
          <w:rFonts w:ascii="DejaVu Sans" w:hAnsi="DejaVu Sans"/>
          <w:sz w:val="21"/>
        </w:rPr>
        <w:t xml:space="preserve">On disconnect, stop admissions that need ADB, cancel bounded collectors and mark dispatched unknown outcomes honestly. Reconnect with the same trusted profile only after endpoint rediscovery and peer verification; never fall back to unauthenticated tcpip 5555.</w:t>
      </w:r>
    </w:p>
    <w:p>
      <w:pPr>
        <w:spacing w:after="90" w:line="260" w:lineRule="auto"/>
      </w:pPr>
      <w:r>
        <w:rPr>
          <w:rFonts w:ascii="DejaVu Sans" w:hAnsi="DejaVu Sans"/>
          <w:sz w:val="21"/>
        </w:rPr>
        <w:t xml:space="preserve">Owner Disconnect pauses this connection. Revoke deletes local key material and requires Android-side revocation/forgetting of the paired identity to remove device trust fully. A stored local status must not claim the Android pairing was revoked without confirmation. Device reboot or force-stop recovery is best effort, not an always-on guarantee.</w:t>
      </w:r>
    </w:p>
    <w:p>
      <w:pPr>
        <w:pStyle w:val="Heading1"/>
        <w:keepNext/>
        <w:spacing w:after="90" w:line="260" w:lineRule="auto"/>
      </w:pPr>
      <w:r>
        <w:rPr>
          <w:rFonts w:ascii="DejaVu Sans" w:hAnsi="DejaVu Sans"/>
          <w:b/>
          <w:sz w:val="30"/>
        </w:rPr>
        <w:t xml:space="preserve">ADB connection records and remote host loopback</w:t>
      </w:r>
    </w:p>
    <w:p>
      <w:pPr>
        <w:pStyle w:val="Heading2"/>
        <w:keepNext/>
        <w:spacing w:after="90" w:line="260" w:lineRule="auto"/>
      </w:pPr>
      <w:r>
        <w:rPr>
          <w:rFonts w:ascii="DejaVu Sans" w:hAnsi="DejaVu Sans"/>
          <w:b/>
          <w:sz w:val="25"/>
        </w:rPr>
        <w:t xml:space="preserve">SQLite connection and target profiles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required constraints</w:t>
            </w:r>
          </w:p>
        </w:tc>
      </w:tr>
      <w:tr>
        <w:trPr>
          <w:cantSplit/>
        </w:trPr>
        <w:tc>
          <w:tcPr>
            <w:tcW w:w="2556" w:type="dxa"/>
            <w:shd w:fill="FFFFFF"/>
            <w:vAlign w:val="top"/>
          </w:tcPr>
          <w:p>
            <w:pPr>
              <w:spacing w:after="60" w:line="235" w:lineRule="auto"/>
            </w:pPr>
            <w:r>
              <w:rPr>
                <w:rFonts w:ascii="DejaVu Sans" w:hAnsi="DejaVu Sans"/>
                <w:sz w:val="18"/>
              </w:rPr>
              <w:t xml:space="preserve">connection_profiles / PK profile_id</w:t>
            </w:r>
          </w:p>
        </w:tc>
        <w:tc>
          <w:tcPr>
            <w:tcW w:w="7668" w:type="dxa"/>
            <w:shd w:fill="FFFFFF"/>
            <w:vAlign w:val="top"/>
          </w:tcPr>
          <w:p>
            <w:pPr>
              <w:spacing w:after="60" w:line="235" w:lineRule="auto"/>
            </w:pPr>
            <w:r>
              <w:rPr>
                <w:rFonts w:ascii="DejaVu Sans" w:hAnsi="DejaVu Sans"/>
                <w:sz w:val="18"/>
              </w:rPr>
              <w:t xml:space="preserve">backend_kind CHECK self_adb/external_adb/avalonia_runtime; display_name; enabled CHECK 0/1; row_version &gt;= 1; device_serial_or_binding nullable; android_user_id; endpoint_metadata_json; peer_fingerprint nullable; verification_strength; secret_ciphertext nullable; wrapping_key_alias nullable; paired_at nullable; revoked_at nullable. No plaintext key or token.</w:t>
            </w:r>
          </w:p>
        </w:tc>
      </w:tr>
      <w:tr>
        <w:trPr>
          <w:cantSplit/>
        </w:trPr>
        <w:tc>
          <w:tcPr>
            <w:tcW w:w="2556" w:type="dxa"/>
            <w:shd w:fill="FFFFFF"/>
            <w:vAlign w:val="top"/>
          </w:tcPr>
          <w:p>
            <w:pPr>
              <w:spacing w:after="60" w:line="235" w:lineRule="auto"/>
            </w:pPr>
            <w:r>
              <w:rPr>
                <w:rFonts w:ascii="DejaVu Sans" w:hAnsi="DejaVu Sans"/>
                <w:sz w:val="18"/>
              </w:rPr>
              <w:t xml:space="preserve">target_app_profiles / PK target_id</w:t>
            </w:r>
          </w:p>
        </w:tc>
        <w:tc>
          <w:tcPr>
            <w:tcW w:w="7668" w:type="dxa"/>
            <w:shd w:fill="FFFFFF"/>
            <w:vAlign w:val="top"/>
          </w:tcPr>
          <w:p>
            <w:pPr>
              <w:spacing w:after="60" w:line="235" w:lineRule="auto"/>
            </w:pPr>
            <w:r>
              <w:rPr>
                <w:rFonts w:ascii="DejaVu Sans" w:hAnsi="DejaVu Sans"/>
                <w:sz w:val="18"/>
              </w:rPr>
              <w:t xml:space="preserve">connection_profile_id FK connection_profiles RESTRICT; package_name; signing_identity nullable; identity_verification_method; runtime_protocol nullable; runtime_endpoint nullable; server_identity nullable; enabled CHECK 0/1; row_version &gt;= 1. An HTTP/TCP package header is never verified identity.</w:t>
            </w:r>
          </w:p>
        </w:tc>
      </w:tr>
      <w:tr>
        <w:trPr>
          <w:cantSplit/>
        </w:trPr>
        <w:tc>
          <w:tcPr>
            <w:tcW w:w="2556" w:type="dxa"/>
            <w:shd w:fill="FFFFFF"/>
            <w:vAlign w:val="top"/>
          </w:tcPr>
          <w:p>
            <w:pPr>
              <w:spacing w:after="60" w:line="235" w:lineRule="auto"/>
            </w:pPr>
            <w:r>
              <w:rPr>
                <w:rFonts w:ascii="DejaVu Sans" w:hAnsi="DejaVu Sans"/>
                <w:sz w:val="18"/>
              </w:rPr>
              <w:t xml:space="preserve">Existing table extensions</w:t>
            </w:r>
          </w:p>
        </w:tc>
        <w:tc>
          <w:tcPr>
            <w:tcW w:w="7668" w:type="dxa"/>
            <w:shd w:fill="FFFFFF"/>
            <w:vAlign w:val="top"/>
          </w:tcPr>
          <w:p>
            <w:pPr>
              <w:spacing w:after="60" w:line="235" w:lineRule="auto"/>
            </w:pPr>
            <w:r>
              <w:rPr>
                <w:rFonts w:ascii="DejaVu Sans" w:hAnsi="DejaVu Sans"/>
                <w:sz w:val="18"/>
              </w:rPr>
              <w:t xml:space="preserve">tools.executor_kind CHECK native/adb/avalonia; executions.connection_profile_id and target_id nullable, backend_kind and dispatch_time nullable. Rule scope references exact profile/target IDs, Android user and display; global-input authority is a separate explicit scope.</w:t>
            </w:r>
          </w:p>
        </w:tc>
      </w:tr>
    </w:tbl>
    <w:p>
      <w:pPr>
        <w:spacing w:after="90" w:line="260" w:lineRule="auto"/>
      </w:pPr>
    </w:p>
    <w:p>
      <w:pPr>
        <w:spacing w:after="90" w:line="260" w:lineRule="auto"/>
      </w:pPr>
      <w:r>
        <w:rPr>
          <w:rFonts w:ascii="DejaVu Sans" w:hAnsi="DejaVu Sans"/>
          <w:sz w:val="21"/>
        </w:rPr>
        <w:t xml:space="preserve">Index target_app_profiles(connection_profile_id, enabled) and executions(connection_profile_id, admitted_at). Enable/disable, target identity and backend-scope mutations increment policy_revision and invalidate bound approvals. Endpoints and observed connection health are dynamic capability data, not grants. Credentials for outgoing ADB/runtime authentication must be reversibly encrypted; incoming MCP bearer credentials remain nonreversible verifiers.</w:t>
      </w:r>
    </w:p>
    <w:p>
      <w:pPr>
        <w:pStyle w:val="Heading2"/>
        <w:keepNext/>
        <w:spacing w:after="90" w:line="260" w:lineRule="auto"/>
      </w:pPr>
      <w:r>
        <w:rPr>
          <w:rFonts w:ascii="DejaVu Sans" w:hAnsi="DejaVu Sans"/>
          <w:b/>
          <w:sz w:val="25"/>
        </w:rPr>
        <w:t xml:space="preserve">External host forwarding</w:t>
      </w:r>
    </w:p>
    <w:p>
      <w:pPr>
        <w:spacing w:after="90" w:line="260" w:lineRule="auto"/>
      </w:pPr>
      <w:r>
        <w:rPr>
          <w:rFonts w:ascii="DejaVu Sans" w:hAnsi="DejaVu Sans"/>
          <w:sz w:val="21"/>
        </w:rPr>
        <w:t xml:space="preserve">For host-to-phone connections use adb forward, not adb reverse. Select an explicit authorized serial and allocate a free host port; record ownership of the mapping and remove only that mapping on stop. Create separate mappings for MCP HTTPS and an optional target-runtime endpoint. [S19]</w:t>
      </w:r>
    </w:p>
    <w:p>
      <w:pPr>
        <w:shd w:fill="F2F6FA"/>
        <w:spacing w:after="0" w:line="220" w:lineRule="auto"/>
      </w:pPr>
      <w:r>
        <w:rPr>
          <w:rFonts w:ascii="DejaVu Sans Mono" w:hAnsi="DejaVu Sans Mono"/>
          <w:sz w:val="18"/>
        </w:rPr>
        <w:t xml:space="preserve">adb -s SERIAL forward --no-rebind tcp:0 tcp:MCP_DEVICE_PORT</w:t>
      </w:r>
    </w:p>
    <w:p>
      <w:pPr>
        <w:shd w:fill="F2F6FA"/>
        <w:spacing w:after="0" w:line="220" w:lineRule="auto"/>
      </w:pPr>
      <w:r>
        <w:rPr>
          <w:rFonts w:ascii="DejaVu Sans Mono" w:hAnsi="DejaVu Sans Mono"/>
          <w:sz w:val="18"/>
        </w:rPr>
        <w:t xml:space="preserve"># Capture the allocated host port for the MCP client.</w:t>
      </w:r>
    </w:p>
    <w:p>
      <w:pPr>
        <w:shd w:fill="F2F6FA"/>
        <w:spacing w:after="0" w:line="220" w:lineRule="auto"/>
      </w:pPr>
      <w:r>
        <w:rPr>
          <w:rFonts w:ascii="DejaVu Sans Mono" w:hAnsi="DejaVu Sans Mono"/>
          <w:sz w:val="18"/>
        </w:rPr>
        <w:t xml:space="preserve">adb -s SERIAL forward --no-rebind tcp:0 tcp:RUNTIME_DEVICE_PORT</w:t>
      </w:r>
    </w:p>
    <w:p>
      <w:pPr>
        <w:shd w:fill="F2F6FA"/>
        <w:spacing w:after="0" w:line="220" w:lineRule="auto"/>
      </w:pPr>
      <w:r>
        <w:rPr>
          <w:rFonts w:ascii="DejaVu Sans Mono" w:hAnsi="DejaVu Sans Mono"/>
          <w:sz w:val="18"/>
        </w:rPr>
        <w:t xml:space="preserve"># Optional separately authorized runtime debug connection.</w:t>
      </w:r>
    </w:p>
    <w:p>
      <w:pPr>
        <w:shd w:fill="F2F6FA"/>
        <w:spacing w:after="0" w:line="220" w:lineRule="auto"/>
      </w:pPr>
      <w:r>
        <w:rPr>
          <w:rFonts w:ascii="DejaVu Sans Mono" w:hAnsi="DejaVu Sans Mono"/>
          <w:sz w:val="18"/>
        </w:rPr>
        <w:t xml:space="preserve">adb -s SERIAL forward --remove tcp:OWNED_HOST_PORT</w:t>
      </w:r>
    </w:p>
    <w:p>
      <w:pPr>
        <w:spacing w:after="90" w:line="260" w:lineRule="auto"/>
      </w:pPr>
      <w:r>
        <w:rPr>
          <w:rFonts w:ascii="DejaVu Sans" w:hAnsi="DejaVu Sans"/>
          <w:sz w:val="21"/>
        </w:rPr>
        <w:t xml:space="preserve">Both phone listeners and host forwards remain loopback-only. Do not use adb -a, expose port 5037, enable tcpip 5555, bind 0.0.0.0 or create an Internet tunnel. Verify actual listening addresses on the selected platform-tools build. ADB transport does not replace MCP authentication or paired HTTPS server verification; forwarded port changes must work with the client’s trust profile without disabling certificate validation.</w:t>
      </w:r>
    </w:p>
    <w:p>
      <w:pPr>
        <w:spacing w:after="90" w:line="260" w:lineRule="auto"/>
      </w:pPr>
      <w:r>
        <w:rPr>
          <w:rFonts w:ascii="DejaVu Sans" w:hAnsi="DejaVu Sans"/>
          <w:sz w:val="21"/>
        </w:rPr>
        <w:t xml:space="preserve">The host machine may itself be remotely operated through a separately secured environment, but ADB forwarding alone does not create Internet remote access. Host access and ADB authorization are powerful trust decisions outside ordinary MCP client scopes; a hostile independently authorized ADB host is not constrained by this bridge’s policy engine.</w:t>
      </w:r>
    </w:p>
    <w:p>
      <w:pPr>
        <w:pStyle w:val="Heading1"/>
        <w:keepNext/>
        <w:spacing w:after="90" w:line="260" w:lineRule="auto"/>
      </w:pPr>
      <w:r>
        <w:rPr>
          <w:rFonts w:ascii="DejaVu Sans" w:hAnsi="DejaVu Sans"/>
          <w:b/>
          <w:sz w:val="30"/>
        </w:rPr>
        <w:t xml:space="preserve">16 On demand screen state and coordinate taps</w:t>
      </w:r>
    </w:p>
    <w:p>
      <w:pPr>
        <w:spacing w:after="90" w:line="260" w:lineRule="auto"/>
      </w:pPr>
      <w:r>
        <w:rPr>
          <w:rFonts w:ascii="DejaVu Sans" w:hAnsi="DejaVu Sans"/>
          <w:sz w:val="21"/>
        </w:rPr>
        <w:t xml:space="preserve">The arbitrary-app convenience surface has two primary tools: screen.state and input.tap, alongside the complete generated binding inventory. It has no app-specific decision logic, automatic polling scheduler, offer handling or autonomous multi-step workflow. An agent supplies timing and interpretation. Existing settings, files and sensors remain reusable native capabilities; optional hierarchy is separate from pixel capture.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Tool</w:t>
            </w:r>
          </w:p>
        </w:tc>
        <w:tc>
          <w:tcPr>
            <w:tcW w:w="7668" w:type="dxa"/>
            <w:shd w:fill="E4EDF5"/>
            <w:vAlign w:val="top"/>
          </w:tcPr>
          <w:p>
            <w:pPr>
              <w:spacing w:after="60" w:line="235" w:lineRule="auto"/>
            </w:pPr>
            <w:r>
              <w:rPr>
                <w:rFonts w:ascii="DejaVu Sans" w:hAnsi="DejaVu Sans"/>
                <w:b/>
                <w:sz w:val="18"/>
              </w:rPr>
              <w:t xml:space="preserve">Contract and authorization boundary</w:t>
            </w:r>
          </w:p>
        </w:tc>
      </w:tr>
      <w:tr>
        <w:trPr>
          <w:cantSplit/>
        </w:trPr>
        <w:tc>
          <w:tcPr>
            <w:tcW w:w="2556" w:type="dxa"/>
            <w:shd w:fill="FFFFFF"/>
            <w:vAlign w:val="top"/>
          </w:tcPr>
          <w:p>
            <w:pPr>
              <w:spacing w:after="60" w:line="235" w:lineRule="auto"/>
            </w:pPr>
            <w:r>
              <w:rPr>
                <w:rFonts w:ascii="DejaVu Sans" w:hAnsi="DejaVu Sans"/>
                <w:sz w:val="18"/>
              </w:rPr>
              <w:t xml:space="preserve">screen.state</w:t>
            </w:r>
          </w:p>
        </w:tc>
        <w:tc>
          <w:tcPr>
            <w:tcW w:w="7668" w:type="dxa"/>
            <w:shd w:fill="FFFFFF"/>
            <w:vAlign w:val="top"/>
          </w:tcPr>
          <w:p>
            <w:pPr>
              <w:spacing w:after="60" w:line="235" w:lineRule="auto"/>
            </w:pPr>
            <w:r>
              <w:rPr>
                <w:rFonts w:ascii="DejaVu Sans" w:hAnsi="DejaVu Sans"/>
                <w:sz w:val="18"/>
              </w:rPr>
              <w:t xml:space="preserve">Input: connectionProfileId, displayId. Return a bounded PNG image plus width, height, displayId, rotation, captureId and capturedAt; identify the coordinate-space version. Capture only the currently rendered display, not hidden app state. Require an explicit screen-read scope; secure surfaces can be blank/blocked. No persisted screenshot logs. [S21]</w:t>
            </w:r>
          </w:p>
        </w:tc>
      </w:tr>
      <w:tr>
        <w:trPr>
          <w:cantSplit/>
        </w:trPr>
        <w:tc>
          <w:tcPr>
            <w:tcW w:w="2556" w:type="dxa"/>
            <w:shd w:fill="FFFFFF"/>
            <w:vAlign w:val="top"/>
          </w:tcPr>
          <w:p>
            <w:pPr>
              <w:spacing w:after="60" w:line="235" w:lineRule="auto"/>
            </w:pPr>
            <w:r>
              <w:rPr>
                <w:rFonts w:ascii="DejaVu Sans" w:hAnsi="DejaVu Sans"/>
                <w:sz w:val="18"/>
              </w:rPr>
              <w:t xml:space="preserve">input.tap</w:t>
            </w:r>
          </w:p>
        </w:tc>
        <w:tc>
          <w:tcPr>
            <w:tcW w:w="7668" w:type="dxa"/>
            <w:shd w:fill="FFFFFF"/>
            <w:vAlign w:val="top"/>
          </w:tcPr>
          <w:p>
            <w:pPr>
              <w:spacing w:after="60" w:line="235" w:lineRule="auto"/>
            </w:pPr>
            <w:r>
              <w:rPr>
                <w:rFonts w:ascii="DejaVu Sans" w:hAnsi="DejaVu Sans"/>
                <w:sz w:val="18"/>
              </w:rPr>
              <w:t xml:space="preserve">Input: x, y, displayId and optional referenceCaptureId, with an approved connection profile. Coordinates are integer physical display pixels in the published coordinate space. Reject out-of-bounds or unsupported displays. Require explicit device-wide input scope; Deny/Ask/Allow is configurable per client.</w:t>
            </w:r>
          </w:p>
        </w:tc>
      </w:tr>
      <w:tr>
        <w:trPr>
          <w:cantSplit/>
        </w:trPr>
        <w:tc>
          <w:tcPr>
            <w:tcW w:w="2556" w:type="dxa"/>
            <w:shd w:fill="FFFFFF"/>
            <w:vAlign w:val="top"/>
          </w:tcPr>
          <w:p>
            <w:pPr>
              <w:spacing w:after="60" w:line="235" w:lineRule="auto"/>
            </w:pPr>
            <w:r>
              <w:rPr>
                <w:rFonts w:ascii="DejaVu Sans" w:hAnsi="DejaVu Sans"/>
                <w:sz w:val="18"/>
              </w:rPr>
              <w:t xml:space="preserve">Optional context</w:t>
            </w:r>
          </w:p>
        </w:tc>
        <w:tc>
          <w:tcPr>
            <w:tcW w:w="7668" w:type="dxa"/>
            <w:shd w:fill="FFFFFF"/>
            <w:vAlign w:val="top"/>
          </w:tcPr>
          <w:p>
            <w:pPr>
              <w:spacing w:after="60" w:line="235" w:lineRule="auto"/>
            </w:pPr>
            <w:r>
              <w:rPr>
                <w:rFonts w:ascii="DejaVu Sans" w:hAnsi="DejaVu Sans"/>
                <w:sz w:val="18"/>
              </w:rPr>
              <w:t xml:space="preserve">Hierarchy and foreground/window context require separately enabled capabilities. Return their own timestamps and availability/error status; they are not an atomic snapshot with the screenshot. Missing hierarchy does not fabricate app semantics.</w:t>
            </w:r>
          </w:p>
        </w:tc>
      </w:tr>
    </w:tbl>
    <w:p>
      <w:pPr>
        <w:spacing w:after="90" w:line="260" w:lineRule="auto"/>
      </w:pPr>
    </w:p>
    <w:p>
      <w:pPr>
        <w:pStyle w:val="Heading2"/>
        <w:keepNext/>
        <w:spacing w:after="90" w:line="260" w:lineRule="auto"/>
      </w:pPr>
      <w:r>
        <w:rPr>
          <w:rFonts w:ascii="DejaVu Sans" w:hAnsi="DejaVu Sans"/>
          <w:b/>
          <w:sz w:val="25"/>
        </w:rPr>
        <w:t xml:space="preserve">Coordinate and freshness contract</w:t>
      </w:r>
    </w:p>
    <w:p>
      <w:pPr>
        <w:spacing w:after="90" w:line="260" w:lineRule="auto"/>
      </w:pPr>
      <w:r>
        <w:rPr>
          <w:rFonts w:ascii="DejaVu Sans" w:hAnsi="DejaVu Sans"/>
          <w:sz w:val="21"/>
        </w:rPr>
        <w:t xml:space="preserve">A screen.state image is returned at its stated pixel dimensions; if an implementation scales or crops it, it must expose an explicit image-to-display transform and coordinateSpaceVersion. The client must map preview coordinates before input.tap. Never infer coordinates from CSS sizing, density-independent pixels or an unspecified screenshot scale.</w:t>
      </w:r>
    </w:p>
    <w:p>
      <w:pPr>
        <w:spacing w:after="90" w:line="260" w:lineRule="auto"/>
      </w:pPr>
      <w:r>
        <w:rPr>
          <w:rFonts w:ascii="DejaVu Sans" w:hAnsi="DejaVu Sans"/>
          <w:sz w:val="21"/>
        </w:rPr>
        <w:t xml:space="preserve">When referenceCaptureId is provided, require an unexpired capture belonging to this client, connection and display, and unchanged rotation, dimensions and coordinate-space version. Reject stale or mismatched references rather than remapping silently. Set a configurable short maximum age. A reference proves which coordinate frame was used, not that app content has stayed unchanged.</w:t>
      </w:r>
    </w:p>
    <w:p>
      <w:pPr>
        <w:spacing w:after="90" w:line="260" w:lineRule="auto"/>
      </w:pPr>
      <w:r>
        <w:rPr>
          <w:rFonts w:ascii="DejaVu Sans" w:hAnsi="DejaVu Sans"/>
          <w:sz w:val="21"/>
        </w:rPr>
        <w:t xml:space="preserve">Without a reference, direct-coordinate mode intentionally targets the current display geometry. Validate bounds and capability immediately before dispatch; record that no freshness reference was used. The client may receive Allow for on-demand taps without a new prompt every time. Ask prompts only when configured, and an approval never overrides stale coordinates or scope limits.</w:t>
      </w:r>
    </w:p>
    <w:p>
      <w:pPr>
        <w:pStyle w:val="Heading2"/>
        <w:keepNext/>
        <w:spacing w:after="90" w:line="260" w:lineRule="auto"/>
      </w:pPr>
      <w:r>
        <w:rPr>
          <w:rFonts w:ascii="DejaVu Sans" w:hAnsi="DejaVu Sans"/>
          <w:b/>
          <w:sz w:val="25"/>
        </w:rPr>
        <w:t xml:space="preserve">Dispatch and outcome</w:t>
      </w:r>
    </w:p>
    <w:p>
      <w:pPr>
        <w:spacing w:after="90" w:line="260" w:lineRule="auto"/>
      </w:pPr>
      <w:r>
        <w:rPr>
          <w:rFonts w:ascii="DejaVu Sans" w:hAnsi="DejaVu Sans"/>
          <w:sz w:val="21"/>
        </w:rPr>
        <w:t xml:space="preserve">Translate into a fixed reviewed ADB operation with validated numeric arguments, bounded duration and no caller-supplied shell text. Host-side argument arrays alone do not solve device shell parsing. Return dispatched/completed/failed or outcome unknown with the call ID. A successful injection does not prove any particular app action occurred; the agent may request another screen.state. Do not retry a tap automatically after timeout or disconnect.</w:t>
      </w:r>
    </w:p>
    <w:p>
      <w:pPr>
        <w:spacing w:after="90" w:line="260" w:lineRule="auto"/>
      </w:pPr>
      <w:r>
        <w:rPr>
          <w:rFonts w:ascii="DejaVu Sans" w:hAnsi="DejaVu Sans"/>
          <w:sz w:val="21"/>
        </w:rPr>
        <w:t xml:space="preserve">Android input is display-wide, not package-addressed. Package or foreground checks may be optional best-effort guards, never a hard target-app boundary: focus can change between check and injection. Capture likewise sees the rendered screen, not two hidden app UIs at once. Shell authority is not root; private files, nondebuggable debugger access and secure-window bypass are not provided. [S22–S24]</w:t>
      </w:r>
    </w:p>
    <w:p>
      <w:pPr>
        <w:spacing w:after="90" w:line="260" w:lineRule="auto"/>
      </w:pPr>
      <w:r>
        <w:rPr>
          <w:rFonts w:ascii="DejaVu Sans" w:hAnsi="DejaVu Sans"/>
          <w:sz w:val="21"/>
        </w:rPr>
        <w:t xml:space="preserve">No app-specific workflow or polling scheduler is included. Additional operations exposed by the full binding inventory use their generated/generic contracts and client grants, not newly invented convenience workflows.</w:t>
      </w:r>
    </w:p>
    <w:p>
      <w:pPr>
        <w:pStyle w:val="Heading1"/>
        <w:keepNext/>
        <w:spacing w:after="90" w:line="260" w:lineRule="auto"/>
      </w:pPr>
      <w:r>
        <w:rPr>
          <w:rFonts w:ascii="DejaVu Sans" w:hAnsi="DejaVu Sans"/>
          <w:b/>
          <w:sz w:val="30"/>
        </w:rPr>
        <w:t xml:space="preserve">17 Optional Avalonia RemoteControl integration</w:t>
      </w:r>
    </w:p>
    <w:p>
      <w:pPr>
        <w:spacing w:after="90" w:line="260" w:lineRule="auto"/>
      </w:pPr>
      <w:r>
        <w:rPr>
          <w:rFonts w:ascii="DejaVu Sans" w:hAnsi="DejaVu Sans"/>
          <w:sz w:val="21"/>
        </w:rPr>
        <w:t xml:space="preserve">For an opted-in Avalonia target, use SharpNinja.Avalonia.RemoteControl.Runtime, not the desktop ASP.NET Core/Kestrel Server package. Upstream documentation describes Avalonia 12 and an Android runtime using AddAvaloniaRemoteControlRuntime, IRemoteControlRootProvider and RemoteControlBridgeTcpListener. The listener uses length-prefixed protobuf with arc-protobuf-v1, not MCP or HTTP. Pin an exact reviewed release/commit after integration tests; the inspected README labels release 0.8.0. [S20]</w:t>
      </w:r>
    </w:p>
    <w:p>
      <w:pPr>
        <w:spacing w:after="90" w:line="260" w:lineRule="auto"/>
      </w:pPr>
      <w:r>
        <w:rPr>
          <w:rFonts w:ascii="DejaVu Sans" w:hAnsi="DejaVu Sans"/>
          <w:sz w:val="21"/>
        </w:rPr>
        <w:t xml:space="preserve">Same-device path: App A -&gt; bridge remotecontrol tool -&gt; new Android protocol client -&gt; App B’s opted-in runtime. The protocol package targets Android, but the inspected client project is not a published Android-ready client; the Android adapter is new integration work. App B’s runtime surface exposes its Avalonia visual tree/root, frames and permitted actions, not the whole Android phone.</w:t>
      </w:r>
    </w:p>
    <w:p>
      <w:pPr>
        <w:pStyle w:val="Heading2"/>
        <w:keepNext/>
        <w:spacing w:after="90" w:line="260" w:lineRule="auto"/>
      </w:pPr>
      <w:r>
        <w:rPr>
          <w:rFonts w:ascii="DejaVu Sans" w:hAnsi="DejaVu Sans"/>
          <w:b/>
          <w:sz w:val="25"/>
        </w:rPr>
        <w:t xml:space="preserve">Target pairing and trust gates</w:t>
      </w:r>
    </w:p>
    <w:p>
      <w:pPr>
        <w:numPr>
          <w:ilvl w:val="0"/>
          <w:numId w:val="1001"/>
        </w:numPr>
        <w:spacing w:after="90" w:line="260" w:lineRule="auto"/>
      </w:pPr>
      <w:r>
        <w:rPr>
          <w:rFonts w:ascii="DejaVu Sans" w:hAnsi="DejaVu Sans"/>
          <w:sz w:val="21"/>
        </w:rPr>
        <w:t xml:space="preserve">App B must explicitly opt in, enforce enabled/session lifecycle before starting its listener, bind only loopback and require authentication. Leave IsAdbTunnel=false for direct same-device use; do not set it to impersonate an ADB tunnel.</w:t>
      </w:r>
    </w:p>
    <w:p>
      <w:pPr>
        <w:numPr>
          <w:ilvl w:val="0"/>
          <w:numId w:val="1001"/>
        </w:numPr>
        <w:spacing w:after="90" w:line="260" w:lineRule="auto"/>
      </w:pPr>
      <w:r>
        <w:rPr>
          <w:rFonts w:ascii="DejaVu Sans" w:hAnsi="DejaVu Sans"/>
          <w:sz w:val="21"/>
        </w:rPr>
        <w:t xml:space="preserve">The inspected listener uses plain NetworkStream. Loopback and a token do not authenticate the server or prove its package identity. Production use requires a verified server-proof/TLS or trusted pairing design, implemented and tested on both sides; never label it existing upstream protection.</w:t>
      </w:r>
    </w:p>
    <w:p>
      <w:pPr>
        <w:numPr>
          <w:ilvl w:val="0"/>
          <w:numId w:val="1001"/>
        </w:numPr>
        <w:spacing w:after="90" w:line="260" w:lineRule="auto"/>
      </w:pPr>
      <w:r>
        <w:rPr>
          <w:rFonts w:ascii="DejaVu Sans" w:hAnsi="DejaVu Sans"/>
          <w:sz w:val="21"/>
        </w:rPr>
        <w:t xml:space="preserve">Normal App A cannot read App B’s private connection marker. A local-owner pairing/handoff or a real signature-aware Binder broker is new work. Do not use a world-readable file, logcat token or run-as in production. Upstream debug marker discovery via adb shell run-as is for debuggable builds and a trusted ADB operator only.</w:t>
      </w:r>
    </w:p>
    <w:p>
      <w:pPr>
        <w:numPr>
          <w:ilvl w:val="0"/>
          <w:numId w:val="1001"/>
        </w:numPr>
        <w:spacing w:after="90" w:line="260" w:lineRule="auto"/>
      </w:pPr>
      <w:r>
        <w:rPr>
          <w:rFonts w:ascii="DejaVu Sans" w:hAnsi="DejaVu Sans"/>
          <w:sz w:val="21"/>
        </w:rPr>
        <w:t xml:space="preserve">Store target ID, explicit endpoint/protocol, verification strength and encrypted outbound token in approved profiles. Distinguish claimed package names from signing identity actually verified through a trusted Android channel. Reverify on target update/reinstall and invalidate stale approvals.</w:t>
      </w:r>
    </w:p>
    <w:p>
      <w:pPr>
        <w:pStyle w:val="Heading2"/>
        <w:keepNext/>
        <w:spacing w:after="90" w:line="260" w:lineRule="auto"/>
      </w:pPr>
      <w:r>
        <w:rPr>
          <w:rFonts w:ascii="DejaVu Sans" w:hAnsi="DejaVu Sans"/>
          <w:b/>
          <w:sz w:val="25"/>
        </w:rPr>
        <w:t xml:space="preserve">Per-client policy must also guard the runtime route</w:t>
      </w:r>
    </w:p>
    <w:p>
      <w:pPr>
        <w:spacing w:after="90" w:line="260" w:lineRule="auto"/>
      </w:pPr>
      <w:r>
        <w:rPr>
          <w:rFonts w:ascii="DejaVu Sans" w:hAnsi="DejaVu Sans"/>
          <w:sz w:val="21"/>
        </w:rPr>
        <w:t xml:space="preserve">Define separate remotecontrol.tree.read, frame.read, input and constrained property/action capabilities scoped to target and exposed root. Upstream global AllowRemoteActions/AllowRemoteInput switches are not this design’s per-client policy engine. Propagate the authenticated remote principal and authorize every sensitive domain command, including commands reached by clicks or property changes. Do not map remote input to local owner authority.</w:t>
      </w:r>
    </w:p>
    <w:p>
      <w:pPr>
        <w:spacing w:after="90" w:line="260" w:lineRule="auto"/>
      </w:pPr>
      <w:r>
        <w:rPr>
          <w:rFonts w:ascii="DejaVu Sans" w:hAnsi="DejaVu Sans"/>
          <w:sz w:val="21"/>
        </w:rPr>
        <w:t xml:space="preserve">Until interception, identity propagation and consent isolation are proven, keep this integration disabled or limited to a sanitized read-only root. Existing upstream MCP tooling does not imply every bridge protocol operation is already an MCP tool. For an external authorized host, IsAdbTunnel=true and a dedicated loopback forward are a separate debug profile, still authenticated and not a shortcut around bridge/target policy.</w:t>
      </w:r>
    </w:p>
    <w:p>
      <w:pPr>
        <w:pStyle w:val="Heading1"/>
        <w:keepNext/>
        <w:spacing w:after="90" w:line="260" w:lineRule="auto"/>
      </w:pPr>
      <w:r>
        <w:rPr>
          <w:rFonts w:ascii="DejaVu Sans" w:hAnsi="DejaVu Sans"/>
          <w:b/>
          <w:sz w:val="30"/>
        </w:rPr>
        <w:t xml:space="preserve">18 Protected consent and integration acceptance</w:t>
      </w:r>
    </w:p>
    <w:p>
      <w:pPr>
        <w:pStyle w:val="Heading2"/>
        <w:keepNext/>
        <w:spacing w:after="90" w:line="260" w:lineRule="auto"/>
      </w:pPr>
      <w:r>
        <w:rPr>
          <w:rFonts w:ascii="DejaVu Sans" w:hAnsi="DejaVu Sans"/>
          <w:b/>
          <w:sz w:val="25"/>
        </w:rPr>
        <w:t xml:space="preserve">Protect management and approval from remote input</w:t>
      </w:r>
    </w:p>
    <w:p>
      <w:pPr>
        <w:spacing w:after="90" w:line="260" w:lineRule="auto"/>
      </w:pPr>
      <w:r>
        <w:rPr>
          <w:rFonts w:ascii="DejaVu Sans" w:hAnsi="DejaVu Sans"/>
          <w:sz w:val="21"/>
        </w:rPr>
        <w:t xml:space="preserve">Both device-wide ADB input and Avalonia injected input can otherwise click their own permission approvals. Make pairing, credential reveal/rotation, permission grants, logging export and Ask approvals local-owner security transitions. Quiesce input before opening these surfaces, invalidate queued gestures, reject further remote input, suppress capture/tree/property exposure and require fresh owner authentication where supported. Do not rely solely on hiding a button or a client-supplied source flag.</w:t>
      </w:r>
    </w:p>
    <w:p>
      <w:pPr>
        <w:spacing w:after="90" w:line="260" w:lineRule="auto"/>
      </w:pPr>
      <w:r>
        <w:rPr>
          <w:rFonts w:ascii="DejaVu Sans" w:hAnsi="DejaVu Sans"/>
          <w:sz w:val="21"/>
        </w:rPr>
        <w:t xml:space="preserve">A protected Avalonia management surface must be outside the remote root and excluded from tree, properties and pixel frames; sensitive-name redaction does not redact pixels. At the application state transition, verify the owner-authentication requirement again. For ADB, foreground/focus observations race and shell input can look like ordinary touch. This design does not claim perfect proof of physical origin; production write mode remains gated on a verified consent-protection strategy. No secure-surface, lockscreen, biometric or consent bypass is supported.</w:t>
      </w:r>
    </w:p>
    <w:p>
      <w:pPr>
        <w:pStyle w:val="Heading2"/>
        <w:keepNext/>
        <w:spacing w:after="90" w:line="260" w:lineRule="auto"/>
      </w:pPr>
      <w:r>
        <w:rPr>
          <w:rFonts w:ascii="DejaVu Sans" w:hAnsi="DejaVu Sans"/>
          <w:b/>
          <w:sz w:val="25"/>
        </w:rPr>
        <w:t xml:space="preserve">Required integration evidence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Gate</w:t>
            </w:r>
          </w:p>
        </w:tc>
        <w:tc>
          <w:tcPr>
            <w:tcW w:w="7668" w:type="dxa"/>
            <w:shd w:fill="E4EDF5"/>
            <w:vAlign w:val="top"/>
          </w:tcPr>
          <w:p>
            <w:pPr>
              <w:spacing w:after="60" w:line="235" w:lineRule="auto"/>
            </w:pPr>
            <w:r>
              <w:rPr>
                <w:rFonts w:ascii="DejaVu Sans" w:hAnsi="DejaVu Sans"/>
                <w:b/>
                <w:sz w:val="18"/>
              </w:rPr>
              <w:t xml:space="preserve">Acceptance evidence</w:t>
            </w:r>
          </w:p>
        </w:tc>
      </w:tr>
      <w:tr>
        <w:trPr>
          <w:cantSplit/>
        </w:trPr>
        <w:tc>
          <w:tcPr>
            <w:tcW w:w="2556" w:type="dxa"/>
            <w:shd w:fill="FFFFFF"/>
            <w:vAlign w:val="top"/>
          </w:tcPr>
          <w:p>
            <w:pPr>
              <w:spacing w:after="60" w:line="235" w:lineRule="auto"/>
            </w:pPr>
            <w:r>
              <w:rPr>
                <w:rFonts w:ascii="DejaVu Sans" w:hAnsi="DejaVu Sans"/>
                <w:sz w:val="18"/>
              </w:rPr>
              <w:t xml:space="preserve">Self ADB packaging</w:t>
            </w:r>
          </w:p>
        </w:tc>
        <w:tc>
          <w:tcPr>
            <w:tcW w:w="7668" w:type="dxa"/>
            <w:shd w:fill="FFFFFF"/>
            <w:vAlign w:val="top"/>
          </w:tcPr>
          <w:p>
            <w:pPr>
              <w:spacing w:after="60" w:line="235" w:lineRule="auto"/>
            </w:pPr>
            <w:r>
              <w:rPr>
                <w:rFonts w:ascii="DejaVu Sans" w:hAnsi="DejaVu Sans"/>
                <w:sz w:val="18"/>
              </w:rPr>
              <w:t xml:space="preserve">Actual Android native client/pairing implementation, .NET 10 interop, shipped ABIs, licensing, TLS/key handling and distribution eligibility. LADB is feasibility evidence only.</w:t>
            </w:r>
          </w:p>
        </w:tc>
      </w:tr>
      <w:tr>
        <w:trPr>
          <w:cantSplit/>
        </w:trPr>
        <w:tc>
          <w:tcPr>
            <w:tcW w:w="2556" w:type="dxa"/>
            <w:shd w:fill="FFFFFF"/>
            <w:vAlign w:val="top"/>
          </w:tcPr>
          <w:p>
            <w:pPr>
              <w:spacing w:after="60" w:line="235" w:lineRule="auto"/>
            </w:pPr>
            <w:r>
              <w:rPr>
                <w:rFonts w:ascii="DejaVu Sans" w:hAnsi="DejaVu Sans"/>
                <w:sz w:val="18"/>
              </w:rPr>
              <w:t xml:space="preserve">Pairing and lifecycle</w:t>
            </w:r>
          </w:p>
        </w:tc>
        <w:tc>
          <w:tcPr>
            <w:tcW w:w="7668" w:type="dxa"/>
            <w:shd w:fill="FFFFFF"/>
            <w:vAlign w:val="top"/>
          </w:tcPr>
          <w:p>
            <w:pPr>
              <w:spacing w:after="60" w:line="235" w:lineRule="auto"/>
            </w:pPr>
            <w:r>
              <w:rPr>
                <w:rFonts w:ascii="DejaVu Sans" w:hAnsi="DejaVu Sans"/>
                <w:sz w:val="18"/>
              </w:rPr>
              <w:t xml:space="preserve">Pair/connect endpoint distinction, changed ports, reboot, debugging toggle, device lock, network changes, disconnect, key deletion and Android-side revocation. No unauthenticated fallback.</w:t>
            </w:r>
          </w:p>
        </w:tc>
      </w:tr>
      <w:tr>
        <w:trPr>
          <w:cantSplit/>
        </w:trPr>
        <w:tc>
          <w:tcPr>
            <w:tcW w:w="2556" w:type="dxa"/>
            <w:shd w:fill="FFFFFF"/>
            <w:vAlign w:val="top"/>
          </w:tcPr>
          <w:p>
            <w:pPr>
              <w:spacing w:after="60" w:line="235" w:lineRule="auto"/>
            </w:pPr>
            <w:r>
              <w:rPr>
                <w:rFonts w:ascii="DejaVu Sans" w:hAnsi="DejaVu Sans"/>
                <w:sz w:val="18"/>
              </w:rPr>
              <w:t xml:space="preserve">Device-wide policy</w:t>
            </w:r>
          </w:p>
        </w:tc>
        <w:tc>
          <w:tcPr>
            <w:tcW w:w="7668" w:type="dxa"/>
            <w:shd w:fill="FFFFFF"/>
            <w:vAlign w:val="top"/>
          </w:tcPr>
          <w:p>
            <w:pPr>
              <w:spacing w:after="60" w:line="235" w:lineRule="auto"/>
            </w:pPr>
            <w:r>
              <w:rPr>
                <w:rFonts w:ascii="DejaVu Sans" w:hAnsi="DejaVu Sans"/>
                <w:sz w:val="18"/>
              </w:rPr>
              <w:t xml:space="preserve">Input without explicit global-device grant is denied. Profile/user/display mismatches fail. Reference-capture requests reject stale captures, rotation/dimension mismatch and cross-client references; direct-coordinate mode is tested separately.</w:t>
            </w:r>
          </w:p>
        </w:tc>
      </w:tr>
      <w:tr>
        <w:trPr>
          <w:cantSplit/>
        </w:trPr>
        <w:tc>
          <w:tcPr>
            <w:tcW w:w="2556" w:type="dxa"/>
            <w:shd w:fill="FFFFFF"/>
            <w:vAlign w:val="top"/>
          </w:tcPr>
          <w:p>
            <w:pPr>
              <w:spacing w:after="60" w:line="235" w:lineRule="auto"/>
            </w:pPr>
            <w:r>
              <w:rPr>
                <w:rFonts w:ascii="DejaVu Sans" w:hAnsi="DejaVu Sans"/>
                <w:sz w:val="18"/>
              </w:rPr>
              <w:t xml:space="preserve">Protected consent</w:t>
            </w:r>
          </w:p>
        </w:tc>
        <w:tc>
          <w:tcPr>
            <w:tcW w:w="7668" w:type="dxa"/>
            <w:shd w:fill="FFFFFF"/>
            <w:vAlign w:val="top"/>
          </w:tcPr>
          <w:p>
            <w:pPr>
              <w:spacing w:after="60" w:line="235" w:lineRule="auto"/>
            </w:pPr>
            <w:r>
              <w:rPr>
                <w:rFonts w:ascii="DejaVu Sans" w:hAnsi="DejaVu Sans"/>
                <w:sz w:val="18"/>
              </w:rPr>
              <w:t xml:space="preserve">Queued tap/property events cannot enable a client, approve Ask, reveal tokens or export logs. Captures show no protected data. Failure of isolation disables remote mutation.</w:t>
            </w:r>
          </w:p>
        </w:tc>
      </w:tr>
      <w:tr>
        <w:trPr>
          <w:cantSplit/>
        </w:trPr>
        <w:tc>
          <w:tcPr>
            <w:tcW w:w="2556" w:type="dxa"/>
            <w:shd w:fill="FFFFFF"/>
            <w:vAlign w:val="top"/>
          </w:tcPr>
          <w:p>
            <w:pPr>
              <w:spacing w:after="60" w:line="235" w:lineRule="auto"/>
            </w:pPr>
            <w:r>
              <w:rPr>
                <w:rFonts w:ascii="DejaVu Sans" w:hAnsi="DejaVu Sans"/>
                <w:sz w:val="18"/>
              </w:rPr>
              <w:t xml:space="preserve">Native versus shell authority</w:t>
            </w:r>
          </w:p>
        </w:tc>
        <w:tc>
          <w:tcPr>
            <w:tcW w:w="7668" w:type="dxa"/>
            <w:shd w:fill="FFFFFF"/>
            <w:vAlign w:val="top"/>
          </w:tcPr>
          <w:p>
            <w:pPr>
              <w:spacing w:after="60" w:line="235" w:lineRule="auto"/>
            </w:pPr>
            <w:r>
              <w:rPr>
                <w:rFonts w:ascii="DejaVu Sans" w:hAnsi="DejaVu Sans"/>
                <w:sz w:val="18"/>
              </w:rPr>
              <w:t xml:space="preserve">Tests prove bridge UID grants and ADB shell rights are separate. Nondebuggable private-data/debugger access and secure-window capture remain blocked.</w:t>
            </w:r>
          </w:p>
        </w:tc>
      </w:tr>
      <w:tr>
        <w:trPr>
          <w:cantSplit/>
        </w:trPr>
        <w:tc>
          <w:tcPr>
            <w:tcW w:w="2556" w:type="dxa"/>
            <w:shd w:fill="FFFFFF"/>
            <w:vAlign w:val="top"/>
          </w:tcPr>
          <w:p>
            <w:pPr>
              <w:spacing w:after="60" w:line="235" w:lineRule="auto"/>
            </w:pPr>
            <w:r>
              <w:rPr>
                <w:rFonts w:ascii="DejaVu Sans" w:hAnsi="DejaVu Sans"/>
                <w:sz w:val="18"/>
              </w:rPr>
              <w:t xml:space="preserve">Avalonia target mode</w:t>
            </w:r>
          </w:p>
        </w:tc>
        <w:tc>
          <w:tcPr>
            <w:tcW w:w="7668" w:type="dxa"/>
            <w:shd w:fill="FFFFFF"/>
            <w:vAlign w:val="top"/>
          </w:tcPr>
          <w:p>
            <w:pPr>
              <w:spacing w:after="60" w:line="235" w:lineRule="auto"/>
            </w:pPr>
            <w:r>
              <w:rPr>
                <w:rFonts w:ascii="DejaVu Sans" w:hAnsi="DejaVu Sans"/>
                <w:sz w:val="18"/>
              </w:rPr>
              <w:t xml:space="preserve">Two separate app UIDs pair deliberately. Wrong target identity, token, protocol or signing/version change fails. Per-principal hooks and all action routes are tested; no reliance on global toggles.</w:t>
            </w:r>
          </w:p>
        </w:tc>
      </w:tr>
      <w:tr>
        <w:trPr>
          <w:cantSplit/>
        </w:trPr>
        <w:tc>
          <w:tcPr>
            <w:tcW w:w="2556" w:type="dxa"/>
            <w:shd w:fill="FFFFFF"/>
            <w:vAlign w:val="top"/>
          </w:tcPr>
          <w:p>
            <w:pPr>
              <w:spacing w:after="60" w:line="235" w:lineRule="auto"/>
            </w:pPr>
            <w:r>
              <w:rPr>
                <w:rFonts w:ascii="DejaVu Sans" w:hAnsi="DejaVu Sans"/>
                <w:sz w:val="18"/>
              </w:rPr>
              <w:t xml:space="preserve">ADB forwards</w:t>
            </w:r>
          </w:p>
        </w:tc>
        <w:tc>
          <w:tcPr>
            <w:tcW w:w="7668" w:type="dxa"/>
            <w:shd w:fill="FFFFFF"/>
            <w:vAlign w:val="top"/>
          </w:tcPr>
          <w:p>
            <w:pPr>
              <w:spacing w:after="60" w:line="235" w:lineRule="auto"/>
            </w:pPr>
            <w:r>
              <w:rPr>
                <w:rFonts w:ascii="DejaVu Sans" w:hAnsi="DejaVu Sans"/>
                <w:sz w:val="18"/>
              </w:rPr>
              <w:t xml:space="preserve">Multiple authorized devices use explicit serials. Ports are loopback-only, --no-rebind prevents takeover, stop removes only owned forwards, and reconnect never trusts a stale endpoint.</w:t>
            </w:r>
          </w:p>
        </w:tc>
      </w:tr>
      <w:tr>
        <w:trPr>
          <w:cantSplit/>
        </w:trPr>
        <w:tc>
          <w:tcPr>
            <w:tcW w:w="2556" w:type="dxa"/>
            <w:shd w:fill="FFFFFF"/>
            <w:vAlign w:val="top"/>
          </w:tcPr>
          <w:p>
            <w:pPr>
              <w:spacing w:after="60" w:line="235" w:lineRule="auto"/>
            </w:pPr>
            <w:r>
              <w:rPr>
                <w:rFonts w:ascii="DejaVu Sans" w:hAnsi="DejaVu Sans"/>
                <w:sz w:val="18"/>
              </w:rPr>
              <w:t xml:space="preserve">Optional logging</w:t>
            </w:r>
          </w:p>
        </w:tc>
        <w:tc>
          <w:tcPr>
            <w:tcW w:w="7668" w:type="dxa"/>
            <w:shd w:fill="FFFFFF"/>
            <w:vAlign w:val="top"/>
          </w:tcPr>
          <w:p>
            <w:pPr>
              <w:spacing w:after="60" w:line="235" w:lineRule="auto"/>
            </w:pPr>
            <w:r>
              <w:rPr>
                <w:rFonts w:ascii="DejaVu Sans" w:hAnsi="DejaVu Sans"/>
                <w:sz w:val="18"/>
              </w:rPr>
              <w:t xml:space="preserve">Cross-client isolation, mode-change races, quota/retention enforcement and purge/export tested for ADB and runtime calls as well as native tools; screenshots, UI text and secrets never enter diagnostic logs.</w:t>
            </w:r>
          </w:p>
        </w:tc>
      </w:tr>
    </w:tbl>
    <w:p>
      <w:pPr>
        <w:spacing w:after="90" w:line="260" w:lineRule="auto"/>
      </w:pPr>
    </w:p>
    <w:p>
      <w:pPr>
        <w:spacing w:after="90" w:line="260" w:lineRule="auto"/>
      </w:pPr>
      <w:r>
        <w:rPr>
          <w:rFonts w:ascii="DejaVu Sans" w:hAnsi="DejaVu Sans"/>
          <w:sz w:val="21"/>
        </w:rPr>
        <w:t xml:space="preserve">This revision enables no real ADB connection, remote listener, credential or Android setting. It specifies an implementation and validation plan; completion requires the gates above as well as the general acceptance suite.</w:t>
      </w:r>
    </w:p>
    <w:p>
      <w:pPr>
        <w:pStyle w:val="Heading1"/>
        <w:keepNext/>
        <w:spacing w:after="90" w:line="260" w:lineRule="auto"/>
      </w:pPr>
      <w:r>
        <w:rPr>
          <w:rFonts w:ascii="DejaVu Sans" w:hAnsi="DejaVu Sans"/>
          <w:b/>
          <w:sz w:val="30"/>
        </w:rPr>
        <w:t xml:space="preserve">Full binding coverage and generic invocation</w:t>
      </w:r>
    </w:p>
    <w:p>
      <w:pPr>
        <w:spacing w:after="90" w:line="260" w:lineRule="auto"/>
      </w:pPr>
      <w:r>
        <w:rPr>
          <w:rFonts w:ascii="DejaVu Sans" w:hAnsi="DejaVu Sans"/>
          <w:sz w:val="21"/>
        </w:rPr>
        <w:t xml:space="preserve">Coverage means every package, type, member and interface present in the declared versioned input sources receives an inventory entry; it does not mean every OEM/private interface is discoverable or callable. Build the registry from Android SDK/.NET binding metadata such as api.xml, versioned AOSP AIDL, and owner-imported third-party/OEM AIDL or protocol schemas. Import the complete source surface, not a hand-selected allowlist. Preserve unsupported, missing-schema and platform-inaccessible entries with reasons. [S28–S31]</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Surface</w:t>
            </w:r>
          </w:p>
        </w:tc>
        <w:tc>
          <w:tcPr>
            <w:tcW w:w="7668" w:type="dxa"/>
            <w:shd w:fill="E4EDF5"/>
            <w:vAlign w:val="top"/>
          </w:tcPr>
          <w:p>
            <w:pPr>
              <w:spacing w:after="60" w:line="235" w:lineRule="auto"/>
            </w:pPr>
            <w:r>
              <w:rPr>
                <w:rFonts w:ascii="DejaVu Sans" w:hAnsi="DejaVu Sans"/>
                <w:b/>
                <w:sz w:val="18"/>
              </w:rPr>
              <w:t xml:space="preserve">Mapping and execution contract</w:t>
            </w:r>
          </w:p>
        </w:tc>
      </w:tr>
      <w:tr>
        <w:trPr>
          <w:cantSplit/>
        </w:trPr>
        <w:tc>
          <w:tcPr>
            <w:tcW w:w="2556" w:type="dxa"/>
            <w:shd w:fill="FFFFFF"/>
            <w:vAlign w:val="top"/>
          </w:tcPr>
          <w:p>
            <w:pPr>
              <w:spacing w:after="60" w:line="235" w:lineRule="auto"/>
            </w:pPr>
            <w:r>
              <w:rPr>
                <w:rFonts w:ascii="DejaVu Sans" w:hAnsi="DejaVu Sans"/>
                <w:sz w:val="18"/>
              </w:rPr>
              <w:t xml:space="preserve">SDK and Java bindings</w:t>
            </w:r>
          </w:p>
        </w:tc>
        <w:tc>
          <w:tcPr>
            <w:tcW w:w="7668" w:type="dxa"/>
            <w:shd w:fill="FFFFFF"/>
            <w:vAlign w:val="top"/>
          </w:tcPr>
          <w:p>
            <w:pPr>
              <w:spacing w:after="60" w:line="235" w:lineRule="auto"/>
            </w:pPr>
            <w:r>
              <w:rPr>
                <w:rFonts w:ascii="DejaVu Sans" w:hAnsi="DejaVu Sans"/>
                <w:sz w:val="18"/>
              </w:rPr>
              <w:t xml:space="preserve">Record classes, constructors, fields/properties, methods, overloads, argument/return types, API range and annotations. Generate invocation wrappers where required by trimming/AOT; reflection or JNI may be used where supported, not as a hidden-API bypass.</w:t>
            </w:r>
          </w:p>
        </w:tc>
      </w:tr>
      <w:tr>
        <w:trPr>
          <w:cantSplit/>
        </w:trPr>
        <w:tc>
          <w:tcPr>
            <w:tcW w:w="2556" w:type="dxa"/>
            <w:shd w:fill="FFFFFF"/>
            <w:vAlign w:val="top"/>
          </w:tcPr>
          <w:p>
            <w:pPr>
              <w:spacing w:after="60" w:line="235" w:lineRule="auto"/>
            </w:pPr>
            <w:r>
              <w:rPr>
                <w:rFonts w:ascii="DejaVu Sans" w:hAnsi="DejaVu Sans"/>
                <w:sz w:val="18"/>
              </w:rPr>
              <w:t xml:space="preserve">Binder and AIDL</w:t>
            </w:r>
          </w:p>
        </w:tc>
        <w:tc>
          <w:tcPr>
            <w:tcW w:w="7668" w:type="dxa"/>
            <w:shd w:fill="FFFFFF"/>
            <w:vAlign w:val="top"/>
          </w:tcPr>
          <w:p>
            <w:pPr>
              <w:spacing w:after="60" w:line="235" w:lineRule="auto"/>
            </w:pPr>
            <w:r>
              <w:rPr>
                <w:rFonts w:ascii="DejaVu Sans" w:hAnsi="DejaVu Sans"/>
                <w:sz w:val="18"/>
              </w:rPr>
              <w:t xml:space="preserve">Import interface descriptor, methods, parameter direction, parcelable layout, transaction mapping and version/hash where supplied. Bind only reachable endpoints with verified identity. IBinder does not enumerate every remote method or its parameter schema.</w:t>
            </w:r>
          </w:p>
        </w:tc>
      </w:tr>
      <w:tr>
        <w:trPr>
          <w:cantSplit/>
        </w:trPr>
        <w:tc>
          <w:tcPr>
            <w:tcW w:w="2556" w:type="dxa"/>
            <w:shd w:fill="FFFFFF"/>
            <w:vAlign w:val="top"/>
          </w:tcPr>
          <w:p>
            <w:pPr>
              <w:spacing w:after="60" w:line="235" w:lineRule="auto"/>
            </w:pPr>
            <w:r>
              <w:rPr>
                <w:rFonts w:ascii="DejaVu Sans" w:hAnsi="DejaVu Sans"/>
                <w:sz w:val="18"/>
              </w:rPr>
              <w:t xml:space="preserve">Unknown or restricted interface</w:t>
            </w:r>
          </w:p>
        </w:tc>
        <w:tc>
          <w:tcPr>
            <w:tcW w:w="7668" w:type="dxa"/>
            <w:shd w:fill="FFFFFF"/>
            <w:vAlign w:val="top"/>
          </w:tcPr>
          <w:p>
            <w:pPr>
              <w:spacing w:after="60" w:line="235" w:lineRule="auto"/>
            </w:pPr>
            <w:r>
              <w:rPr>
                <w:rFonts w:ascii="DejaVu Sans" w:hAnsi="DejaVu Sans"/>
                <w:sz w:val="18"/>
              </w:rPr>
              <w:t xml:space="preserve">Keep descriptor-known/schema-unknown or platform-blocked entries. A schema import can add the method map. Do not infer transaction layouts from a descriptor or claim private service enumeration is complete.</w:t>
            </w:r>
          </w:p>
        </w:tc>
      </w:tr>
      <w:tr>
        <w:trPr>
          <w:cantSplit/>
        </w:trPr>
        <w:tc>
          <w:tcPr>
            <w:tcW w:w="2556" w:type="dxa"/>
            <w:shd w:fill="FFFFFF"/>
            <w:vAlign w:val="top"/>
          </w:tcPr>
          <w:p>
            <w:pPr>
              <w:spacing w:after="60" w:line="235" w:lineRule="auto"/>
            </w:pPr>
            <w:r>
              <w:rPr>
                <w:rFonts w:ascii="DejaVu Sans" w:hAnsi="DejaVu Sans"/>
                <w:sz w:val="18"/>
              </w:rPr>
              <w:t xml:space="preserve">Low-level Binder option</w:t>
            </w:r>
          </w:p>
        </w:tc>
        <w:tc>
          <w:tcPr>
            <w:tcW w:w="7668" w:type="dxa"/>
            <w:shd w:fill="FFFFFF"/>
            <w:vAlign w:val="top"/>
          </w:tcPr>
          <w:p>
            <w:pPr>
              <w:spacing w:after="60" w:line="235" w:lineRule="auto"/>
            </w:pPr>
            <w:r>
              <w:rPr>
                <w:rFonts w:ascii="DejaVu Sans" w:hAnsi="DejaVu Sans"/>
                <w:sz w:val="18"/>
              </w:rPr>
              <w:t xml:space="preserve">Expose binder.transact under an explicit per-client low-level grant, scoped to connection/handle, transaction-code range and flags. Validate bounded parcel construction and reference types; raw reference-free bytes may be supported separately. Android authorization still applies.</w:t>
            </w:r>
          </w:p>
        </w:tc>
      </w:tr>
    </w:tbl>
    <w:p>
      <w:pPr>
        <w:spacing w:after="90" w:line="260" w:lineRule="auto"/>
      </w:pPr>
    </w:p>
    <w:p>
      <w:pPr>
        <w:pStyle w:val="Heading2"/>
        <w:keepNext/>
        <w:spacing w:after="90" w:line="260" w:lineRule="auto"/>
      </w:pPr>
      <w:r>
        <w:rPr>
          <w:rFonts w:ascii="DejaVu Sans" w:hAnsi="DejaVu Sans"/>
          <w:b/>
          <w:sz w:val="25"/>
        </w:rPr>
        <w:t xml:space="preserve">Common invocation path</w:t>
      </w:r>
    </w:p>
    <w:p>
      <w:pPr>
        <w:spacing w:after="90" w:line="260" w:lineRule="auto"/>
      </w:pPr>
      <w:r>
        <w:rPr>
          <w:rFonts w:ascii="DejaVu Sans" w:hAnsi="DejaVu Sans"/>
          <w:sz w:val="21"/>
        </w:rPr>
        <w:t xml:space="preserve">bindings.search/list/get provides searchable, paginated metadata and source coverage reports. Generated MCP tools and binding.invoke(bindingId, schemaHash, targetHandle, arguments) resolve the same execution plan. Generic invocation must not bypass a Deny on the corresponding generated tool: evaluate a canonical binding permission key regardless of entry point. For known interfaces, resolve service, interface version and transaction code to the same canonical binding key even through binder.transact; apply its Deny and argument constraints, decoding with the known schema or rejecting if validation is impossible. Unknown-schema raw access is a separate broad backend/service authority, clearly displayed as unable to enforce unknown method semantics or argument scopes; it is never silently inferred from an ordinary method grant.</w:t>
      </w:r>
    </w:p>
    <w:p>
      <w:pPr>
        <w:spacing w:after="90" w:line="260" w:lineRule="auto"/>
      </w:pPr>
      <w:r>
        <w:rPr>
          <w:rFonts w:ascii="DejaVu Sans" w:hAnsi="DejaVu Sans"/>
          <w:sz w:val="21"/>
        </w:rPr>
        <w:t xml:space="preserve">Marshal primitives, enums, nullability, arrays, parcelables and in/out parameters using imported type definitions. Represent object instances, Binder references, callbacks, file descriptors and streams by expiring, client-owned opaque handles with explicit lifetime/dispose rules. Reject foreign/stale handles, invalid sizes and unsupported marshalling instead of silently truncating. Never accept process addresses or pointer values from a client.</w:t>
      </w:r>
    </w:p>
    <w:p>
      <w:pPr>
        <w:spacing w:after="90" w:line="260" w:lineRule="auto"/>
      </w:pPr>
      <w:r>
        <w:rPr>
          <w:rFonts w:ascii="DejaVu Sans" w:hAnsi="DejaVu Sans"/>
          <w:sz w:val="21"/>
        </w:rPr>
        <w:t xml:space="preserve">Callbacks and returned handles are new capability-bearing surfaces: authorize registration, bind them to the principal, cap queues and lifetimes, filter output and revoke them with the client. one-way Binder calls report accepted/dispatched, not completed effects. Platform exceptions are sanitized; transaction failure and uncertain side effects are not automatically retried.</w:t>
      </w:r>
    </w:p>
    <w:p>
      <w:pPr>
        <w:pStyle w:val="Heading1"/>
        <w:keepNext/>
        <w:spacing w:after="90" w:line="260" w:lineRule="auto"/>
      </w:pPr>
      <w:r>
        <w:rPr>
          <w:rFonts w:ascii="DejaVu Sans" w:hAnsi="DejaVu Sans"/>
          <w:b/>
          <w:sz w:val="30"/>
        </w:rPr>
        <w:t xml:space="preserve">Binding registry storage and completeness tests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invariants</w:t>
            </w:r>
          </w:p>
        </w:tc>
      </w:tr>
      <w:tr>
        <w:trPr>
          <w:cantSplit/>
        </w:trPr>
        <w:tc>
          <w:tcPr>
            <w:tcW w:w="2556" w:type="dxa"/>
            <w:shd w:fill="FFFFFF"/>
            <w:vAlign w:val="top"/>
          </w:tcPr>
          <w:p>
            <w:pPr>
              <w:spacing w:after="60" w:line="235" w:lineRule="auto"/>
            </w:pPr>
            <w:r>
              <w:rPr>
                <w:rFonts w:ascii="DejaVu Sans" w:hAnsi="DejaVu Sans"/>
                <w:sz w:val="18"/>
              </w:rPr>
              <w:t xml:space="preserve">catalog.sources / source_details PK source_id</w:t>
            </w:r>
          </w:p>
        </w:tc>
        <w:tc>
          <w:tcPr>
            <w:tcW w:w="7668" w:type="dxa"/>
            <w:shd w:fill="FFFFFF"/>
            <w:vAlign w:val="top"/>
          </w:tcPr>
          <w:p>
            <w:pPr>
              <w:spacing w:after="60" w:line="235" w:lineRule="auto"/>
            </w:pPr>
            <w:r>
              <w:rPr>
                <w:rFonts w:ascii="DejaVu Sans" w:hAnsi="DejaVu Sans"/>
                <w:sz w:val="18"/>
              </w:rPr>
              <w:t xml:space="preserve">Immutable kind/path/URL/revision/hash/retrieval/license evidence with per-source details and parse reports. registry_sources associates each immutable source with a registry. Trusted source installation is a local-owner operation; metadata is not executable plugin code.</w:t>
            </w:r>
          </w:p>
        </w:tc>
      </w:tr>
      <w:tr>
        <w:trPr>
          <w:cantSplit/>
        </w:trPr>
        <w:tc>
          <w:tcPr>
            <w:tcW w:w="2556" w:type="dxa"/>
            <w:shd w:fill="FFFFFF"/>
            <w:vAlign w:val="top"/>
          </w:tcPr>
          <w:p>
            <w:pPr>
              <w:spacing w:after="60" w:line="235" w:lineRule="auto"/>
            </w:pPr>
            <w:r>
              <w:rPr>
                <w:rFonts w:ascii="DejaVu Sans" w:hAnsi="DejaVu Sans"/>
                <w:sz w:val="18"/>
              </w:rPr>
              <w:t xml:space="preserve">binding_definitions PK binding_id</w:t>
            </w:r>
          </w:p>
        </w:tc>
        <w:tc>
          <w:tcPr>
            <w:tcW w:w="7668" w:type="dxa"/>
            <w:shd w:fill="FFFFFF"/>
            <w:vAlign w:val="top"/>
          </w:tcPr>
          <w:p>
            <w:pPr>
              <w:spacing w:after="60" w:line="235" w:lineRule="auto"/>
            </w:pPr>
            <w:r>
              <w:rPr>
                <w:rFonts w:ascii="DejaVu Sans" w:hAnsi="DejaVu Sans"/>
                <w:sz w:val="18"/>
              </w:rPr>
              <w:t xml:space="preserve">Same identity as catalog.bindings.binding_id/entry_id; canonical source signature UNIQUE. Source presence is occurrences(binding_id,source_id,line), with immutable per-source declarations and permission ASTs. Runtime mappings are separately keyed by binding_id plus schema_hash; unknown codecs or dispatch remain visible and noninvocable.</w:t>
            </w:r>
          </w:p>
        </w:tc>
      </w:tr>
      <w:tr>
        <w:trPr>
          <w:cantSplit/>
        </w:trPr>
        <w:tc>
          <w:tcPr>
            <w:tcW w:w="2556" w:type="dxa"/>
            <w:shd w:fill="FFFFFF"/>
            <w:vAlign w:val="top"/>
          </w:tcPr>
          <w:p>
            <w:pPr>
              <w:spacing w:after="60" w:line="235" w:lineRule="auto"/>
            </w:pPr>
            <w:r>
              <w:rPr>
                <w:rFonts w:ascii="DejaVu Sans" w:hAnsi="DejaVu Sans"/>
                <w:sz w:val="18"/>
              </w:rPr>
              <w:t xml:space="preserve">client_binding_rules PK client_id plus binding_id</w:t>
            </w:r>
          </w:p>
        </w:tc>
        <w:tc>
          <w:tcPr>
            <w:tcW w:w="7668" w:type="dxa"/>
            <w:shd w:fill="FFFFFF"/>
            <w:vAlign w:val="top"/>
          </w:tcPr>
          <w:p>
            <w:pPr>
              <w:spacing w:after="60" w:line="235" w:lineRule="auto"/>
            </w:pPr>
            <w:r>
              <w:rPr>
                <w:rFonts w:ascii="DejaVu Sans" w:hAnsi="DejaVu Sans"/>
                <w:sz w:val="18"/>
              </w:rPr>
              <w:t xml:space="preserve">client_id FK clients CASCADE; binding_id FK binding_definitions RESTRICT; schema_hash; effect CHECK deny/ask/allow; constraints_json; row_version &gt;= 1. Exact schema-bound grants; absence denies invocation, never inventory visibility.</w:t>
            </w:r>
          </w:p>
        </w:tc>
      </w:tr>
      <w:tr>
        <w:trPr>
          <w:cantSplit/>
        </w:trPr>
        <w:tc>
          <w:tcPr>
            <w:tcW w:w="2556" w:type="dxa"/>
            <w:shd w:fill="FFFFFF"/>
            <w:vAlign w:val="top"/>
          </w:tcPr>
          <w:p>
            <w:pPr>
              <w:spacing w:after="60" w:line="235" w:lineRule="auto"/>
            </w:pPr>
            <w:r>
              <w:rPr>
                <w:rFonts w:ascii="DejaVu Sans" w:hAnsi="DejaVu Sans"/>
                <w:sz w:val="18"/>
              </w:rPr>
              <w:t xml:space="preserve">tool_binding_aliases PK tool_id plus binding_id</w:t>
            </w:r>
          </w:p>
        </w:tc>
        <w:tc>
          <w:tcPr>
            <w:tcW w:w="7668" w:type="dxa"/>
            <w:shd w:fill="FFFFFF"/>
            <w:vAlign w:val="top"/>
          </w:tcPr>
          <w:p>
            <w:pPr>
              <w:spacing w:after="60" w:line="235" w:lineRule="auto"/>
            </w:pPr>
            <w:r>
              <w:rPr>
                <w:rFonts w:ascii="DejaVu Sans" w:hAnsi="DejaVu Sans"/>
                <w:sz w:val="18"/>
              </w:rPr>
              <w:t xml:space="preserve">tool_id FK tools RESTRICT; binding_id FK binding_definitions RESTRICT; canonicalization_version; argument_mapping_hash. Generated tools, convenience plans and generic dispatch resolve the same canonical binding IDs.</w:t>
            </w:r>
          </w:p>
        </w:tc>
      </w:tr>
      <w:tr>
        <w:trPr>
          <w:cantSplit/>
        </w:trPr>
        <w:tc>
          <w:tcPr>
            <w:tcW w:w="2556" w:type="dxa"/>
            <w:shd w:fill="FFFFFF"/>
            <w:vAlign w:val="top"/>
          </w:tcPr>
          <w:p>
            <w:pPr>
              <w:spacing w:after="60" w:line="235" w:lineRule="auto"/>
            </w:pPr>
            <w:r>
              <w:rPr>
                <w:rFonts w:ascii="DejaVu Sans" w:hAnsi="DejaVu Sans"/>
                <w:sz w:val="18"/>
              </w:rPr>
              <w:t xml:space="preserve">binding_type_schemas PK type_schema_id</w:t>
            </w:r>
          </w:p>
        </w:tc>
        <w:tc>
          <w:tcPr>
            <w:tcW w:w="7668" w:type="dxa"/>
            <w:shd w:fill="FFFFFF"/>
            <w:vAlign w:val="top"/>
          </w:tcPr>
          <w:p>
            <w:pPr>
              <w:spacing w:after="60" w:line="235" w:lineRule="auto"/>
            </w:pPr>
            <w:r>
              <w:rPr>
                <w:rFonts w:ascii="DejaVu Sans" w:hAnsi="DejaVu Sans"/>
                <w:sz w:val="18"/>
              </w:rPr>
              <w:t xml:space="preserve">schema_hash UNIQUE; format_version; canonical_schema_json; validation_state. Closed typed definitions include directions, object-reference kinds, sizes and supported marshalling strategy.</w:t>
            </w:r>
          </w:p>
        </w:tc>
      </w:tr>
      <w:tr>
        <w:trPr>
          <w:cantSplit/>
        </w:trPr>
        <w:tc>
          <w:tcPr>
            <w:tcW w:w="2556" w:type="dxa"/>
            <w:shd w:fill="FFFFFF"/>
            <w:vAlign w:val="top"/>
          </w:tcPr>
          <w:p>
            <w:pPr>
              <w:spacing w:after="60" w:line="235" w:lineRule="auto"/>
            </w:pPr>
            <w:r>
              <w:rPr>
                <w:rFonts w:ascii="DejaVu Sans" w:hAnsi="DejaVu Sans"/>
                <w:sz w:val="18"/>
              </w:rPr>
              <w:t xml:space="preserve">binding_availability PK binding_id plus target_key</w:t>
            </w:r>
          </w:p>
        </w:tc>
        <w:tc>
          <w:tcPr>
            <w:tcW w:w="7668" w:type="dxa"/>
            <w:shd w:fill="FFFFFF"/>
            <w:vAlign w:val="top"/>
          </w:tcPr>
          <w:p>
            <w:pPr>
              <w:spacing w:after="60" w:line="235" w:lineRule="auto"/>
            </w:pPr>
            <w:r>
              <w:rPr>
                <w:rFonts w:ascii="DejaVu Sans" w:hAnsi="DejaVu Sans"/>
                <w:sz w:val="18"/>
              </w:rPr>
              <w:t xml:space="preserve">Nonnullable target_key identifies a platform or target instance; binding_id FK binding_definitions. Observed availability/reason, OS/build identity and checked_at. Cache only, never authority. Per-client grants reference binding IDs/source versions and allowed argument/target constraints.</w:t>
            </w:r>
          </w:p>
        </w:tc>
      </w:tr>
    </w:tbl>
    <w:p>
      <w:pPr>
        <w:spacing w:after="90" w:line="260" w:lineRule="auto"/>
      </w:pPr>
    </w:p>
    <w:p>
      <w:pPr>
        <w:pStyle w:val="Heading2"/>
        <w:keepNext/>
        <w:spacing w:after="90" w:line="260" w:lineRule="auto"/>
      </w:pPr>
      <w:r>
        <w:rPr>
          <w:rFonts w:ascii="DejaVu Sans" w:hAnsi="DejaVu Sans"/>
          <w:b/>
          <w:sz w:val="25"/>
        </w:rPr>
        <w:t xml:space="preserve">Catalog artifact import contract</w:t>
      </w:r>
    </w:p>
    <w:p>
      <w:pPr>
        <w:spacing w:after="90" w:line="260" w:lineRule="auto"/>
      </w:pPr>
      <w:r>
        <w:rPr>
          <w:rFonts w:ascii="DejaVu Sans" w:hAnsi="DejaVu Sans"/>
          <w:sz w:val="21"/>
        </w:rPr>
        <w:t xml:space="preserve">Accept a versioned SQLite catalog with equivalent JSON/JSONL export and a machine-readable source/coverage manifest. Require format version, exact source revisions and hashes, API/build applicability, schema hashes, permission evidence and mapping-state totals. Validate offline into staging and atomically publish a registry revision; no imported file supplies executable code or bypasses live Android checks. Dataset aggregation and completeness certification are separate deliverables, not implied by this design.</w:t>
      </w:r>
    </w:p>
    <w:p>
      <w:pPr>
        <w:pStyle w:val="Heading1"/>
        <w:keepNext/>
        <w:spacing w:after="90" w:line="260" w:lineRule="auto"/>
      </w:pPr>
      <w:r>
        <w:rPr>
          <w:rFonts w:ascii="DejaVu Sans" w:hAnsi="DejaVu Sans"/>
          <w:b/>
          <w:sz w:val="30"/>
        </w:rPr>
        <w:t xml:space="preserve">Binding permissions metadata and validation</w:t>
      </w:r>
    </w:p>
    <w:p>
      <w:pPr>
        <w:spacing w:after="90" w:line="260" w:lineRule="auto"/>
      </w:pPr>
      <w:r>
        <w:rPr>
          <w:rFonts w:ascii="DejaVu Sans" w:hAnsi="DejaVu Sans"/>
          <w:sz w:val="21"/>
        </w:rPr>
        <w:t xml:space="preserve">Authorization evaluates the resolved binding IDs, not the route name. client_binding_rules is authoritative for method access; client_tool_rules can additionally restrict a convenience/entry-point tool but cannot widen a binding grant. Every required binding must be granted. Any matching global, binding or entry-point Deny wins; otherwise Ask dominates Allow and all constraints intersect. Unknown/missing binding rules deny. The UI previews canonical grants and all affected aliases when applying changes, avoiding a hidden shadow policy.</w:t>
      </w:r>
    </w:p>
    <w:p>
      <w:pPr>
        <w:spacing w:after="90" w:line="260" w:lineRule="auto"/>
      </w:pPr>
      <w:r>
        <w:rPr>
          <w:rFonts w:ascii="DejaVu Sans" w:hAnsi="DejaVu Sans"/>
          <w:sz w:val="21"/>
        </w:rPr>
        <w:t xml:space="preserve">Import declared Android requirements with provenance: RequiresPermission value/allOf/anyOf/conditional and read/write variants; AIDL EnforcePermission, PermissionManuallyEnforced and RequiresNoPermission where present. Absence means unknown, not no permission. Preserve the source/API version and annotation location. AppOps, runtime state and manual service checks can add requirements, so annotations are evidence, not a complete authorization oracle. [S32–S34]</w:t>
      </w:r>
    </w:p>
    <w:p>
      <w:pPr>
        <w:spacing w:after="90" w:line="260" w:lineRule="auto"/>
      </w:pPr>
      <w:r>
        <w:rPr>
          <w:rFonts w:ascii="DejaVu Sans" w:hAnsi="DejaVu Sans"/>
          <w:sz w:val="21"/>
        </w:rPr>
        <w:t xml:space="preserve">Publish a complete source manifest and a reconciliation report: source member count = mapped plus codec-unsupported plus schema-unknown entries, with no silent drops and exactly one mapping state per member. Runtime availability is a separate axis: a mapped member may be OS unavailable and is not counted twice. Distinguish source coverage from runtime endpoint reachability and actual authorized invocation. Android non-SDK restrictions can block reflection/JNI even when a signature is known; ordinary apps cannot enumerate or use every private system service. [S28–S31]</w:t>
      </w:r>
    </w:p>
    <w:p>
      <w:pPr>
        <w:spacing w:after="90" w:line="260" w:lineRule="auto"/>
      </w:pPr>
      <w:r>
        <w:rPr>
          <w:rFonts w:ascii="DejaVu Sans" w:hAnsi="DejaVu Sans"/>
          <w:sz w:val="21"/>
        </w:rPr>
        <w:t xml:space="preserve">In Avalonia, add an All bindings browser with package/interface tree, search, version/source filters and separate columns for Mapped, Codec unsupported and Schema unknown, plus a separate runtime-availability column. Show declared Android requirements, observed backend/OS access and client MCP permission in three separate fields; an Android annotation never grants a client access. Bulk permission edits preview the exact versioned member set and do not silently grant future imports. The complete inventory remains visible even when invocation is denied.</w:t>
      </w:r>
    </w:p>
    <w:p>
      <w:pPr>
        <w:spacing w:after="90" w:line="260" w:lineRule="auto"/>
      </w:pPr>
      <w:r>
        <w:rPr>
          <w:rFonts w:ascii="DejaVu Sans" w:hAnsi="DejaVu Sans"/>
          <w:sz w:val="21"/>
        </w:rPr>
        <w:t xml:space="preserve">Stage imports, validate recursive type limits and duplicate IDs, generate/verify dispatch artifacts, then atomically publish a new registry revision and invalidate affected approvals. A failed generator or Android marshalling gate leaves entries visible as unsupported; it must not fall back to arbitrary unvalidated parcels. Do not execute imported source code, deserialize arbitrary runtime types or silently widen a previously granted schema.</w:t>
      </w:r>
    </w:p>
    <w:p>
      <w:pPr>
        <w:pStyle w:val="Heading2"/>
        <w:keepNext/>
        <w:spacing w:after="90" w:line="260" w:lineRule="auto"/>
      </w:pPr>
      <w:r>
        <w:rPr>
          <w:rFonts w:ascii="DejaVu Sans" w:hAnsi="DejaVu Sans"/>
          <w:b/>
          <w:sz w:val="25"/>
        </w:rPr>
        <w:t xml:space="preserve">Acceptance evidence</w:t>
      </w:r>
    </w:p>
    <w:p>
      <w:pPr>
        <w:spacing w:after="90" w:line="260" w:lineRule="auto"/>
      </w:pPr>
      <w:r>
        <w:rPr>
          <w:rFonts w:ascii="DejaVu Sans" w:hAnsi="DejaVu Sans"/>
          <w:sz w:val="21"/>
        </w:rPr>
        <w:t xml:space="preserve">Compare every source member with the published registry; round-trip overloads and parcelables; test callbacks, handles, files and one-way methods; reject malformed recursive schemas and cross-client handles. Verify generated versus generic entry points share policy, and raw access never masquerades as method-isolated permission. Test annotation allOf/anyOf/conditional/read-write handling, absent metadata as unknown, SDK/OEM version drift, missing AIDL, non-SDK denial and pagination across imports. Add real Android instrumentation after mock marshalling and policy tests.</w:t>
      </w:r>
    </w:p>
    <w:p>
      <w:pPr>
        <w:pStyle w:val="Heading1"/>
        <w:keepNext/>
        <w:spacing w:after="90" w:line="260" w:lineRule="auto"/>
      </w:pPr>
      <w:r>
        <w:rPr>
          <w:rFonts w:ascii="DejaVu Sans" w:hAnsi="DejaVu Sans"/>
          <w:b/>
          <w:sz w:val="30"/>
        </w:rPr>
        <w:t xml:space="preserve">Catalog compatibility and administration API</w:t>
      </w:r>
    </w:p>
    <w:p>
      <w:pPr>
        <w:spacing w:after="90" w:line="260" w:lineRule="auto"/>
      </w:pPr>
      <w:r>
        <w:rPr>
          <w:rFonts w:ascii="DejaVu Sans" w:hAnsi="DejaVu Sans"/>
          <w:sz w:val="21"/>
        </w:rPr>
        <w:t xml:space="preserve">Treat the runtime catalog as a versioned data product. A companion SQLite DDL, JSON Schema and OpenAPI 3.1 contract define the machine interface. Keep catalog format version, source snapshot revision, entry revision, API version and published registry revision distinct. Stable entry IDs identify namespace plus logical qualified signature; schema/content hashes detect changed contracts. Never recycle deleted IDs or reinterpret an old schema version silently.</w:t>
      </w:r>
    </w:p>
    <w:p>
      <w:pPr>
        <w:pStyle w:val="Heading2"/>
        <w:keepNext/>
        <w:spacing w:after="90" w:line="260" w:lineRule="auto"/>
      </w:pPr>
      <w:r>
        <w:rPr>
          <w:rFonts w:ascii="DejaVu Sans" w:hAnsi="DejaVu Sans"/>
          <w:b/>
          <w:sz w:val="25"/>
        </w:rPr>
        <w:t xml:space="preserve">Forward compatible catalog records</w:t>
      </w:r>
    </w:p>
    <w:p>
      <w:pPr>
        <w:spacing w:after="90" w:line="260" w:lineRule="auto"/>
      </w:pPr>
      <w:r>
        <w:rPr>
          <w:rFonts w:ascii="DejaVu Sans" w:hAnsi="DejaVu Sans"/>
          <w:sz w:val="21"/>
        </w:rPr>
        <w:t xml:space="preserve">Use an extensible permission expression tree: permission, allOf, anyOf, conditional, read/write, manual enforcement, declared none and unknown, each with provenance and applicability. Preserve x- properties on known semantic nodes for round-trip storage, but report them unsupported for evaluation; unknown is never equivalent to permission-free. Readers reject unsupported major formats and negotiate documented additive minor changes. Migrations retain immutable source history.</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Storage record</w:t>
            </w:r>
          </w:p>
        </w:tc>
        <w:tc>
          <w:tcPr>
            <w:tcW w:w="7668" w:type="dxa"/>
            <w:shd w:fill="E4EDF5"/>
            <w:vAlign w:val="top"/>
          </w:tcPr>
          <w:p>
            <w:pPr>
              <w:spacing w:after="60" w:line="235" w:lineRule="auto"/>
            </w:pPr>
            <w:r>
              <w:rPr>
                <w:rFonts w:ascii="DejaVu Sans" w:hAnsi="DejaVu Sans"/>
                <w:b/>
                <w:sz w:val="18"/>
              </w:rPr>
              <w:t xml:space="preserve">Purpose</w:t>
            </w:r>
          </w:p>
        </w:tc>
      </w:tr>
      <w:tr>
        <w:trPr>
          <w:cantSplit/>
        </w:trPr>
        <w:tc>
          <w:tcPr>
            <w:tcW w:w="2556" w:type="dxa"/>
            <w:shd w:fill="FFFFFF"/>
            <w:vAlign w:val="top"/>
          </w:tcPr>
          <w:p>
            <w:pPr>
              <w:spacing w:after="60" w:line="235" w:lineRule="auto"/>
            </w:pPr>
            <w:r>
              <w:rPr>
                <w:rFonts w:ascii="DejaVu Sans" w:hAnsi="DejaVu Sans"/>
                <w:sz w:val="18"/>
              </w:rPr>
              <w:t xml:space="preserve">registries / registry_sources / registry_entries</w:t>
            </w:r>
          </w:p>
        </w:tc>
        <w:tc>
          <w:tcPr>
            <w:tcW w:w="7668" w:type="dxa"/>
            <w:shd w:fill="FFFFFF"/>
            <w:vAlign w:val="top"/>
          </w:tcPr>
          <w:p>
            <w:pPr>
              <w:spacing w:after="60" w:line="235" w:lineRule="auto"/>
            </w:pPr>
            <w:r>
              <w:rPr>
                <w:rFonts w:ascii="DejaVu Sans" w:hAnsi="DejaVu Sans"/>
                <w:sz w:val="18"/>
              </w:rPr>
              <w:t xml:space="preserve">Immutable imported source set, source revisions/hashes, format version, coverage manifest and import status. Google-imported facts are never overwritten in place.</w:t>
            </w:r>
          </w:p>
        </w:tc>
      </w:tr>
      <w:tr>
        <w:trPr>
          <w:cantSplit/>
        </w:trPr>
        <w:tc>
          <w:tcPr>
            <w:tcW w:w="2556" w:type="dxa"/>
            <w:shd w:fill="FFFFFF"/>
            <w:vAlign w:val="top"/>
          </w:tcPr>
          <w:p>
            <w:pPr>
              <w:spacing w:after="60" w:line="235" w:lineRule="auto"/>
            </w:pPr>
            <w:r>
              <w:rPr>
                <w:rFonts w:ascii="DejaVu Sans" w:hAnsi="DejaVu Sans"/>
                <w:sz w:val="18"/>
              </w:rPr>
              <w:t xml:space="preserve">overlays</w:t>
            </w:r>
          </w:p>
        </w:tc>
        <w:tc>
          <w:tcPr>
            <w:tcW w:w="7668" w:type="dxa"/>
            <w:shd w:fill="FFFFFF"/>
            <w:vAlign w:val="top"/>
          </w:tcPr>
          <w:p>
            <w:pPr>
              <w:spacing w:after="60" w:line="235" w:lineRule="auto"/>
            </w:pPr>
            <w:r>
              <w:rPr>
                <w:rFonts w:ascii="DejaVu Sans" w:hAnsi="DejaVu Sans"/>
                <w:sz w:val="18"/>
              </w:rPr>
              <w:t xml:space="preserve">Stable entry ID, base snapshot/hash, overlay revision, local additions or patches, tombstone flag and provenance. Effective entries combine the selected immutable base with validated owner changes.</w:t>
            </w:r>
          </w:p>
        </w:tc>
      </w:tr>
      <w:tr>
        <w:trPr>
          <w:cantSplit/>
        </w:trPr>
        <w:tc>
          <w:tcPr>
            <w:tcW w:w="2556" w:type="dxa"/>
            <w:shd w:fill="FFFFFF"/>
            <w:vAlign w:val="top"/>
          </w:tcPr>
          <w:p>
            <w:pPr>
              <w:spacing w:after="60" w:line="235" w:lineRule="auto"/>
            </w:pPr>
            <w:r>
              <w:rPr>
                <w:rFonts w:ascii="DejaVu Sans" w:hAnsi="DejaVu Sans"/>
                <w:sz w:val="18"/>
              </w:rPr>
              <w:t xml:space="preserve">entry_history / registry_events / registry_outbox</w:t>
            </w:r>
          </w:p>
        </w:tc>
        <w:tc>
          <w:tcPr>
            <w:tcW w:w="7668" w:type="dxa"/>
            <w:shd w:fill="FFFFFF"/>
            <w:vAlign w:val="top"/>
          </w:tcPr>
          <w:p>
            <w:pPr>
              <w:spacing w:after="60" w:line="235" w:lineRule="auto"/>
            </w:pPr>
            <w:r>
              <w:rPr>
                <w:rFonts w:ascii="DejaVu Sans" w:hAnsi="DejaVu Sans"/>
                <w:sz w:val="18"/>
              </w:rPr>
              <w:t xml:space="preserve">Actor, request ID, before/after revision, change kind, timestamp and publish result. Minimal audit; never store credentials or device-call payloads here.</w:t>
            </w:r>
          </w:p>
        </w:tc>
      </w:tr>
    </w:tbl>
    <w:p>
      <w:pPr>
        <w:spacing w:after="90" w:line="260" w:lineRule="auto"/>
      </w:pPr>
    </w:p>
    <w:p>
      <w:pPr>
        <w:pStyle w:val="Heading2"/>
        <w:keepNext/>
        <w:spacing w:after="90" w:line="260" w:lineRule="auto"/>
      </w:pPr>
      <w:r>
        <w:rPr>
          <w:rFonts w:ascii="DejaVu Sans" w:hAnsi="DejaVu Sans"/>
          <w:b/>
          <w:sz w:val="25"/>
        </w:rPr>
        <w:t xml:space="preserve">Separate catalog CRUD API</w:t>
      </w:r>
    </w:p>
    <w:p>
      <w:pPr>
        <w:spacing w:after="90" w:line="260" w:lineRule="auto"/>
      </w:pPr>
      <w:r>
        <w:rPr>
          <w:rFonts w:ascii="DejaVu Sans Mono" w:hAnsi="DejaVu Sans Mono"/>
          <w:sz w:val="18"/>
        </w:rPr>
        <w:t xml:space="preserve">catalog/contracts/openapi.json</w:t>
      </w:r>
      <w:r>
        <w:rPr>
          <w:rFonts w:ascii="DejaVu Sans" w:hAnsi="DejaVu Sans"/>
          <w:sz w:val="21"/>
        </w:rPr>
        <w:t xml:space="preserve"> and </w:t>
      </w:r>
      <w:r>
        <w:rPr>
          <w:rFonts w:ascii="DejaVu Sans Mono" w:hAnsi="DejaVu Sans Mono"/>
          <w:sz w:val="18"/>
        </w:rPr>
        <w:t xml:space="preserve">catalog/API-CONTRACT.md</w:t>
      </w:r>
      <w:r>
        <w:rPr>
          <w:rFonts w:ascii="DejaVu Sans" w:hAnsi="DejaVu Sans"/>
          <w:sz w:val="21"/>
        </w:rPr>
        <w:t xml:space="preserve"> are authoritative. There is one route family; no PATCH alias.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API shape</w:t>
            </w:r>
          </w:p>
        </w:tc>
        <w:tc>
          <w:tcPr>
            <w:tcW w:w="7668" w:type="dxa"/>
            <w:shd w:fill="E4EDF5"/>
            <w:vAlign w:val="top"/>
          </w:tcPr>
          <w:p>
            <w:pPr>
              <w:spacing w:after="60" w:line="235" w:lineRule="auto"/>
            </w:pPr>
            <w:r>
              <w:rPr>
                <w:rFonts w:ascii="DejaVu Sans" w:hAnsi="DejaVu Sans"/>
                <w:b/>
                <w:sz w:val="18"/>
              </w:rPr>
              <w:t xml:space="preserve">Behavior</w:t>
            </w:r>
          </w:p>
        </w:tc>
      </w:tr>
      <w:tr>
        <w:trPr>
          <w:cantSplit/>
        </w:trPr>
        <w:tc>
          <w:tcPr>
            <w:tcW w:w="2556" w:type="dxa"/>
            <w:shd w:fill="FFFFFF"/>
            <w:vAlign w:val="top"/>
          </w:tcPr>
          <w:p>
            <w:pPr>
              <w:spacing w:after="60" w:line="235" w:lineRule="auto"/>
            </w:pPr>
            <w:r>
              <w:rPr>
                <w:rFonts w:ascii="DejaVu Sans" w:hAnsi="DejaVu Sans"/>
                <w:sz w:val="18"/>
              </w:rPr>
              <w:t xml:space="preserve">GET /v1/catalog/entries</w:t>
            </w:r>
          </w:p>
        </w:tc>
        <w:tc>
          <w:tcPr>
            <w:tcW w:w="7668" w:type="dxa"/>
            <w:shd w:fill="FFFFFF"/>
            <w:vAlign w:val="top"/>
          </w:tcPr>
          <w:p>
            <w:pPr>
              <w:spacing w:after="60" w:line="235" w:lineRule="auto"/>
            </w:pPr>
            <w:r>
              <w:rPr>
                <w:rFonts w:ascii="DejaVu Sans" w:hAnsi="DejaVu Sans"/>
                <w:sz w:val="18"/>
              </w:rPr>
              <w:t xml:space="preserve">Search pinned registry/overlay view; expired cursor 410.</w:t>
            </w:r>
          </w:p>
        </w:tc>
      </w:tr>
      <w:tr>
        <w:trPr>
          <w:cantSplit/>
        </w:trPr>
        <w:tc>
          <w:tcPr>
            <w:tcW w:w="2556" w:type="dxa"/>
            <w:shd w:fill="FFFFFF"/>
            <w:vAlign w:val="top"/>
          </w:tcPr>
          <w:p>
            <w:pPr>
              <w:spacing w:after="60" w:line="235" w:lineRule="auto"/>
            </w:pPr>
            <w:r>
              <w:rPr>
                <w:rFonts w:ascii="DejaVu Sans" w:hAnsi="DejaVu Sans"/>
                <w:sz w:val="18"/>
              </w:rPr>
              <w:t xml:space="preserve">GET /v1/catalog/entries/{entry_id}</w:t>
            </w:r>
          </w:p>
        </w:tc>
        <w:tc>
          <w:tcPr>
            <w:tcW w:w="7668" w:type="dxa"/>
            <w:shd w:fill="FFFFFF"/>
            <w:vAlign w:val="top"/>
          </w:tcPr>
          <w:p>
            <w:pPr>
              <w:spacing w:after="60" w:line="235" w:lineRule="auto"/>
            </w:pPr>
            <w:r>
              <w:rPr>
                <w:rFonts w:ascii="DejaVu Sans" w:hAnsi="DejaVu Sans"/>
                <w:sz w:val="18"/>
              </w:rPr>
              <w:t xml:space="preserve">Effective entry and current cat1 ETag; conflicts visible, tombstone 410 with current ETag.</w:t>
            </w:r>
          </w:p>
        </w:tc>
      </w:tr>
      <w:tr>
        <w:trPr>
          <w:cantSplit/>
        </w:trPr>
        <w:tc>
          <w:tcPr>
            <w:tcW w:w="2556" w:type="dxa"/>
            <w:shd w:fill="FFFFFF"/>
            <w:vAlign w:val="top"/>
          </w:tcPr>
          <w:p>
            <w:pPr>
              <w:spacing w:after="60" w:line="235" w:lineRule="auto"/>
            </w:pPr>
            <w:r>
              <w:rPr>
                <w:rFonts w:ascii="DejaVu Sans" w:hAnsi="DejaVu Sans"/>
                <w:sz w:val="18"/>
              </w:rPr>
              <w:t xml:space="preserve">POST /v1/catalog/entries</w:t>
            </w:r>
          </w:p>
        </w:tc>
        <w:tc>
          <w:tcPr>
            <w:tcW w:w="7668" w:type="dxa"/>
            <w:shd w:fill="FFFFFF"/>
            <w:vAlign w:val="top"/>
          </w:tcPr>
          <w:p>
            <w:pPr>
              <w:spacing w:after="60" w:line="235" w:lineRule="auto"/>
            </w:pPr>
            <w:r>
              <w:rPr>
                <w:rFonts w:ascii="DejaVu Sans" w:hAnsi="DejaVu Sans"/>
                <w:sz w:val="18"/>
              </w:rPr>
              <w:t xml:space="preserve">Create local entry; canonical ID collision 409; Idempotency-Key required.</w:t>
            </w:r>
          </w:p>
        </w:tc>
      </w:tr>
      <w:tr>
        <w:trPr>
          <w:cantSplit/>
        </w:trPr>
        <w:tc>
          <w:tcPr>
            <w:tcW w:w="2556" w:type="dxa"/>
            <w:shd w:fill="FFFFFF"/>
            <w:vAlign w:val="top"/>
          </w:tcPr>
          <w:p>
            <w:pPr>
              <w:spacing w:after="60" w:line="235" w:lineRule="auto"/>
            </w:pPr>
            <w:r>
              <w:rPr>
                <w:rFonts w:ascii="DejaVu Sans" w:hAnsi="DejaVu Sans"/>
                <w:sz w:val="18"/>
              </w:rPr>
              <w:t xml:space="preserve">PUT /v1/catalog/entries/{entry_id}</w:t>
            </w:r>
          </w:p>
        </w:tc>
        <w:tc>
          <w:tcPr>
            <w:tcW w:w="7668" w:type="dxa"/>
            <w:shd w:fill="FFFFFF"/>
            <w:vAlign w:val="top"/>
          </w:tcPr>
          <w:p>
            <w:pPr>
              <w:spacing w:after="60" w:line="235" w:lineRule="auto"/>
            </w:pPr>
            <w:r>
              <w:rPr>
                <w:rFonts w:ascii="DejaVu Sans" w:hAnsi="DejaVu Sans"/>
                <w:sz w:val="18"/>
              </w:rPr>
              <w:t xml:space="preserve">If-Match current cat1 ETag, including conflicts/tombstones. Overlay mutation, restore or explicit rebase; no imported mutation.</w:t>
            </w:r>
          </w:p>
        </w:tc>
      </w:tr>
      <w:tr>
        <w:trPr>
          <w:cantSplit/>
        </w:trPr>
        <w:tc>
          <w:tcPr>
            <w:tcW w:w="2556" w:type="dxa"/>
            <w:shd w:fill="FFFFFF"/>
            <w:vAlign w:val="top"/>
          </w:tcPr>
          <w:p>
            <w:pPr>
              <w:spacing w:after="60" w:line="235" w:lineRule="auto"/>
            </w:pPr>
            <w:r>
              <w:rPr>
                <w:rFonts w:ascii="DejaVu Sans" w:hAnsi="DejaVu Sans"/>
                <w:sz w:val="18"/>
              </w:rPr>
              <w:t xml:space="preserve">DELETE /v1/catalog/entries/{entry_id}</w:t>
            </w:r>
          </w:p>
        </w:tc>
        <w:tc>
          <w:tcPr>
            <w:tcW w:w="7668" w:type="dxa"/>
            <w:shd w:fill="FFFFFF"/>
            <w:vAlign w:val="top"/>
          </w:tcPr>
          <w:p>
            <w:pPr>
              <w:spacing w:after="60" w:line="235" w:lineRule="auto"/>
            </w:pPr>
            <w:r>
              <w:rPr>
                <w:rFonts w:ascii="DejaVu Sans" w:hAnsi="DejaVu Sans"/>
                <w:sz w:val="18"/>
              </w:rPr>
              <w:t xml:space="preserve">If-Match; suppression/deletion tombstone; conflict requires explicit resolution first (409).</w:t>
            </w:r>
          </w:p>
        </w:tc>
      </w:tr>
      <w:tr>
        <w:trPr>
          <w:cantSplit/>
        </w:trPr>
        <w:tc>
          <w:tcPr>
            <w:tcW w:w="2556" w:type="dxa"/>
            <w:shd w:fill="FFFFFF"/>
            <w:vAlign w:val="top"/>
          </w:tcPr>
          <w:p>
            <w:pPr>
              <w:spacing w:after="60" w:line="235" w:lineRule="auto"/>
            </w:pPr>
            <w:r>
              <w:rPr>
                <w:rFonts w:ascii="DejaVu Sans" w:hAnsi="DejaVu Sans"/>
                <w:sz w:val="18"/>
              </w:rPr>
              <w:t xml:space="preserve">GET /v1/catalog/entries/{entry_id}/history</w:t>
            </w:r>
          </w:p>
        </w:tc>
        <w:tc>
          <w:tcPr>
            <w:tcW w:w="7668" w:type="dxa"/>
            <w:shd w:fill="FFFFFF"/>
            <w:vAlign w:val="top"/>
          </w:tcPr>
          <w:p>
            <w:pPr>
              <w:spacing w:after="60" w:line="235" w:lineRule="auto"/>
            </w:pPr>
            <w:r>
              <w:rPr>
                <w:rFonts w:ascii="DejaVu Sans" w:hAnsi="DejaVu Sans"/>
                <w:sz w:val="18"/>
              </w:rPr>
              <w:t xml:space="preserve">Immutable history and current administrative ETag for CAS.</w:t>
            </w:r>
          </w:p>
        </w:tc>
      </w:tr>
      <w:tr>
        <w:trPr>
          <w:cantSplit/>
        </w:trPr>
        <w:tc>
          <w:tcPr>
            <w:tcW w:w="2556" w:type="dxa"/>
            <w:shd w:fill="FFFFFF"/>
            <w:vAlign w:val="top"/>
          </w:tcPr>
          <w:p>
            <w:pPr>
              <w:spacing w:after="60" w:line="235" w:lineRule="auto"/>
            </w:pPr>
            <w:r>
              <w:rPr>
                <w:rFonts w:ascii="DejaVu Sans" w:hAnsi="DejaVu Sans"/>
                <w:sz w:val="18"/>
              </w:rPr>
              <w:t xml:space="preserve">POST /v1/catalog/imports</w:t>
            </w:r>
          </w:p>
        </w:tc>
        <w:tc>
          <w:tcPr>
            <w:tcW w:w="7668" w:type="dxa"/>
            <w:shd w:fill="FFFFFF"/>
            <w:vAlign w:val="top"/>
          </w:tcPr>
          <w:p>
            <w:pPr>
              <w:spacing w:after="60" w:line="235" w:lineRule="auto"/>
            </w:pPr>
            <w:r>
              <w:rPr>
                <w:rFonts w:ascii="DejaVu Sans" w:hAnsi="DejaVu Sans"/>
                <w:sz w:val="18"/>
              </w:rPr>
              <w:t xml:space="preserve">Idempotent immutable staging and validation, no active view change.</w:t>
            </w:r>
          </w:p>
        </w:tc>
      </w:tr>
      <w:tr>
        <w:trPr>
          <w:cantSplit/>
        </w:trPr>
        <w:tc>
          <w:tcPr>
            <w:tcW w:w="2556" w:type="dxa"/>
            <w:shd w:fill="FFFFFF"/>
            <w:vAlign w:val="top"/>
          </w:tcPr>
          <w:p>
            <w:pPr>
              <w:spacing w:after="60" w:line="235" w:lineRule="auto"/>
            </w:pPr>
            <w:r>
              <w:rPr>
                <w:rFonts w:ascii="DejaVu Sans" w:hAnsi="DejaVu Sans"/>
                <w:sz w:val="18"/>
              </w:rPr>
              <w:t xml:space="preserve">GET /v1/catalog/registries/{registry_id}</w:t>
            </w:r>
          </w:p>
        </w:tc>
        <w:tc>
          <w:tcPr>
            <w:tcW w:w="7668" w:type="dxa"/>
            <w:shd w:fill="FFFFFF"/>
            <w:vAlign w:val="top"/>
          </w:tcPr>
          <w:p>
            <w:pPr>
              <w:spacing w:after="60" w:line="235" w:lineRule="auto"/>
            </w:pPr>
            <w:r>
              <w:rPr>
                <w:rFonts w:ascii="DejaVu Sans" w:hAnsi="DejaVu Sans"/>
                <w:sz w:val="18"/>
              </w:rPr>
              <w:t xml:space="preserve">Registry metadata, state and validation evidence.</w:t>
            </w:r>
          </w:p>
        </w:tc>
      </w:tr>
      <w:tr>
        <w:trPr>
          <w:cantSplit/>
        </w:trPr>
        <w:tc>
          <w:tcPr>
            <w:tcW w:w="2556" w:type="dxa"/>
            <w:shd w:fill="FFFFFF"/>
            <w:vAlign w:val="top"/>
          </w:tcPr>
          <w:p>
            <w:pPr>
              <w:spacing w:after="60" w:line="235" w:lineRule="auto"/>
            </w:pPr>
            <w:r>
              <w:rPr>
                <w:rFonts w:ascii="DejaVu Sans" w:hAnsi="DejaVu Sans"/>
                <w:sz w:val="18"/>
              </w:rPr>
              <w:t xml:space="preserve">POST /v1/catalog/registries/{registry_id}/publish</w:t>
            </w:r>
          </w:p>
        </w:tc>
        <w:tc>
          <w:tcPr>
            <w:tcW w:w="7668" w:type="dxa"/>
            <w:shd w:fill="FFFFFF"/>
            <w:vAlign w:val="top"/>
          </w:tcPr>
          <w:p>
            <w:pPr>
              <w:spacing w:after="60" w:line="235" w:lineRule="auto"/>
            </w:pPr>
            <w:r>
              <w:rPr>
                <w:rFonts w:ascii="DejaVu Sans" w:hAnsi="DejaVu Sans"/>
                <w:sz w:val="18"/>
              </w:rPr>
              <w:t xml:space="preserve">Idempotent atomic publication of validated registry, overlay rebase/conflicts, generation increment and approval invalidation.</w:t>
            </w:r>
          </w:p>
        </w:tc>
      </w:tr>
    </w:tbl>
    <w:p>
      <w:pPr>
        <w:spacing w:after="90" w:line="260" w:lineRule="auto"/>
      </w:pPr>
    </w:p>
    <w:p>
      <w:pPr>
        <w:spacing w:after="90" w:line="260" w:lineRule="auto"/>
      </w:pPr>
      <w:r>
        <w:rPr>
          <w:rFonts w:ascii="DejaVu Sans" w:hAnsi="DejaVu Sans"/>
          <w:sz w:val="21"/>
        </w:rPr>
        <w:t xml:space="preserve">Executable catalog DDL, configuration DDL, offline dispatch manifest generator and contract fixtures accompany this design. They specify and validate contracts; Android hosting and dispatch remain release gates requiring actual implementation/runtime evidence.</w:t>
      </w:r>
    </w:p>
    <w:p>
      <w:pPr>
        <w:spacing w:after="90" w:line="260" w:lineRule="auto"/>
      </w:pPr>
      <w:r>
        <w:rPr>
          <w:rFonts w:ascii="DejaVu Sans" w:hAnsi="DejaVu Sans"/>
          <w:sz w:val="21"/>
        </w:rPr>
        <w:t xml:space="preserve">Catalog administration uses a distinct authenticated admin scope and explicit owner authorization, never an ordinary device-call permission. Reuse authenticated loopback transport protections or a separately approved management transport; localhost alone is not trusted. CRUD does not grant invocation rights and exposes no client credential or permission mutation as a normal agent tool. No administration endpoint is enabled by this design document.</w:t>
      </w:r>
    </w:p>
    <w:p>
      <w:pPr>
        <w:spacing w:after="90" w:line="260" w:lineRule="auto"/>
      </w:pPr>
      <w:r>
        <w:rPr>
          <w:rFonts w:ascii="DejaVu Sans" w:hAnsi="DejaVu Sans"/>
          <w:sz w:val="21"/>
        </w:rPr>
        <w:t xml:space="preserve">Test source refresh with overlays, tombstone persistence, referenced-entry deletion, concurrent ETag edits, rollback, import/export round trips, unknown extension nodes, major-version rejection and no privilege gain after CRUD. Publishing altered schemas invalidates affected approvals and schema-bound grants until reevaluated.</w:t>
      </w:r>
    </w:p>
    <w:p>
      <w:pPr>
        <w:pStyle w:val="Heading1"/>
        <w:keepNext/>
        <w:spacing w:after="90" w:line="260" w:lineRule="auto"/>
      </w:pPr>
      <w:r>
        <w:rPr>
          <w:rFonts w:ascii="DejaVu Sans" w:hAnsi="DejaVu Sans"/>
          <w:b/>
          <w:sz w:val="30"/>
        </w:rPr>
        <w:t xml:space="preserve">Startup device-resolved bindings, types and generic Binder execution</w:t>
      </w:r>
    </w:p>
    <w:p>
      <w:pPr>
        <w:spacing w:after="90" w:line="260" w:lineRule="auto"/>
      </w:pPr>
      <w:r>
        <w:rPr>
          <w:rFonts w:ascii="DejaVu Sans" w:hAnsi="DejaVu Sans"/>
          <w:sz w:val="21"/>
        </w:rPr>
        <w:t xml:space="preserve">At startup the headless service resolves a device-specific view of both bindings and types before admitting device calls. The immutable catalog remains the full inventory: unavailable, unknown, historical and future entries are retained with reasons. A filtered available view is a projection, never a replacement import or a curated catalog. Service reachability, version applicability, verified wire support, OS/backend authority and MCP client grants are separate facts. An available entry never grants invocation.</w:t>
      </w:r>
    </w:p>
    <w:p>
      <w:pPr>
        <w:pStyle w:val="Heading2"/>
        <w:keepNext/>
        <w:spacing w:after="90" w:line="260" w:lineRule="auto"/>
      </w:pPr>
      <w:r>
        <w:rPr>
          <w:rFonts w:ascii="DejaVu Sans" w:hAnsi="DejaVu Sans"/>
          <w:b/>
          <w:sz w:val="25"/>
        </w:rPr>
        <w:t xml:space="preserve">Capability capture and version evidence</w:t>
      </w:r>
    </w:p>
    <w:p>
      <w:pPr>
        <w:spacing w:after="90" w:line="260" w:lineRule="auto"/>
      </w:pPr>
      <w:r>
        <w:rPr>
          <w:rFonts w:ascii="DejaVu Sans" w:hAnsi="DejaVu Sans"/>
          <w:sz w:val="21"/>
        </w:rPr>
        <w:t xml:space="preserve">The capability collector uses only supported metadata operations within an already configured backend's authority. It records platform SDK major/minor, separately observed SDK extension family levels, build/OEM identity and installed module/interface versions where observable. Use SDK_INT_FULL and Build's major/minor accessors on supported releases; SDK_INT alone supplies a major, not an invented minor. A release display string, targetSdkVersion, the host SDK installation and extension level24 cannot stand in for the device's platform37.2. Missing, denied or unsupported observations remain unknown with provenance. No pairing, debugging toggle, privilege escalation or phone operation is performed by this design/reference deliverable. Android's documented full-SDK fields distinguish minor releases; extension availability has a separate runtime query. </w:t>
      </w:r>
      <w:hyperlink r:id="rIdDesign1001">
        <w:r>
          <w:rPr>
            <w:rFonts w:ascii="DejaVu Sans" w:hAnsi="DejaVu Sans"/>
            <w:color w:val="24577A"/>
            <w:sz w:val="21"/>
            <w:u w:val="single"/>
          </w:rPr>
          <w:t xml:space="preserve">Build.VERSION</w:t>
        </w:r>
      </w:hyperlink>
      <w:r>
        <w:rPr>
          <w:rFonts w:ascii="DejaVu Sans" w:hAnsi="DejaVu Sans"/>
          <w:sz w:val="21"/>
        </w:rPr>
        <w:t xml:space="preserve">, </w:t>
      </w:r>
      <w:hyperlink r:id="rIdDesign1002">
        <w:r>
          <w:rPr>
            <w:rFonts w:ascii="DejaVu Sans" w:hAnsi="DejaVu Sans"/>
            <w:color w:val="24577A"/>
            <w:sz w:val="21"/>
            <w:u w:val="single"/>
          </w:rPr>
          <w:t xml:space="preserve">Build accessors</w:t>
        </w:r>
      </w:hyperlink>
      <w:r>
        <w:rPr>
          <w:rFonts w:ascii="DejaVu Sans" w:hAnsi="DejaVu Sans"/>
          <w:sz w:val="21"/>
        </w:rPr>
        <w:t xml:space="preserve">, </w:t>
      </w:r>
      <w:hyperlink r:id="rIdDesign1003">
        <w:r>
          <w:rPr>
            <w:rFonts w:ascii="DejaVu Sans" w:hAnsi="DejaVu Sans"/>
            <w:color w:val="24577A"/>
            <w:sz w:val="21"/>
            <w:u w:val="single"/>
          </w:rPr>
          <w:t xml:space="preserve">SDK Extensions</w:t>
        </w:r>
      </w:hyperlink>
      <w:r>
        <w:rPr>
          <w:rFonts w:ascii="DejaVu Sans" w:hAnsi="DejaVu Sans"/>
          <w:sz w:val="21"/>
        </w:rPr>
        <w:t xml:space="preserve">.</w:t>
      </w:r>
    </w:p>
    <w:p>
      <w:pPr>
        <w:spacing w:after="90" w:line="260" w:lineRule="auto"/>
      </w:pPr>
      <w:r>
        <w:rPr>
          <w:rFonts w:ascii="DejaVu Sans" w:hAnsi="DejaVu Sans"/>
          <w:sz w:val="21"/>
        </w:rPr>
        <w:t xml:space="preserve">A DeviceCapabilitySnapshot is bound to the configured connection profile, target, Android user, device/session instance, observation epoch and collection evidence. It retains unknown values instead of converting them to zero or false. Probe failure is not proof of absence. Package visibility, backend access and non-SDK restrictions can limit observations. Record authoritative absence only when the supported observation actually establishes it. Build/OEM strings identify evidence applicability; they do not prove undocumented backports. Do not collect hardware serials or credentials to populate this view.</w:t>
      </w:r>
    </w:p>
    <w:p>
      <w:pPr>
        <w:spacing w:after="90" w:line="260" w:lineRule="auto"/>
      </w:pPr>
      <w:r>
        <w:rPr>
          <w:rFonts w:ascii="DejaVu Sans" w:hAnsi="DejaVu Sans"/>
          <w:sz w:val="21"/>
        </w:rPr>
        <w:t xml:space="preserve">Where supported by a known adapter and permitted by the existing backend, refine service metadata with endpoint descriptor, reachability and stable AIDL interface version/hash. Use generated/proven metadata operations, bounded timeouts and exact target/profile association; do not guess transaction IDs or probe private/OEM services universally. Stable AIDL explicitly provides version/hash queries, but service discovery or successful metadata calls do not prove authorization to invoke methods. An unrecognized hash leaves the wire contract unknown; an unreachable/denied probe leaves existence uncertain instead of declaring a method removed. </w:t>
      </w:r>
      <w:hyperlink r:id="rIdDesign1004">
        <w:r>
          <w:rPr>
            <w:rFonts w:ascii="DejaVu Sans" w:hAnsi="DejaVu Sans"/>
            <w:color w:val="24577A"/>
            <w:sz w:val="21"/>
            <w:u w:val="single"/>
          </w:rPr>
          <w:t xml:space="preserve">Stable AIDL metadata</w:t>
        </w:r>
      </w:hyperlink>
      <w:r>
        <w:rPr>
          <w:rFonts w:ascii="DejaVu Sans" w:hAnsi="DejaVu Sans"/>
          <w:sz w:val="21"/>
        </w:rPr>
        <w:t xml:space="preserve">.</w:t>
      </w:r>
    </w:p>
    <w:p>
      <w:pPr>
        <w:pStyle w:val="Heading2"/>
        <w:keepNext/>
        <w:spacing w:after="90" w:line="260" w:lineRule="auto"/>
      </w:pPr>
      <w:r>
        <w:rPr>
          <w:rFonts w:ascii="DejaVu Sans" w:hAnsi="DejaVu Sans"/>
          <w:b/>
          <w:sz w:val="25"/>
        </w:rPr>
        <w:t xml:space="preserve">Applicability and coherent type resolution</w:t>
      </w:r>
    </w:p>
    <w:p>
      <w:pPr>
        <w:spacing w:after="90" w:line="260" w:lineRule="auto"/>
      </w:pPr>
      <w:r>
        <w:rPr>
          <w:rFonts w:ascii="DejaVu Sans" w:hAnsi="DejaVu Sans"/>
          <w:sz w:val="21"/>
        </w:rPr>
        <w:t xml:space="preserve">Each source-backed binding/type variant has a versioned applicability rule and provenance. Introduction is inclusive and removal exclusive; deprecation alone is not removal. Conditions can constrain platform major/minor, a named SDK extension family, module version, exact OEM/build evidence and supported interface version/hash. Alternatives model documented backports; constraints within one alternative must all hold. Unknown conditions cannot become true by default. The source importer must retain lifecycle metadata and historical/future declarations in the full inventory; a current-target SDK projection must not discard the only records needed to resolve an older device. Legacy or unparsed applicability stays unknown until corrected evidence is imported.</w:t>
      </w:r>
    </w:p>
    <w:p>
      <w:pPr>
        <w:spacing w:after="90" w:line="260" w:lineRule="auto"/>
      </w:pPr>
      <w:r>
        <w:rPr>
          <w:rFonts w:ascii="DejaVu Sans" w:hAnsi="DejaVu Sans"/>
          <w:sz w:val="21"/>
        </w:rPr>
        <w:t xml:space="preserve">The resolver selects a schema variant only when the observed facts prove it and no unresolved, potentially applicable incompatible variant remains. Conflicting variants or unrecognized semantics yield unknown with retained evidence. Availability filtering applies to types, fields/enumerants and callable bindings, not just method names. A binding's required type schemas must resolve in the same snapshot with the expected schema identities. A missing/ambiguous type yields unknown; a version-excluded required type makes the binding unavailable. Mutually recursive types resolve as one coherent graph. Hash canonical finite type graphs/references without recursive expansion, and bind the selected graph digest to dispatch schema/codec identity so a dependency change invalidates approvals even when a method name is unchanged.</w:t>
      </w:r>
    </w:p>
    <w:p>
      <w:pPr>
        <w:spacing w:after="90" w:line="260" w:lineRule="auto"/>
      </w:pPr>
      <w:r>
        <w:rPr>
          <w:rFonts w:ascii="DejaVu Sans" w:hAnsi="DejaVu Sans"/>
          <w:sz w:val="21"/>
        </w:rPr>
        <w:t xml:space="preserve">The view retains one result per inventory entity with selected schema hash when known, dependencies, state available/unavailable/unknown and machine-readable reasons. Preserve all inventory entries and expose source coverage gaps separately. Unknown/unreachable schemas remain visible, not callable. A known public SDK version may establish documented applicability without proving a private Binder wire layout. No type version or codec is inferred from API level alone.</w:t>
      </w:r>
    </w:p>
    <w:p>
      <w:pPr>
        <w:pStyle w:val="Heading2"/>
        <w:keepNext/>
        <w:spacing w:after="90" w:line="260" w:lineRule="auto"/>
      </w:pPr>
      <w:r>
        <w:rPr>
          <w:rFonts w:ascii="DejaVu Sans" w:hAnsi="DejaVu Sans"/>
          <w:b/>
          <w:sz w:val="25"/>
        </w:rPr>
        <w:t xml:space="preserve">Classes and responsibilities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Component</w:t>
            </w:r>
          </w:p>
        </w:tc>
        <w:tc>
          <w:tcPr>
            <w:tcW w:w="3987" w:type="dxa"/>
            <w:shd w:fill="E4EDF5"/>
            <w:vAlign w:val="top"/>
          </w:tcPr>
          <w:p>
            <w:pPr>
              <w:spacing w:after="60" w:line="235" w:lineRule="auto"/>
            </w:pPr>
            <w:r>
              <w:rPr>
                <w:rFonts w:ascii="DejaVu Sans" w:hAnsi="DejaVu Sans"/>
                <w:b/>
                <w:sz w:val="18"/>
              </w:rPr>
              <w:t xml:space="preserve">Responsibility</w:t>
            </w:r>
          </w:p>
        </w:tc>
        <w:tc>
          <w:tcPr>
            <w:tcW w:w="3988" w:type="dxa"/>
            <w:shd w:fill="E4EDF5"/>
            <w:vAlign w:val="top"/>
          </w:tcPr>
          <w:p>
            <w:pPr>
              <w:spacing w:after="60" w:line="235" w:lineRule="auto"/>
            </w:pPr>
            <w:r>
              <w:rPr>
                <w:rFonts w:ascii="DejaVu Sans" w:hAnsi="DejaVu Sans"/>
                <w:b/>
                <w:sz w:val="18"/>
              </w:rPr>
              <w:t xml:space="preserve">Boundary</w:t>
            </w:r>
          </w:p>
        </w:tc>
      </w:tr>
      <w:tr>
        <w:trPr>
          <w:cantSplit/>
        </w:trPr>
        <w:tc>
          <w:tcPr>
            <w:tcW w:w="2249" w:type="dxa"/>
            <w:shd w:fill="FFFFFF"/>
            <w:vAlign w:val="top"/>
          </w:tcPr>
          <w:p>
            <w:pPr>
              <w:spacing w:after="60" w:line="235" w:lineRule="auto"/>
            </w:pPr>
            <w:r>
              <w:rPr>
                <w:rFonts w:ascii="DejaVu Sans" w:hAnsi="DejaVu Sans"/>
                <w:sz w:val="18"/>
              </w:rPr>
              <w:t xml:space="preserve">IDeviceCapabilityCollector / DeviceCapabilitySnapshot</w:t>
            </w:r>
          </w:p>
        </w:tc>
        <w:tc>
          <w:tcPr>
            <w:tcW w:w="3987" w:type="dxa"/>
            <w:shd w:fill="FFFFFF"/>
            <w:vAlign w:val="top"/>
          </w:tcPr>
          <w:p>
            <w:pPr>
              <w:spacing w:after="60" w:line="235" w:lineRule="auto"/>
            </w:pPr>
            <w:r>
              <w:rPr>
                <w:rFonts w:ascii="DejaVu Sans" w:hAnsi="DejaVu Sans"/>
                <w:sz w:val="18"/>
              </w:rPr>
              <w:t xml:space="preserve">Bounded supported version/module/interface observations and provenance, scoped to one profile/target/epoch</w:t>
            </w:r>
          </w:p>
        </w:tc>
        <w:tc>
          <w:tcPr>
            <w:tcW w:w="3988" w:type="dxa"/>
            <w:shd w:fill="FFFFFF"/>
            <w:vAlign w:val="top"/>
          </w:tcPr>
          <w:p>
            <w:pPr>
              <w:spacing w:after="60" w:line="235" w:lineRule="auto"/>
            </w:pPr>
            <w:r>
              <w:rPr>
                <w:rFonts w:ascii="DejaVu Sans" w:hAnsi="DejaVu Sans"/>
                <w:sz w:val="18"/>
              </w:rPr>
              <w:t xml:space="preserve">No permission grants, pairing or arbitrary command execution</w:t>
            </w:r>
          </w:p>
        </w:tc>
      </w:tr>
      <w:tr>
        <w:trPr>
          <w:cantSplit/>
        </w:trPr>
        <w:tc>
          <w:tcPr>
            <w:tcW w:w="2249" w:type="dxa"/>
            <w:shd w:fill="FFFFFF"/>
            <w:vAlign w:val="top"/>
          </w:tcPr>
          <w:p>
            <w:pPr>
              <w:spacing w:after="60" w:line="235" w:lineRule="auto"/>
            </w:pPr>
            <w:r>
              <w:rPr>
                <w:rFonts w:ascii="DejaVu Sans" w:hAnsi="DejaVu Sans"/>
                <w:sz w:val="18"/>
              </w:rPr>
              <w:t xml:space="preserve">IVersionApplicabilityResolver</w:t>
            </w:r>
          </w:p>
        </w:tc>
        <w:tc>
          <w:tcPr>
            <w:tcW w:w="3987" w:type="dxa"/>
            <w:shd w:fill="FFFFFF"/>
            <w:vAlign w:val="top"/>
          </w:tcPr>
          <w:p>
            <w:pPr>
              <w:spacing w:after="60" w:line="235" w:lineRule="auto"/>
            </w:pPr>
            <w:r>
              <w:rPr>
                <w:rFonts w:ascii="DejaVu Sans" w:hAnsi="DejaVu Sans"/>
                <w:sz w:val="18"/>
              </w:rPr>
              <w:t xml:space="preserve">Three-state evidence evaluation across platform, extension, module, OEM/build and interface facts</w:t>
            </w:r>
          </w:p>
        </w:tc>
        <w:tc>
          <w:tcPr>
            <w:tcW w:w="3988" w:type="dxa"/>
            <w:shd w:fill="FFFFFF"/>
            <w:vAlign w:val="top"/>
          </w:tcPr>
          <w:p>
            <w:pPr>
              <w:spacing w:after="60" w:line="235" w:lineRule="auto"/>
            </w:pPr>
            <w:r>
              <w:rPr>
                <w:rFonts w:ascii="DejaVu Sans" w:hAnsi="DejaVu Sans"/>
                <w:sz w:val="18"/>
              </w:rPr>
              <w:t xml:space="preserve">No minor/extension conflation or undocumented backport guesses</w:t>
            </w:r>
          </w:p>
        </w:tc>
      </w:tr>
      <w:tr>
        <w:trPr>
          <w:cantSplit/>
        </w:trPr>
        <w:tc>
          <w:tcPr>
            <w:tcW w:w="2249" w:type="dxa"/>
            <w:shd w:fill="FFFFFF"/>
            <w:vAlign w:val="top"/>
          </w:tcPr>
          <w:p>
            <w:pPr>
              <w:spacing w:after="60" w:line="235" w:lineRule="auto"/>
            </w:pPr>
            <w:r>
              <w:rPr>
                <w:rFonts w:ascii="DejaVu Sans" w:hAnsi="DejaVu Sans"/>
                <w:sz w:val="18"/>
              </w:rPr>
              <w:t xml:space="preserve">IResolvedTypeGraphBuilder</w:t>
            </w:r>
          </w:p>
        </w:tc>
        <w:tc>
          <w:tcPr>
            <w:tcW w:w="3987" w:type="dxa"/>
            <w:shd w:fill="FFFFFF"/>
            <w:vAlign w:val="top"/>
          </w:tcPr>
          <w:p>
            <w:pPr>
              <w:spacing w:after="60" w:line="235" w:lineRule="auto"/>
            </w:pPr>
            <w:r>
              <w:rPr>
                <w:rFonts w:ascii="DejaVu Sans" w:hAnsi="DejaVu Sans"/>
                <w:sz w:val="18"/>
              </w:rPr>
              <w:t xml:space="preserve">Select compatible type variants, check required dependencies and schema hashes, handle recursive graphs</w:t>
            </w:r>
          </w:p>
        </w:tc>
        <w:tc>
          <w:tcPr>
            <w:tcW w:w="3988" w:type="dxa"/>
            <w:shd w:fill="FFFFFF"/>
            <w:vAlign w:val="top"/>
          </w:tcPr>
          <w:p>
            <w:pPr>
              <w:spacing w:after="60" w:line="235" w:lineRule="auto"/>
            </w:pPr>
            <w:r>
              <w:rPr>
                <w:rFonts w:ascii="DejaVu Sans" w:hAnsi="DejaVu Sans"/>
                <w:sz w:val="18"/>
              </w:rPr>
              <w:t xml:space="preserve">No fabricated missing types, wire tags or layouts</w:t>
            </w:r>
          </w:p>
        </w:tc>
      </w:tr>
      <w:tr>
        <w:trPr>
          <w:cantSplit/>
        </w:trPr>
        <w:tc>
          <w:tcPr>
            <w:tcW w:w="2249" w:type="dxa"/>
            <w:shd w:fill="FFFFFF"/>
            <w:vAlign w:val="top"/>
          </w:tcPr>
          <w:p>
            <w:pPr>
              <w:spacing w:after="60" w:line="235" w:lineRule="auto"/>
            </w:pPr>
            <w:r>
              <w:rPr>
                <w:rFonts w:ascii="DejaVu Sans" w:hAnsi="DejaVu Sans"/>
                <w:sz w:val="18"/>
              </w:rPr>
              <w:t xml:space="preserve">ResolvedDeviceView / IDeviceViewStore</w:t>
            </w:r>
          </w:p>
        </w:tc>
        <w:tc>
          <w:tcPr>
            <w:tcW w:w="3987" w:type="dxa"/>
            <w:shd w:fill="FFFFFF"/>
            <w:vAlign w:val="top"/>
          </w:tcPr>
          <w:p>
            <w:pPr>
              <w:spacing w:after="60" w:line="235" w:lineRule="auto"/>
            </w:pPr>
            <w:r>
              <w:rPr>
                <w:rFonts w:ascii="DejaVu Sans" w:hAnsi="DejaVu Sans"/>
                <w:sz w:val="18"/>
              </w:rPr>
              <w:t xml:space="preserve">Complete immutable result set, atomic activation, generation/epoch CAS and stale-view rejection</w:t>
            </w:r>
          </w:p>
        </w:tc>
        <w:tc>
          <w:tcPr>
            <w:tcW w:w="3988" w:type="dxa"/>
            <w:shd w:fill="FFFFFF"/>
            <w:vAlign w:val="top"/>
          </w:tcPr>
          <w:p>
            <w:pPr>
              <w:spacing w:after="60" w:line="235" w:lineRule="auto"/>
            </w:pPr>
            <w:r>
              <w:rPr>
                <w:rFonts w:ascii="DejaVu Sans" w:hAnsi="DejaVu Sans"/>
                <w:sz w:val="18"/>
              </w:rPr>
              <w:t xml:space="preserve">No row-by-row partially visible startup state</w:t>
            </w:r>
          </w:p>
        </w:tc>
      </w:tr>
      <w:tr>
        <w:trPr>
          <w:cantSplit/>
        </w:trPr>
        <w:tc>
          <w:tcPr>
            <w:tcW w:w="2249" w:type="dxa"/>
            <w:shd w:fill="FFFFFF"/>
            <w:vAlign w:val="top"/>
          </w:tcPr>
          <w:p>
            <w:pPr>
              <w:spacing w:after="60" w:line="235" w:lineRule="auto"/>
            </w:pPr>
            <w:r>
              <w:rPr>
                <w:rFonts w:ascii="DejaVu Sans" w:hAnsi="DejaVu Sans"/>
                <w:sz w:val="18"/>
              </w:rPr>
              <w:t xml:space="preserve">ICanonicalDispatchPlanner</w:t>
            </w:r>
          </w:p>
        </w:tc>
        <w:tc>
          <w:tcPr>
            <w:tcW w:w="3987" w:type="dxa"/>
            <w:shd w:fill="FFFFFF"/>
            <w:vAlign w:val="top"/>
          </w:tcPr>
          <w:p>
            <w:pPr>
              <w:spacing w:after="60" w:line="235" w:lineRule="auto"/>
            </w:pPr>
            <w:r>
              <w:rPr>
                <w:rFonts w:ascii="DejaVu Sans" w:hAnsi="DejaVu Sans"/>
                <w:sz w:val="18"/>
              </w:rPr>
              <w:t xml:space="preserve">Resolve generated/generic/known-raw calls to the same binding, typed arguments, target and selected graph/schema hashes</w:t>
            </w:r>
          </w:p>
        </w:tc>
        <w:tc>
          <w:tcPr>
            <w:tcW w:w="3988" w:type="dxa"/>
            <w:shd w:fill="FFFFFF"/>
            <w:vAlign w:val="top"/>
          </w:tcPr>
          <w:p>
            <w:pPr>
              <w:spacing w:after="60" w:line="235" w:lineRule="auto"/>
            </w:pPr>
            <w:r>
              <w:rPr>
                <w:rFonts w:ascii="DejaVu Sans" w:hAnsi="DejaVu Sans"/>
                <w:sz w:val="18"/>
              </w:rPr>
              <w:t xml:space="preserve">No alternate policy identity for an alias</w:t>
            </w:r>
          </w:p>
        </w:tc>
      </w:tr>
      <w:tr>
        <w:trPr>
          <w:cantSplit/>
        </w:trPr>
        <w:tc>
          <w:tcPr>
            <w:tcW w:w="2249" w:type="dxa"/>
            <w:shd w:fill="FFFFFF"/>
            <w:vAlign w:val="top"/>
          </w:tcPr>
          <w:p>
            <w:pPr>
              <w:spacing w:after="60" w:line="235" w:lineRule="auto"/>
            </w:pPr>
            <w:r>
              <w:rPr>
                <w:rFonts w:ascii="DejaVu Sans" w:hAnsi="DejaVu Sans"/>
                <w:sz w:val="18"/>
              </w:rPr>
              <w:t xml:space="preserve">IWireContractRegistry / IParcelCodec</w:t>
            </w:r>
          </w:p>
        </w:tc>
        <w:tc>
          <w:tcPr>
            <w:tcW w:w="3987" w:type="dxa"/>
            <w:shd w:fill="FFFFFF"/>
            <w:vAlign w:val="top"/>
          </w:tcPr>
          <w:p>
            <w:pPr>
              <w:spacing w:after="60" w:line="235" w:lineRule="auto"/>
            </w:pPr>
            <w:r>
              <w:rPr>
                <w:rFonts w:ascii="DejaVu Sans" w:hAnsi="DejaVu Sans"/>
                <w:sz w:val="18"/>
              </w:rPr>
              <w:t xml:space="preserve">Proven endpoint descriptor/version/hash, method code/flags and bounded request/response, handle and type codecs</w:t>
            </w:r>
          </w:p>
        </w:tc>
        <w:tc>
          <w:tcPr>
            <w:tcW w:w="3988" w:type="dxa"/>
            <w:shd w:fill="FFFFFF"/>
            <w:vAlign w:val="top"/>
          </w:tcPr>
          <w:p>
            <w:pPr>
              <w:spacing w:after="60" w:line="235" w:lineRule="auto"/>
            </w:pPr>
            <w:r>
              <w:rPr>
                <w:rFonts w:ascii="DejaVu Sans" w:hAnsi="DejaVu Sans"/>
                <w:sz w:val="18"/>
              </w:rPr>
              <w:t xml:space="preserve">Declaration order never proves a Binder transaction code</w:t>
            </w:r>
          </w:p>
        </w:tc>
      </w:tr>
      <w:tr>
        <w:trPr>
          <w:cantSplit/>
        </w:trPr>
        <w:tc>
          <w:tcPr>
            <w:tcW w:w="2249" w:type="dxa"/>
            <w:shd w:fill="FFFFFF"/>
            <w:vAlign w:val="top"/>
          </w:tcPr>
          <w:p>
            <w:pPr>
              <w:spacing w:after="60" w:line="235" w:lineRule="auto"/>
            </w:pPr>
            <w:r>
              <w:rPr>
                <w:rFonts w:ascii="DejaVu Sans" w:hAnsi="DejaVu Sans"/>
                <w:sz w:val="18"/>
              </w:rPr>
              <w:t xml:space="preserve">IGenericBinderTransactionEngine / IBinderTransport</w:t>
            </w:r>
          </w:p>
        </w:tc>
        <w:tc>
          <w:tcPr>
            <w:tcW w:w="3987" w:type="dxa"/>
            <w:shd w:fill="FFFFFF"/>
            <w:vAlign w:val="top"/>
          </w:tcPr>
          <w:p>
            <w:pPr>
              <w:spacing w:after="60" w:line="235" w:lineRule="auto"/>
            </w:pPr>
            <w:r>
              <w:rPr>
                <w:rFonts w:ascii="DejaVu Sans" w:hAnsi="DejaVu Sans"/>
                <w:sz w:val="18"/>
              </w:rPr>
              <w:t xml:space="preserve">Execute a verified typed transaction through the selected backend, observe deadlines/death/outcome and decode bounded output</w:t>
            </w:r>
          </w:p>
        </w:tc>
        <w:tc>
          <w:tcPr>
            <w:tcW w:w="3988" w:type="dxa"/>
            <w:shd w:fill="FFFFFF"/>
            <w:vAlign w:val="top"/>
          </w:tcPr>
          <w:p>
            <w:pPr>
              <w:spacing w:after="60" w:line="235" w:lineRule="auto"/>
            </w:pPr>
            <w:r>
              <w:rPr>
                <w:rFonts w:ascii="DejaVu Sans" w:hAnsi="DejaVu Sans"/>
                <w:sz w:val="18"/>
              </w:rPr>
              <w:t xml:space="preserve">No policy bypass, universal private introspection or automatic replay</w:t>
            </w:r>
          </w:p>
        </w:tc>
      </w:tr>
      <w:tr>
        <w:trPr>
          <w:cantSplit/>
        </w:trPr>
        <w:tc>
          <w:tcPr>
            <w:tcW w:w="2249" w:type="dxa"/>
            <w:shd w:fill="FFFFFF"/>
            <w:vAlign w:val="top"/>
          </w:tcPr>
          <w:p>
            <w:pPr>
              <w:spacing w:after="60" w:line="235" w:lineRule="auto"/>
            </w:pPr>
            <w:r>
              <w:rPr>
                <w:rFonts w:ascii="DejaVu Sans" w:hAnsi="DejaVu Sans"/>
                <w:sz w:val="18"/>
              </w:rPr>
              <w:t xml:space="preserve">IClientPolicyEvaluator / IAdmissionGate</w:t>
            </w:r>
          </w:p>
        </w:tc>
        <w:tc>
          <w:tcPr>
            <w:tcW w:w="3987" w:type="dxa"/>
            <w:shd w:fill="FFFFFF"/>
            <w:vAlign w:val="top"/>
          </w:tcPr>
          <w:p>
            <w:pPr>
              <w:spacing w:after="60" w:line="235" w:lineRule="auto"/>
            </w:pPr>
            <w:r>
              <w:rPr>
                <w:rFonts w:ascii="DejaVu Sans" w:hAnsi="DejaVu Sans"/>
                <w:sz w:val="18"/>
              </w:rPr>
              <w:t xml:space="preserve">Intersect per-client grant, wrapper restrictions, selected view, live backend/OS authority and approval/revision checks</w:t>
            </w:r>
          </w:p>
        </w:tc>
        <w:tc>
          <w:tcPr>
            <w:tcW w:w="3988" w:type="dxa"/>
            <w:shd w:fill="FFFFFF"/>
            <w:vAlign w:val="top"/>
          </w:tcPr>
          <w:p>
            <w:pPr>
              <w:spacing w:after="60" w:line="235" w:lineRule="auto"/>
            </w:pPr>
            <w:r>
              <w:rPr>
                <w:rFonts w:ascii="DejaVu Sans" w:hAnsi="DejaVu Sans"/>
                <w:sz w:val="18"/>
              </w:rPr>
              <w:t xml:space="preserve">Version availability never changes Deny/Ask/Allow</w:t>
            </w:r>
          </w:p>
        </w:tc>
      </w:tr>
      <w:tr>
        <w:trPr>
          <w:cantSplit/>
        </w:trPr>
        <w:tc>
          <w:tcPr>
            <w:tcW w:w="2249" w:type="dxa"/>
            <w:shd w:fill="FFFFFF"/>
            <w:vAlign w:val="top"/>
          </w:tcPr>
          <w:p>
            <w:pPr>
              <w:spacing w:after="60" w:line="235" w:lineRule="auto"/>
            </w:pPr>
            <w:r>
              <w:rPr>
                <w:rFonts w:ascii="DejaVu Sans" w:hAnsi="DejaVu Sans"/>
                <w:sz w:val="18"/>
              </w:rPr>
              <w:t xml:space="preserve">Avalonia view models</w:t>
            </w:r>
          </w:p>
        </w:tc>
        <w:tc>
          <w:tcPr>
            <w:tcW w:w="3987" w:type="dxa"/>
            <w:shd w:fill="FFFFFF"/>
            <w:vAlign w:val="top"/>
          </w:tcPr>
          <w:p>
            <w:pPr>
              <w:spacing w:after="60" w:line="235" w:lineRule="auto"/>
            </w:pPr>
            <w:r>
              <w:rPr>
                <w:rFonts w:ascii="DejaVu Sans" w:hAnsi="DejaVu Sans"/>
                <w:sz w:val="18"/>
              </w:rPr>
              <w:t xml:space="preserve">Full inventory plus availability/reason filters, resolving/stale indicators and owner remediation</w:t>
            </w:r>
          </w:p>
        </w:tc>
        <w:tc>
          <w:tcPr>
            <w:tcW w:w="3988" w:type="dxa"/>
            <w:shd w:fill="FFFFFF"/>
            <w:vAlign w:val="top"/>
          </w:tcPr>
          <w:p>
            <w:pPr>
              <w:spacing w:after="60" w:line="235" w:lineRule="auto"/>
            </w:pPr>
            <w:r>
              <w:rPr>
                <w:rFonts w:ascii="DejaVu Sans" w:hAnsi="DejaVu Sans"/>
                <w:sz w:val="18"/>
              </w:rPr>
              <w:t xml:space="preserve">No direct SQL, implicit approvals or app-specific decisions</w:t>
            </w:r>
          </w:p>
        </w:tc>
      </w:tr>
    </w:tbl>
    <w:p>
      <w:pPr>
        <w:spacing w:after="90" w:line="260" w:lineRule="auto"/>
      </w:pPr>
    </w:p>
    <w:p>
      <w:pPr>
        <w:pStyle w:val="Heading2"/>
        <w:keepNext/>
        <w:pageBreakBefore/>
        <w:spacing w:after="90" w:line="260" w:lineRule="auto"/>
      </w:pPr>
      <w:r>
        <w:rPr>
          <w:rFonts w:ascii="DejaVu Sans" w:hAnsi="DejaVu Sans"/>
          <w:b/>
          <w:sz w:val="25"/>
        </w:rPr>
        <w:t xml:space="preserve">Startup capability capture and atomic device view</w:t>
      </w:r>
    </w:p>
    <w:p>
      <w:pPr>
        <w:spacing w:after="90" w:line="260" w:lineRule="auto"/>
        <w:jc w:val="center"/>
      </w:pPr>
      <w:r>
        <w:drawing>
          <wp:inline distT="0" distB="0" distL="0" distR="0">
            <wp:extent cx="4032401" cy="7223760"/>
            <wp:docPr id="1" name="Startup capability capture and atomic device view" descr="Startup capability capture and atomic device view"/>
            <a:graphic>
              <a:graphicData uri="http://schemas.openxmlformats.org/drawingml/2006/picture">
                <pic:pic>
                  <pic:nvPicPr>
                    <pic:cNvPr id="0" name="design-1.png"/>
                    <pic:cNvPicPr/>
                  </pic:nvPicPr>
                  <pic:blipFill>
                    <a:blip r:embed="rIdDesign1005"/>
                    <a:stretch>
                      <a:fillRect/>
                    </a:stretch>
                  </pic:blipFill>
                  <pic:spPr>
                    <a:xfrm>
                      <a:off x="0" y="0"/>
                      <a:ext cx="4032401" cy="7223760"/>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pStyle w:val="Heading2"/>
        <w:keepNext/>
        <w:spacing w:after="90" w:line="260" w:lineRule="auto"/>
      </w:pPr>
      <w:r>
        <w:rPr>
          <w:rFonts w:ascii="DejaVu Sans" w:hAnsi="DejaVu Sans"/>
          <w:b/>
          <w:sz w:val="25"/>
        </w:rPr>
        <w:t xml:space="preserve">Generic Binder invocation and codecs</w:t>
      </w:r>
    </w:p>
    <w:p>
      <w:pPr>
        <w:spacing w:after="90" w:line="260" w:lineRule="auto"/>
      </w:pPr>
      <w:r>
        <w:rPr>
          <w:rFonts w:ascii="DejaVu Sans" w:hAnsi="DejaVu Sans"/>
          <w:sz w:val="21"/>
        </w:rPr>
        <w:t xml:space="preserve">Generated tools and binding.invoke use the same canonical dispatch planner and binding.invoke policy identity. They select a binding/type graph from the active resolved view, then require a verified wire contract before marshalling. The wire registry pins endpoint/descriptor, relevant interface/OEM version/hash evidence, actual transaction code, flags/one-way semantics, request/response codec schema and handle ownership constraints. Support generated proxies or schema-driven codecs only when the complete contract is proven. Source AIDL alone does not establish generated transaction codes, runtime class resolution, parcel layout or backend authority.</w:t>
      </w:r>
    </w:p>
    <w:p>
      <w:pPr>
        <w:spacing w:after="90" w:line="260" w:lineRule="auto"/>
      </w:pPr>
      <w:r>
        <w:rPr>
          <w:rFonts w:ascii="DejaVu Sans" w:hAnsi="DejaVu Sans"/>
          <w:sz w:val="21"/>
        </w:rPr>
        <w:t xml:space="preserve">The generic engine validates typed arguments and exact target constraints, bounds parcel sizes, nesting, arrays, file/handle lifetimes and output, then passes the immutable plan through policy/Ask/admission. Admission rechecks catalog, resolved-view and capability epochs alongside policy and backend identity. Marshal only the admitted plan; transact through IBinderTransport; decode and validate output against the pinned graph before release. Binder death, cancellation after dispatch and uncertain outcomes never trigger automatic write replay. These are architecture responsibilities and reference contracts, not a deployed Binder engine in this phase.</w:t>
      </w:r>
    </w:p>
    <w:p>
      <w:pPr>
        <w:spacing w:after="90" w:line="260" w:lineRule="auto"/>
      </w:pPr>
      <w:r>
        <w:rPr>
          <w:rFonts w:ascii="DejaVu Sans" w:hAnsi="DejaVu Sans"/>
          <w:sz w:val="21"/>
        </w:rPr>
        <w:t xml:space="preserve">Known raw transactions must decode to the same binding/schema and satisfy binding.invoke plus restrictive binder.transact rules. When schema/codec proof is missing, typed invocation stays unsupported; an explicitly authorized raw low-level operation remains a separate broad service authority with closed connection/descriptor/code/flag/handle bounds. A raw grant cannot substitute for a known binding grant. Android's actual authority still decides whether the transaction can execute. No target application must embed instrumentation for generic ADB screen/tap control; optional Avalonia Android Runtime/Protocol stays a separate adapter, not desktop Server/Kestrel.</w:t>
      </w:r>
    </w:p>
    <w:p>
      <w:pPr>
        <w:pStyle w:val="Heading2"/>
        <w:keepNext/>
        <w:pageBreakBefore/>
        <w:spacing w:after="90" w:line="260" w:lineRule="auto"/>
      </w:pPr>
      <w:r>
        <w:rPr>
          <w:rFonts w:ascii="DejaVu Sans" w:hAnsi="DejaVu Sans"/>
          <w:b/>
          <w:sz w:val="25"/>
        </w:rPr>
        <w:t xml:space="preserve">Resolved view and policy-bound generic Binder dispatch</w:t>
      </w:r>
    </w:p>
    <w:p>
      <w:pPr>
        <w:spacing w:after="90" w:line="260" w:lineRule="auto"/>
        <w:jc w:val="center"/>
      </w:pPr>
      <w:r>
        <w:drawing>
          <wp:inline distT="0" distB="0" distL="0" distR="0">
            <wp:extent cx="6400800" cy="5614416"/>
            <wp:docPr id="2" name="Resolved view and policy-bound generic Binder dispatch" descr="Resolved view and policy-bound generic Binder dispatch"/>
            <a:graphic>
              <a:graphicData uri="http://schemas.openxmlformats.org/drawingml/2006/picture">
                <pic:pic>
                  <pic:nvPicPr>
                    <pic:cNvPr id="0" name="design-2.png"/>
                    <pic:cNvPicPr/>
                  </pic:nvPicPr>
                  <pic:blipFill>
                    <a:blip r:embed="rIdDesign1006"/>
                    <a:stretch>
                      <a:fillRect/>
                    </a:stretch>
                  </pic:blipFill>
                  <pic:spPr>
                    <a:xfrm>
                      <a:off x="0" y="0"/>
                      <a:ext cx="6400800" cy="5614416"/>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pStyle w:val="Heading2"/>
        <w:keepNext/>
        <w:spacing w:after="90" w:line="260" w:lineRule="auto"/>
      </w:pPr>
      <w:r>
        <w:rPr>
          <w:rFonts w:ascii="DejaVu Sans" w:hAnsi="DejaVu Sans"/>
          <w:b/>
          <w:sz w:val="25"/>
        </w:rPr>
        <w:t xml:space="preserve">Atomic activation, invalidation and refresh</w:t>
      </w:r>
    </w:p>
    <w:p>
      <w:pPr>
        <w:spacing w:after="90" w:line="260" w:lineRule="auto"/>
      </w:pPr>
      <w:r>
        <w:rPr>
          <w:rFonts w:ascii="DejaVu Sans" w:hAnsi="DejaVu Sans"/>
          <w:sz w:val="21"/>
        </w:rPr>
        <w:t xml:space="preserve">Capture facts under a capability epoch; build the entire binding/type result set privately against pinned catalog and overlay generations. Validate complete inventory membership, variant identities and type dependencies before sealing. Activate one immutable snapshot pointer in a single transaction only if catalog, profile/target/device identity, capability epoch and expected view generation still match. A failed build/CAS retains the previous snapshot as historical evidence; it never exposes a partial mixture. Snapshot IDs/ETags and pagination cursors bind the complete view and generation. An available row cannot depend on an unavailable, unknown or mismatched required type in that same view.</w:t>
      </w:r>
    </w:p>
    <w:p>
      <w:pPr>
        <w:spacing w:after="90" w:line="260" w:lineRule="auto"/>
      </w:pPr>
      <w:r>
        <w:rPr>
          <w:rFonts w:ascii="DejaVu Sans" w:hAnsi="DejaVu Sans"/>
          <w:sz w:val="21"/>
        </w:rPr>
        <w:t xml:space="preserve">Startup, reconnect/device replacement, boot/session or Android-user change, OS/build/OEM update, SDK extension/Mainline/module change, supported interface version/hash or reachability change, backend capability change and catalog/type/overlay publication invalidate affected active views and pending approvals. Mark the view stale immediately; no new device call may use it. Keep the full catalog accessible and distinguish Resolving/Stale from MCP listener health and ADB connection health. Refresh from supported backend events, startup/reconnect and explicit owner requests; this introduces no app-specific monitoring scheduler. Where a platform cannot notify a change, revalidate the relevant observations at call admission rather than treating cached availability as timeless authority. Existing live permission/policy checks remain mandatory and separate.</w:t>
      </w:r>
    </w:p>
    <w:p>
      <w:pPr>
        <w:spacing w:after="90" w:line="260" w:lineRule="auto"/>
      </w:pPr>
      <w:r>
        <w:rPr>
          <w:rFonts w:ascii="DejaVu Sans" w:hAnsi="DejaVu Sans"/>
          <w:sz w:val="21"/>
        </w:rPr>
        <w:t xml:space="preserve">The executable device resolver/store is an offline reference using fixture observations, with no Android/HTTP service or real probes. The API contract accepts refresh requests for configured targets but never accepts a remote caller's asserted facts or availability as authority. Current-view reads return a small header/status; entries are paginated at the administration API maximum500, pinned to the complete immutable snapshot. The full snapshot payload is internal storage/reference data, not one unbounded HTTP response. The existing immutable import/local override/CAS contract remains in force; user edits cannot manufacture observed device evidence. Namespace/package file re-sharding remains a proposal.</w:t>
      </w:r>
    </w:p>
    <w:p>
      <w:pPr>
        <w:pStyle w:val="Heading2"/>
        <w:keepNext/>
        <w:spacing w:after="90" w:line="260" w:lineRule="auto"/>
      </w:pPr>
      <w:r>
        <w:rPr>
          <w:rFonts w:ascii="DejaVu Sans" w:hAnsi="DejaVu Sans"/>
          <w:b/>
          <w:sz w:val="25"/>
        </w:rPr>
        <w:t xml:space="preserve">Requirement and acceptance traceability</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ID</w:t>
            </w:r>
          </w:p>
        </w:tc>
        <w:tc>
          <w:tcPr>
            <w:tcW w:w="3987" w:type="dxa"/>
            <w:shd w:fill="E4EDF5"/>
            <w:vAlign w:val="top"/>
          </w:tcPr>
          <w:p>
            <w:pPr>
              <w:spacing w:after="60" w:line="235" w:lineRule="auto"/>
            </w:pPr>
            <w:r>
              <w:rPr>
                <w:rFonts w:ascii="DejaVu Sans" w:hAnsi="DejaVu Sans"/>
                <w:b/>
                <w:sz w:val="18"/>
              </w:rPr>
              <w:t xml:space="preserve">Requirement and acceptance</w:t>
            </w:r>
          </w:p>
        </w:tc>
        <w:tc>
          <w:tcPr>
            <w:tcW w:w="3988" w:type="dxa"/>
            <w:shd w:fill="E4EDF5"/>
            <w:vAlign w:val="top"/>
          </w:tcPr>
          <w:p>
            <w:pPr>
              <w:spacing w:after="60" w:line="235" w:lineRule="auto"/>
            </w:pPr>
            <w:r>
              <w:rPr>
                <w:rFonts w:ascii="DejaVu Sans" w:hAnsi="DejaVu Sans"/>
                <w:b/>
                <w:sz w:val="18"/>
              </w:rPr>
              <w:t xml:space="preserve">Evidence</w:t>
            </w:r>
          </w:p>
        </w:tc>
      </w:tr>
      <w:tr>
        <w:trPr>
          <w:cantSplit/>
        </w:trPr>
        <w:tc>
          <w:tcPr>
            <w:tcW w:w="2249" w:type="dxa"/>
            <w:shd w:fill="FFFFFF"/>
            <w:vAlign w:val="top"/>
          </w:tcPr>
          <w:p>
            <w:pPr>
              <w:spacing w:after="60" w:line="235" w:lineRule="auto"/>
            </w:pPr>
            <w:r>
              <w:rPr>
                <w:rFonts w:ascii="DejaVu Sans" w:hAnsi="DejaVu Sans"/>
                <w:sz w:val="18"/>
              </w:rPr>
              <w:t xml:space="preserve">FR-DEV-01 / AC-DEV-01</w:t>
            </w:r>
          </w:p>
        </w:tc>
        <w:tc>
          <w:tcPr>
            <w:tcW w:w="3987" w:type="dxa"/>
            <w:shd w:fill="FFFFFF"/>
            <w:vAlign w:val="top"/>
          </w:tcPr>
          <w:p>
            <w:pPr>
              <w:spacing w:after="60" w:line="235" w:lineRule="auto"/>
            </w:pPr>
            <w:r>
              <w:rPr>
                <w:rFonts w:ascii="DejaVu Sans" w:hAnsi="DejaVu Sans"/>
                <w:sz w:val="18"/>
              </w:rPr>
              <w:t xml:space="preserve">Startup resolves bindings and types for the running platform major/minor; unavailable/unknown entities remain in full inventory</w:t>
            </w:r>
          </w:p>
        </w:tc>
        <w:tc>
          <w:tcPr>
            <w:tcW w:w="3988" w:type="dxa"/>
            <w:shd w:fill="FFFFFF"/>
            <w:vAlign w:val="top"/>
          </w:tcPr>
          <w:p>
            <w:pPr>
              <w:spacing w:after="60" w:line="235" w:lineRule="auto"/>
            </w:pPr>
            <w:r>
              <w:rPr>
                <w:rFonts w:ascii="DejaVu Sans" w:hAnsi="DejaVu Sans"/>
                <w:sz w:val="18"/>
              </w:rPr>
              <w:t xml:space="preserve">DeviceResolution schema and version/minor/removal fixtures</w:t>
            </w:r>
          </w:p>
        </w:tc>
      </w:tr>
      <w:tr>
        <w:trPr>
          <w:cantSplit/>
        </w:trPr>
        <w:tc>
          <w:tcPr>
            <w:tcW w:w="2249" w:type="dxa"/>
            <w:shd w:fill="FFFFFF"/>
            <w:vAlign w:val="top"/>
          </w:tcPr>
          <w:p>
            <w:pPr>
              <w:spacing w:after="60" w:line="235" w:lineRule="auto"/>
            </w:pPr>
            <w:r>
              <w:rPr>
                <w:rFonts w:ascii="DejaVu Sans" w:hAnsi="DejaVu Sans"/>
                <w:sz w:val="18"/>
              </w:rPr>
              <w:t xml:space="preserve">FR-DEV-02 / AC-DEV-02</w:t>
            </w:r>
          </w:p>
        </w:tc>
        <w:tc>
          <w:tcPr>
            <w:tcW w:w="3987" w:type="dxa"/>
            <w:shd w:fill="FFFFFF"/>
            <w:vAlign w:val="top"/>
          </w:tcPr>
          <w:p>
            <w:pPr>
              <w:spacing w:after="60" w:line="235" w:lineRule="auto"/>
            </w:pPr>
            <w:r>
              <w:rPr>
                <w:rFonts w:ascii="DejaVu Sans" w:hAnsi="DejaVu Sans"/>
                <w:sz w:val="18"/>
              </w:rPr>
              <w:t xml:space="preserve">Extension/module/OEM/interface facts refine availability without API-level guesses or permission conflation</w:t>
            </w:r>
          </w:p>
        </w:tc>
        <w:tc>
          <w:tcPr>
            <w:tcW w:w="3988" w:type="dxa"/>
            <w:shd w:fill="FFFFFF"/>
            <w:vAlign w:val="top"/>
          </w:tcPr>
          <w:p>
            <w:pPr>
              <w:spacing w:after="60" w:line="235" w:lineRule="auto"/>
            </w:pPr>
            <w:r>
              <w:rPr>
                <w:rFonts w:ascii="DejaVu Sans" w:hAnsi="DejaVu Sans"/>
                <w:sz w:val="18"/>
              </w:rPr>
              <w:t xml:space="preserve">Collector contract; extension alternatives, module/OEM, interface hash/denial fixtures</w:t>
            </w:r>
          </w:p>
        </w:tc>
      </w:tr>
      <w:tr>
        <w:trPr>
          <w:cantSplit/>
        </w:trPr>
        <w:tc>
          <w:tcPr>
            <w:tcW w:w="2249" w:type="dxa"/>
            <w:shd w:fill="FFFFFF"/>
            <w:vAlign w:val="top"/>
          </w:tcPr>
          <w:p>
            <w:pPr>
              <w:spacing w:after="60" w:line="235" w:lineRule="auto"/>
            </w:pPr>
            <w:r>
              <w:rPr>
                <w:rFonts w:ascii="DejaVu Sans" w:hAnsi="DejaVu Sans"/>
                <w:sz w:val="18"/>
              </w:rPr>
              <w:t xml:space="preserve">TR-DEV-01 / AC-DEV-03</w:t>
            </w:r>
          </w:p>
        </w:tc>
        <w:tc>
          <w:tcPr>
            <w:tcW w:w="3987" w:type="dxa"/>
            <w:shd w:fill="FFFFFF"/>
            <w:vAlign w:val="top"/>
          </w:tcPr>
          <w:p>
            <w:pPr>
              <w:spacing w:after="60" w:line="235" w:lineRule="auto"/>
            </w:pPr>
            <w:r>
              <w:rPr>
                <w:rFonts w:ascii="DejaVu Sans" w:hAnsi="DejaVu Sans"/>
                <w:sz w:val="18"/>
              </w:rPr>
              <w:t xml:space="preserve">One coherent type graph; missing/ambiguous/removed required types cannot yield an available binding; recursive types supported</w:t>
            </w:r>
          </w:p>
        </w:tc>
        <w:tc>
          <w:tcPr>
            <w:tcW w:w="3988" w:type="dxa"/>
            <w:shd w:fill="FFFFFF"/>
            <w:vAlign w:val="top"/>
          </w:tcPr>
          <w:p>
            <w:pPr>
              <w:spacing w:after="60" w:line="235" w:lineRule="auto"/>
            </w:pPr>
            <w:r>
              <w:rPr>
                <w:rFonts w:ascii="DejaVu Sans" w:hAnsi="DejaVu Sans"/>
                <w:sz w:val="18"/>
              </w:rPr>
              <w:t xml:space="preserve">Resolver dependency, schema mismatch, ambiguity and cycle fixtures</w:t>
            </w:r>
          </w:p>
        </w:tc>
      </w:tr>
      <w:tr>
        <w:trPr>
          <w:cantSplit/>
        </w:trPr>
        <w:tc>
          <w:tcPr>
            <w:tcW w:w="2249" w:type="dxa"/>
            <w:shd w:fill="FFFFFF"/>
            <w:vAlign w:val="top"/>
          </w:tcPr>
          <w:p>
            <w:pPr>
              <w:spacing w:after="60" w:line="235" w:lineRule="auto"/>
            </w:pPr>
            <w:r>
              <w:rPr>
                <w:rFonts w:ascii="DejaVu Sans" w:hAnsi="DejaVu Sans"/>
                <w:sz w:val="18"/>
              </w:rPr>
              <w:t xml:space="preserve">TR-DEV-02 / AC-DEV-04</w:t>
            </w:r>
          </w:p>
        </w:tc>
        <w:tc>
          <w:tcPr>
            <w:tcW w:w="3987" w:type="dxa"/>
            <w:shd w:fill="FFFFFF"/>
            <w:vAlign w:val="top"/>
          </w:tcPr>
          <w:p>
            <w:pPr>
              <w:spacing w:after="60" w:line="235" w:lineRule="auto"/>
            </w:pPr>
            <w:r>
              <w:rPr>
                <w:rFonts w:ascii="DejaVu Sans" w:hAnsi="DejaVu Sans"/>
                <w:sz w:val="18"/>
              </w:rPr>
              <w:t xml:space="preserve">Atomic complete activation and generation/epoch CAS; no partial view; stale/cross-target snapshots reject</w:t>
            </w:r>
          </w:p>
        </w:tc>
        <w:tc>
          <w:tcPr>
            <w:tcW w:w="3988" w:type="dxa"/>
            <w:shd w:fill="FFFFFF"/>
            <w:vAlign w:val="top"/>
          </w:tcPr>
          <w:p>
            <w:pPr>
              <w:spacing w:after="60" w:line="235" w:lineRule="auto"/>
            </w:pPr>
            <w:r>
              <w:rPr>
                <w:rFonts w:ascii="DejaVu Sans" w:hAnsi="DejaVu Sans"/>
                <w:sz w:val="18"/>
              </w:rPr>
              <w:t xml:space="preserve">Reference store atomic CAS/invalidation fixtures; SQLite transaction contract</w:t>
            </w:r>
          </w:p>
        </w:tc>
      </w:tr>
      <w:tr>
        <w:trPr>
          <w:cantSplit/>
        </w:trPr>
        <w:tc>
          <w:tcPr>
            <w:tcW w:w="2249" w:type="dxa"/>
            <w:shd w:fill="FFFFFF"/>
            <w:vAlign w:val="top"/>
          </w:tcPr>
          <w:p>
            <w:pPr>
              <w:spacing w:after="60" w:line="235" w:lineRule="auto"/>
            </w:pPr>
            <w:r>
              <w:rPr>
                <w:rFonts w:ascii="DejaVu Sans" w:hAnsi="DejaVu Sans"/>
                <w:sz w:val="18"/>
              </w:rPr>
              <w:t xml:space="preserve">FR-BIND-01 / AC-BIND-01</w:t>
            </w:r>
          </w:p>
        </w:tc>
        <w:tc>
          <w:tcPr>
            <w:tcW w:w="3987" w:type="dxa"/>
            <w:shd w:fill="FFFFFF"/>
            <w:vAlign w:val="top"/>
          </w:tcPr>
          <w:p>
            <w:pPr>
              <w:spacing w:after="60" w:line="235" w:lineRule="auto"/>
            </w:pPr>
            <w:r>
              <w:rPr>
                <w:rFonts w:ascii="DejaVu Sans" w:hAnsi="DejaVu Sans"/>
                <w:sz w:val="18"/>
              </w:rPr>
              <w:t xml:space="preserve">Generic Binder engine uses proven wire/codec contracts and the shared canonical policy plan; unknown wire stays unsupported</w:t>
            </w:r>
          </w:p>
        </w:tc>
        <w:tc>
          <w:tcPr>
            <w:tcW w:w="3988" w:type="dxa"/>
            <w:shd w:fill="FFFFFF"/>
            <w:vAlign w:val="top"/>
          </w:tcPr>
          <w:p>
            <w:pPr>
              <w:spacing w:after="60" w:line="235" w:lineRule="auto"/>
            </w:pPr>
            <w:r>
              <w:rPr>
                <w:rFonts w:ascii="DejaVu Sans" w:hAnsi="DejaVu Sans"/>
                <w:sz w:val="18"/>
              </w:rPr>
              <w:t xml:space="preserve">Existing policy/known-raw fixtures plus wire-contract planning specification</w:t>
            </w:r>
          </w:p>
        </w:tc>
      </w:tr>
      <w:tr>
        <w:trPr>
          <w:cantSplit/>
        </w:trPr>
        <w:tc>
          <w:tcPr>
            <w:tcW w:w="2249" w:type="dxa"/>
            <w:shd w:fill="FFFFFF"/>
            <w:vAlign w:val="top"/>
          </w:tcPr>
          <w:p>
            <w:pPr>
              <w:spacing w:after="60" w:line="235" w:lineRule="auto"/>
            </w:pPr>
            <w:r>
              <w:rPr>
                <w:rFonts w:ascii="DejaVu Sans" w:hAnsi="DejaVu Sans"/>
                <w:sz w:val="18"/>
              </w:rPr>
              <w:t xml:space="preserve">TR-DEV-03 / AC-DEV-05</w:t>
            </w:r>
          </w:p>
        </w:tc>
        <w:tc>
          <w:tcPr>
            <w:tcW w:w="3987" w:type="dxa"/>
            <w:shd w:fill="FFFFFF"/>
            <w:vAlign w:val="top"/>
          </w:tcPr>
          <w:p>
            <w:pPr>
              <w:spacing w:after="60" w:line="235" w:lineRule="auto"/>
            </w:pPr>
            <w:r>
              <w:rPr>
                <w:rFonts w:ascii="DejaVu Sans" w:hAnsi="DejaVu Sans"/>
                <w:sz w:val="18"/>
              </w:rPr>
              <w:t xml:space="preserve">Relevant capability/catalog changes invalidate and refresh the view; availability never grants OS or client authority</w:t>
            </w:r>
          </w:p>
        </w:tc>
        <w:tc>
          <w:tcPr>
            <w:tcW w:w="3988" w:type="dxa"/>
            <w:shd w:fill="FFFFFF"/>
            <w:vAlign w:val="top"/>
          </w:tcPr>
          <w:p>
            <w:pPr>
              <w:spacing w:after="60" w:line="235" w:lineRule="auto"/>
            </w:pPr>
            <w:r>
              <w:rPr>
                <w:rFonts w:ascii="DejaVu Sans" w:hAnsi="DejaVu Sans"/>
                <w:sz w:val="18"/>
              </w:rPr>
              <w:t xml:space="preserve">Event/invalidation contract and permission-separation fixtures</w:t>
            </w:r>
          </w:p>
        </w:tc>
      </w:tr>
    </w:tbl>
    <w:p>
      <w:pPr>
        <w:spacing w:after="90" w:line="260" w:lineRule="auto"/>
      </w:pPr>
    </w:p>
    <w:p>
      <w:pPr>
        <w:spacing w:after="90" w:line="260" w:lineRule="auto"/>
      </w:pPr>
      <w:r>
        <w:rPr>
          <w:rFonts w:ascii="DejaVu Sans" w:hAnsi="DejaVu Sans"/>
          <w:sz w:val="21"/>
        </w:rPr>
        <w:t xml:space="preserve">Retain every earlier requirement: Avalonia12, SQLite configuration/client mapping and logging, persistent headless MCP, optional boot and truthful AppBar/status, separate ADB health, paired same-device ADB and host loopback forwarding, on-demand screen/tap, optional Android RemoteControl, all-source inventory/provenance, CRUD/local overrides and future compatibility. No deployment, device/security change or source-corpus completeness claim is made by these additions. Fresh hostile validation must assess this revised requirement; round009 predates it.</w:t>
      </w:r>
    </w:p>
    <w:p>
      <w:pPr>
        <w:pStyle w:val="Heading1"/>
        <w:keepNext/>
        <w:spacing w:after="90" w:line="260" w:lineRule="auto"/>
      </w:pPr>
      <w:r>
        <w:rPr>
          <w:rFonts w:ascii="DejaVu Sans" w:hAnsi="DejaVu Sans"/>
          <w:b/>
          <w:sz w:val="30"/>
        </w:rPr>
        <w:t xml:space="preserve">19 Acceptance tests and delivery sequence</w:t>
      </w:r>
    </w:p>
    <w:p>
      <w:pPr>
        <w:spacing w:after="90" w:line="260" w:lineRule="auto"/>
      </w:pPr>
      <w:r>
        <w:rPr>
          <w:rFonts w:ascii="DejaVu Sans" w:hAnsi="DejaVu Sans"/>
          <w:sz w:val="21"/>
        </w:rPr>
        <w:t xml:space="preserve">Build mock first, then prove the Android boundary. Passing policy tests alone does not establish compatibility, permissions, lifecycle reliability or store eligibility. Every gate produces retained test evidence and a pinned dependency manifest; there is no implementation claim in this proposal.</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Test area</w:t>
            </w:r>
          </w:p>
        </w:tc>
        <w:tc>
          <w:tcPr>
            <w:tcW w:w="7668" w:type="dxa"/>
            <w:shd w:fill="E4EDF5"/>
            <w:vAlign w:val="top"/>
          </w:tcPr>
          <w:p>
            <w:pPr>
              <w:spacing w:after="60" w:line="235" w:lineRule="auto"/>
            </w:pPr>
            <w:r>
              <w:rPr>
                <w:rFonts w:ascii="DejaVu Sans" w:hAnsi="DejaVu Sans"/>
                <w:b/>
                <w:sz w:val="18"/>
              </w:rPr>
              <w:t xml:space="preserve">Acceptance evidence</w:t>
            </w:r>
          </w:p>
        </w:tc>
      </w:tr>
      <w:tr>
        <w:trPr>
          <w:cantSplit/>
        </w:trPr>
        <w:tc>
          <w:tcPr>
            <w:tcW w:w="2556" w:type="dxa"/>
            <w:shd w:fill="FFFFFF"/>
            <w:vAlign w:val="top"/>
          </w:tcPr>
          <w:p>
            <w:pPr>
              <w:spacing w:after="60" w:line="235" w:lineRule="auto"/>
            </w:pPr>
            <w:r>
              <w:rPr>
                <w:rFonts w:ascii="DejaVu Sans" w:hAnsi="DejaVu Sans"/>
                <w:sz w:val="18"/>
              </w:rPr>
              <w:t xml:space="preserve">Policy properties</w:t>
            </w:r>
          </w:p>
        </w:tc>
        <w:tc>
          <w:tcPr>
            <w:tcW w:w="7668" w:type="dxa"/>
            <w:shd w:fill="FFFFFF"/>
            <w:vAlign w:val="top"/>
          </w:tcPr>
          <w:p>
            <w:pPr>
              <w:spacing w:after="60" w:line="235" w:lineRule="auto"/>
            </w:pPr>
            <w:r>
              <w:rPr>
                <w:rFonts w:ascii="DejaVu Sans" w:hAnsi="DejaVu Sans"/>
                <w:sz w:val="18"/>
              </w:rPr>
              <w:t xml:space="preserve">Unknown client/tool/schema, empty scopes and unknown constraint keys deny. Global deny dominates. Ask never widens scope. Output fields and pagination remain constrained.</w:t>
            </w:r>
          </w:p>
        </w:tc>
      </w:tr>
      <w:tr>
        <w:trPr>
          <w:cantSplit/>
        </w:trPr>
        <w:tc>
          <w:tcPr>
            <w:tcW w:w="2556" w:type="dxa"/>
            <w:shd w:fill="FFFFFF"/>
            <w:vAlign w:val="top"/>
          </w:tcPr>
          <w:p>
            <w:pPr>
              <w:spacing w:after="60" w:line="235" w:lineRule="auto"/>
            </w:pPr>
            <w:r>
              <w:rPr>
                <w:rFonts w:ascii="DejaVu Sans" w:hAnsi="DejaVu Sans"/>
                <w:sz w:val="18"/>
              </w:rPr>
              <w:t xml:space="preserve">Approval binding</w:t>
            </w:r>
          </w:p>
        </w:tc>
        <w:tc>
          <w:tcPr>
            <w:tcW w:w="7668" w:type="dxa"/>
            <w:shd w:fill="FFFFFF"/>
            <w:vAlign w:val="top"/>
          </w:tcPr>
          <w:p>
            <w:pPr>
              <w:spacing w:after="60" w:line="235" w:lineRule="auto"/>
            </w:pPr>
            <w:r>
              <w:rPr>
                <w:rFonts w:ascii="DejaVu Sans" w:hAnsi="DejaVu Sans"/>
                <w:sz w:val="18"/>
              </w:rPr>
              <w:t xml:space="preserve">Changing any argument, target, output field, credential epoch, policy revision or schema invalidates approval. Concurrent double use admits once. Expiry survives clock rollback; restart invalidates all approvals.</w:t>
            </w:r>
          </w:p>
        </w:tc>
      </w:tr>
      <w:tr>
        <w:trPr>
          <w:cantSplit/>
        </w:trPr>
        <w:tc>
          <w:tcPr>
            <w:tcW w:w="2556" w:type="dxa"/>
            <w:shd w:fill="FFFFFF"/>
            <w:vAlign w:val="top"/>
          </w:tcPr>
          <w:p>
            <w:pPr>
              <w:spacing w:after="60" w:line="235" w:lineRule="auto"/>
            </w:pPr>
            <w:r>
              <w:rPr>
                <w:rFonts w:ascii="DejaVu Sans" w:hAnsi="DejaVu Sans"/>
                <w:sz w:val="18"/>
              </w:rPr>
              <w:t xml:space="preserve">Authorization races</w:t>
            </w:r>
          </w:p>
        </w:tc>
        <w:tc>
          <w:tcPr>
            <w:tcW w:w="7668" w:type="dxa"/>
            <w:shd w:fill="FFFFFF"/>
            <w:vAlign w:val="top"/>
          </w:tcPr>
          <w:p>
            <w:pPr>
              <w:spacing w:after="60" w:line="235" w:lineRule="auto"/>
            </w:pPr>
            <w:r>
              <w:rPr>
                <w:rFonts w:ascii="DejaVu Sans" w:hAnsi="DejaVu Sans"/>
                <w:sz w:val="18"/>
              </w:rPr>
              <w:t xml:space="preserve">Barrier tests race Apply/Revoke with admission and SSE emission. No request admitted after the revocation commit uses old authority. In flight outcomes are labeled accurately.</w:t>
            </w:r>
          </w:p>
        </w:tc>
      </w:tr>
      <w:tr>
        <w:trPr>
          <w:cantSplit/>
        </w:trPr>
        <w:tc>
          <w:tcPr>
            <w:tcW w:w="2556" w:type="dxa"/>
            <w:shd w:fill="FFFFFF"/>
            <w:vAlign w:val="top"/>
          </w:tcPr>
          <w:p>
            <w:pPr>
              <w:spacing w:after="60" w:line="235" w:lineRule="auto"/>
            </w:pPr>
            <w:r>
              <w:rPr>
                <w:rFonts w:ascii="DejaVu Sans" w:hAnsi="DejaVu Sans"/>
                <w:sz w:val="18"/>
              </w:rPr>
              <w:t xml:space="preserve">Identity and transport</w:t>
            </w:r>
          </w:p>
        </w:tc>
        <w:tc>
          <w:tcPr>
            <w:tcW w:w="7668" w:type="dxa"/>
            <w:shd w:fill="FFFFFF"/>
            <w:vAlign w:val="top"/>
          </w:tcPr>
          <w:p>
            <w:pPr>
              <w:spacing w:after="60" w:line="235" w:lineRule="auto"/>
            </w:pPr>
            <w:r>
              <w:rPr>
                <w:rFonts w:ascii="DejaVu Sans" w:hAnsi="DejaVu Sans"/>
                <w:sz w:val="18"/>
              </w:rPr>
              <w:t xml:space="preserve">Spoofed clientInfo or package header cannot choose another principal. Missing auth, cross client session IDs, hostile Origin/Host, reconnect and oversized JSON are rejected.</w:t>
            </w:r>
          </w:p>
        </w:tc>
      </w:tr>
      <w:tr>
        <w:trPr>
          <w:cantSplit/>
        </w:trPr>
        <w:tc>
          <w:tcPr>
            <w:tcW w:w="2556" w:type="dxa"/>
            <w:shd w:fill="FFFFFF"/>
            <w:vAlign w:val="top"/>
          </w:tcPr>
          <w:p>
            <w:pPr>
              <w:spacing w:after="60" w:line="235" w:lineRule="auto"/>
            </w:pPr>
            <w:r>
              <w:rPr>
                <w:rFonts w:ascii="DejaVu Sans" w:hAnsi="DejaVu Sans"/>
                <w:sz w:val="18"/>
              </w:rPr>
              <w:t xml:space="preserve">Endpoint identity</w:t>
            </w:r>
          </w:p>
        </w:tc>
        <w:tc>
          <w:tcPr>
            <w:tcW w:w="7668" w:type="dxa"/>
            <w:shd w:fill="FFFFFF"/>
            <w:vAlign w:val="top"/>
          </w:tcPr>
          <w:p>
            <w:pPr>
              <w:spacing w:after="60" w:line="235" w:lineRule="auto"/>
            </w:pPr>
            <w:r>
              <w:rPr>
                <w:rFonts w:ascii="DejaVu Sans" w:hAnsi="DejaVu Sans"/>
                <w:sz w:val="18"/>
              </w:rPr>
              <w:t xml:space="preserve">A fake listener on the old port cannot obtain a credential in the preferred paired TLS profile. Compatibility clients and any lower assurance mode are explicitly documented.</w:t>
            </w:r>
          </w:p>
        </w:tc>
      </w:tr>
      <w:tr>
        <w:trPr>
          <w:cantSplit/>
        </w:trPr>
        <w:tc>
          <w:tcPr>
            <w:tcW w:w="2556" w:type="dxa"/>
            <w:shd w:fill="FFFFFF"/>
            <w:vAlign w:val="top"/>
          </w:tcPr>
          <w:p>
            <w:pPr>
              <w:spacing w:after="60" w:line="235" w:lineRule="auto"/>
            </w:pPr>
            <w:r>
              <w:rPr>
                <w:rFonts w:ascii="DejaVu Sans" w:hAnsi="DejaVu Sans"/>
                <w:sz w:val="18"/>
              </w:rPr>
              <w:t xml:space="preserve">SQLite durability</w:t>
            </w:r>
          </w:p>
        </w:tc>
        <w:tc>
          <w:tcPr>
            <w:tcW w:w="7668" w:type="dxa"/>
            <w:shd w:fill="FFFFFF"/>
            <w:vAlign w:val="top"/>
          </w:tcPr>
          <w:p>
            <w:pPr>
              <w:spacing w:after="60" w:line="235" w:lineRule="auto"/>
            </w:pPr>
            <w:r>
              <w:rPr>
                <w:rFonts w:ascii="DejaVu Sans" w:hAnsi="DejaVu Sans"/>
                <w:sz w:val="18"/>
              </w:rPr>
              <w:t xml:space="preserve">Constraint failures roll back all rule changes. Conflict edits never overwrite silently. Crash injection covers migration, policy commit, admission and outbox delivery; no permissive fallback.</w:t>
            </w:r>
          </w:p>
        </w:tc>
      </w:tr>
      <w:tr>
        <w:trPr>
          <w:cantSplit/>
        </w:trPr>
        <w:tc>
          <w:tcPr>
            <w:tcW w:w="2556" w:type="dxa"/>
            <w:shd w:fill="FFFFFF"/>
            <w:vAlign w:val="top"/>
          </w:tcPr>
          <w:p>
            <w:pPr>
              <w:spacing w:after="60" w:line="235" w:lineRule="auto"/>
            </w:pPr>
            <w:r>
              <w:rPr>
                <w:rFonts w:ascii="DejaVu Sans" w:hAnsi="DejaVu Sans"/>
                <w:sz w:val="18"/>
              </w:rPr>
              <w:t xml:space="preserve">Android integration</w:t>
            </w:r>
          </w:p>
        </w:tc>
        <w:tc>
          <w:tcPr>
            <w:tcW w:w="7668" w:type="dxa"/>
            <w:shd w:fill="FFFFFF"/>
            <w:vAlign w:val="top"/>
          </w:tcPr>
          <w:p>
            <w:pPr>
              <w:spacing w:after="60" w:line="235" w:lineRule="auto"/>
            </w:pPr>
            <w:r>
              <w:rPr>
                <w:rFonts w:ascii="DejaVu Sans" w:hAnsi="DejaVu Sans"/>
                <w:sz w:val="18"/>
              </w:rPr>
              <w:t xml:space="preserve">Release build invokes actual public API and a test AIDL service. Test runtime permission denial/revocation, WRITE_SETTINGS loss, brightness mode races, sensor cleanup, service death, signer/version change and Keystore invalidation.</w:t>
            </w:r>
          </w:p>
        </w:tc>
      </w:tr>
      <w:tr>
        <w:trPr>
          <w:cantSplit/>
        </w:trPr>
        <w:tc>
          <w:tcPr>
            <w:tcW w:w="2556" w:type="dxa"/>
            <w:shd w:fill="FFFFFF"/>
            <w:vAlign w:val="top"/>
          </w:tcPr>
          <w:p>
            <w:pPr>
              <w:spacing w:after="60" w:line="235" w:lineRule="auto"/>
            </w:pPr>
            <w:r>
              <w:rPr>
                <w:rFonts w:ascii="DejaVu Sans" w:hAnsi="DejaVu Sans"/>
                <w:sz w:val="18"/>
              </w:rPr>
              <w:t xml:space="preserve">Lifecycle</w:t>
            </w:r>
          </w:p>
        </w:tc>
        <w:tc>
          <w:tcPr>
            <w:tcW w:w="7668" w:type="dxa"/>
            <w:shd w:fill="FFFFFF"/>
            <w:vAlign w:val="top"/>
          </w:tcPr>
          <w:p>
            <w:pPr>
              <w:spacing w:after="60" w:line="235" w:lineRule="auto"/>
            </w:pPr>
            <w:r>
              <w:rPr>
                <w:rFonts w:ascii="DejaVu Sans" w:hAnsi="DejaVu Sans"/>
                <w:sz w:val="18"/>
              </w:rPr>
              <w:t xml:space="preserve">Test rotation, activity recreation, backgrounding, process kill, force stop, reboot, device lock and approved foreground service mode across supported Android versions and vendor devices.</w:t>
            </w:r>
          </w:p>
        </w:tc>
      </w:tr>
      <w:tr>
        <w:trPr>
          <w:cantSplit/>
        </w:trPr>
        <w:tc>
          <w:tcPr>
            <w:tcW w:w="2556" w:type="dxa"/>
            <w:shd w:fill="FFFFFF"/>
            <w:vAlign w:val="top"/>
          </w:tcPr>
          <w:p>
            <w:pPr>
              <w:spacing w:after="60" w:line="235" w:lineRule="auto"/>
            </w:pPr>
            <w:r>
              <w:rPr>
                <w:rFonts w:ascii="DejaVu Sans" w:hAnsi="DejaVu Sans"/>
                <w:sz w:val="18"/>
              </w:rPr>
              <w:t xml:space="preserve">UI accessibility</w:t>
            </w:r>
          </w:p>
        </w:tc>
        <w:tc>
          <w:tcPr>
            <w:tcW w:w="7668" w:type="dxa"/>
            <w:shd w:fill="FFFFFF"/>
            <w:vAlign w:val="top"/>
          </w:tcPr>
          <w:p>
            <w:pPr>
              <w:spacing w:after="60" w:line="235" w:lineRule="auto"/>
            </w:pPr>
            <w:r>
              <w:rPr>
                <w:rFonts w:ascii="DejaVu Sans" w:hAnsi="DejaVu Sans"/>
                <w:sz w:val="18"/>
              </w:rPr>
              <w:t xml:space="preserve">Phone and tablet, large text, screen reader and keyboard navigation work. Deny/Ask/Allow remains distinct from OS status. Dirty drafts, conflicts, revocation and expiry are understandable.</w:t>
            </w:r>
          </w:p>
        </w:tc>
      </w:tr>
      <w:tr>
        <w:trPr>
          <w:cantSplit/>
        </w:trPr>
        <w:tc>
          <w:tcPr>
            <w:tcW w:w="2556" w:type="dxa"/>
            <w:shd w:fill="FFFFFF"/>
            <w:vAlign w:val="top"/>
          </w:tcPr>
          <w:p>
            <w:pPr>
              <w:spacing w:after="60" w:line="235" w:lineRule="auto"/>
            </w:pPr>
            <w:r>
              <w:rPr>
                <w:rFonts w:ascii="DejaVu Sans" w:hAnsi="DejaVu Sans"/>
                <w:sz w:val="18"/>
              </w:rPr>
              <w:t xml:space="preserve">Privacy and performance</w:t>
            </w:r>
          </w:p>
        </w:tc>
        <w:tc>
          <w:tcPr>
            <w:tcW w:w="7668" w:type="dxa"/>
            <w:shd w:fill="FFFFFF"/>
            <w:vAlign w:val="top"/>
          </w:tcPr>
          <w:p>
            <w:pPr>
              <w:spacing w:after="60" w:line="235" w:lineRule="auto"/>
            </w:pPr>
            <w:r>
              <w:rPr>
                <w:rFonts w:ascii="DejaVu Sans" w:hAnsi="DejaVu Sans"/>
                <w:sz w:val="18"/>
              </w:rPr>
              <w:t xml:space="preserve">Automated secret canaries never appear in logs/exports. Limits stop queue growth. Measure request overhead, DB contention, memory and battery before setting service level targets.</w:t>
            </w:r>
          </w:p>
        </w:tc>
      </w:tr>
    </w:tbl>
    <w:p>
      <w:pPr>
        <w:spacing w:after="90" w:line="260" w:lineRule="auto"/>
      </w:pPr>
    </w:p>
    <w:p>
      <w:pPr>
        <w:pStyle w:val="Heading2"/>
        <w:keepNext/>
        <w:spacing w:after="90" w:line="260" w:lineRule="auto"/>
      </w:pPr>
      <w:r>
        <w:rPr>
          <w:rFonts w:ascii="DejaVu Sans" w:hAnsi="DejaVu Sans"/>
          <w:b/>
          <w:sz w:val="25"/>
        </w:rPr>
        <w:t xml:space="preserve">Delivery sequence and exit criteria</w:t>
      </w:r>
    </w:p>
    <w:p>
      <w:pPr>
        <w:numPr>
          <w:ilvl w:val="0"/>
          <w:numId w:val="1006"/>
        </w:numPr>
        <w:spacing w:after="90" w:line="260" w:lineRule="auto"/>
      </w:pPr>
      <w:r>
        <w:rPr>
          <w:rFonts w:ascii="DejaVu Sans" w:hAnsi="DejaVu Sans"/>
          <w:sz w:val="21"/>
        </w:rPr>
        <w:t xml:space="preserve">Compatibility spike: prove Avalonia 12 Android release build, persistent/boot service, HTTP host, MCP baseline, SQLite, Keystore and full-source registry generation. Exit with supported device/client matrix and exact pinned versions.</w:t>
      </w:r>
    </w:p>
    <w:p>
      <w:pPr>
        <w:numPr>
          <w:ilvl w:val="0"/>
          <w:numId w:val="1006"/>
        </w:numPr>
        <w:spacing w:after="90" w:line="260" w:lineRule="auto"/>
      </w:pPr>
      <w:r>
        <w:rPr>
          <w:rFonts w:ascii="DejaVu Sans" w:hAnsi="DejaVu Sans"/>
          <w:sz w:val="21"/>
        </w:rPr>
        <w:t xml:space="preserve">Security core: implement policy shared by generated/generic/raw paths, marshalling, handle ownership, approvals, transactional edits and fake adapters. Exit with deterministic race and property tests passing.</w:t>
      </w:r>
    </w:p>
    <w:p>
      <w:pPr>
        <w:numPr>
          <w:ilvl w:val="0"/>
          <w:numId w:val="1006"/>
        </w:numPr>
        <w:spacing w:after="90" w:line="260" w:lineRule="auto"/>
      </w:pPr>
      <w:r>
        <w:rPr>
          <w:rFonts w:ascii="DejaVu Sans" w:hAnsi="DejaVu Sans"/>
          <w:sz w:val="21"/>
        </w:rPr>
        <w:t xml:space="preserve">Vertical slice: pair one MCP client and a self-ADB profile, read screen.state and issue one authorized input.tap against a test app. Verify image coordinates, stale-reference rejection, direct mode, unknown outcomes and configured Allow versus Ask.</w:t>
      </w:r>
    </w:p>
    <w:p>
      <w:pPr>
        <w:numPr>
          <w:ilvl w:val="0"/>
          <w:numId w:val="1006"/>
        </w:numPr>
        <w:spacing w:after="90" w:line="260" w:lineRule="auto"/>
      </w:pPr>
      <w:r>
        <w:rPr>
          <w:rFonts w:ascii="DejaVu Sans" w:hAnsi="DejaVu Sans"/>
          <w:sz w:val="21"/>
        </w:rPr>
        <w:t xml:space="preserve">Complete generic capabilities: validate settings/files/sensors and optional partner AIDL, per-client logging, external-host forwarding and any enabled Avalonia runtime adapter. Exit after restore, lifecycle and security gates; app-specific workflows remain outside the bridge.</w:t>
      </w:r>
    </w:p>
    <w:p>
      <w:pPr>
        <w:pStyle w:val="Heading1"/>
        <w:keepNext/>
        <w:spacing w:after="90" w:line="260" w:lineRule="auto"/>
      </w:pPr>
      <w:r>
        <w:rPr>
          <w:rFonts w:ascii="DejaVu Sans" w:hAnsi="DejaVu Sans"/>
          <w:b/>
          <w:sz w:val="30"/>
        </w:rPr>
        <w:t xml:space="preserve">20 Decisions and source references</w:t>
      </w:r>
    </w:p>
    <w:p>
      <w:pPr>
        <w:pStyle w:val="Heading2"/>
        <w:keepNext/>
        <w:spacing w:after="90" w:line="260" w:lineRule="auto"/>
      </w:pPr>
      <w:r>
        <w:rPr>
          <w:rFonts w:ascii="DejaVu Sans" w:hAnsi="DejaVu Sans"/>
          <w:b/>
          <w:sz w:val="25"/>
        </w:rPr>
        <w:t xml:space="preserve">Decisions to settle before implementation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Decision</w:t>
            </w:r>
          </w:p>
        </w:tc>
        <w:tc>
          <w:tcPr>
            <w:tcW w:w="7668" w:type="dxa"/>
            <w:shd w:fill="E4EDF5"/>
            <w:vAlign w:val="top"/>
          </w:tcPr>
          <w:p>
            <w:pPr>
              <w:spacing w:after="60" w:line="235" w:lineRule="auto"/>
            </w:pPr>
            <w:r>
              <w:rPr>
                <w:rFonts w:ascii="DejaVu Sans" w:hAnsi="DejaVu Sans"/>
                <w:b/>
                <w:sz w:val="18"/>
              </w:rPr>
              <w:t xml:space="preserve">Recommended starting point</w:t>
            </w:r>
          </w:p>
        </w:tc>
      </w:tr>
      <w:tr>
        <w:trPr>
          <w:cantSplit/>
        </w:trPr>
        <w:tc>
          <w:tcPr>
            <w:tcW w:w="2556" w:type="dxa"/>
            <w:shd w:fill="FFFFFF"/>
            <w:vAlign w:val="top"/>
          </w:tcPr>
          <w:p>
            <w:pPr>
              <w:spacing w:after="60" w:line="235" w:lineRule="auto"/>
            </w:pPr>
            <w:r>
              <w:rPr>
                <w:rFonts w:ascii="DejaVu Sans" w:hAnsi="DejaVu Sans"/>
                <w:sz w:val="18"/>
              </w:rPr>
              <w:t xml:space="preserve">Exposed surface</w:t>
            </w:r>
          </w:p>
        </w:tc>
        <w:tc>
          <w:tcPr>
            <w:tcW w:w="7668" w:type="dxa"/>
            <w:shd w:fill="FFFFFF"/>
            <w:vAlign w:val="top"/>
          </w:tcPr>
          <w:p>
            <w:pPr>
              <w:spacing w:after="60" w:line="235" w:lineRule="auto"/>
            </w:pPr>
            <w:r>
              <w:rPr>
                <w:rFonts w:ascii="DejaVu Sans" w:hAnsi="DejaVu Sans"/>
                <w:sz w:val="18"/>
              </w:rPr>
              <w:t xml:space="preserve">Complete declared SDK/AIDL/protocol inventory with generated and generic invocation; screen.state/input.tap and native wrappers are conveniences, not a curated limit.</w:t>
            </w:r>
          </w:p>
        </w:tc>
      </w:tr>
      <w:tr>
        <w:trPr>
          <w:cantSplit/>
        </w:trPr>
        <w:tc>
          <w:tcPr>
            <w:tcW w:w="2556" w:type="dxa"/>
            <w:shd w:fill="FFFFFF"/>
            <w:vAlign w:val="top"/>
          </w:tcPr>
          <w:p>
            <w:pPr>
              <w:spacing w:after="60" w:line="235" w:lineRule="auto"/>
            </w:pPr>
            <w:r>
              <w:rPr>
                <w:rFonts w:ascii="DejaVu Sans" w:hAnsi="DejaVu Sans"/>
                <w:sz w:val="18"/>
              </w:rPr>
              <w:t xml:space="preserve">Client authentication</w:t>
            </w:r>
          </w:p>
        </w:tc>
        <w:tc>
          <w:tcPr>
            <w:tcW w:w="7668" w:type="dxa"/>
            <w:shd w:fill="FFFFFF"/>
            <w:vAlign w:val="top"/>
          </w:tcPr>
          <w:p>
            <w:pPr>
              <w:spacing w:after="60" w:line="235" w:lineRule="auto"/>
            </w:pPr>
            <w:r>
              <w:rPr>
                <w:rFonts w:ascii="DejaVu Sans" w:hAnsi="DejaVu Sans"/>
                <w:sz w:val="18"/>
              </w:rPr>
              <w:t xml:space="preserve">Manual paired bearer profile for compatible on device agents; preferred pinned loopback TLS. Add standards based authorization only when required by target clients.</w:t>
            </w:r>
          </w:p>
        </w:tc>
      </w:tr>
      <w:tr>
        <w:trPr>
          <w:cantSplit/>
        </w:trPr>
        <w:tc>
          <w:tcPr>
            <w:tcW w:w="2556" w:type="dxa"/>
            <w:shd w:fill="FFFFFF"/>
            <w:vAlign w:val="top"/>
          </w:tcPr>
          <w:p>
            <w:pPr>
              <w:spacing w:after="60" w:line="235" w:lineRule="auto"/>
            </w:pPr>
            <w:r>
              <w:rPr>
                <w:rFonts w:ascii="DejaVu Sans" w:hAnsi="DejaVu Sans"/>
                <w:sz w:val="18"/>
              </w:rPr>
              <w:t xml:space="preserve">Runtime availability</w:t>
            </w:r>
          </w:p>
        </w:tc>
        <w:tc>
          <w:tcPr>
            <w:tcW w:w="7668" w:type="dxa"/>
            <w:shd w:fill="FFFFFF"/>
            <w:vAlign w:val="top"/>
          </w:tcPr>
          <w:p>
            <w:pPr>
              <w:spacing w:after="60" w:line="235" w:lineRule="auto"/>
            </w:pPr>
            <w:r>
              <w:rPr>
                <w:rFonts w:ascii="DejaVu Sans" w:hAnsi="DejaVu Sans"/>
                <w:sz w:val="18"/>
              </w:rPr>
              <w:t xml:space="preserve">Persistent foreground MCP service independent of UI, optional boot start, truthful AppBar/status notification, restart recovery and explicit OS-blocked states.</w:t>
            </w:r>
          </w:p>
        </w:tc>
      </w:tr>
      <w:tr>
        <w:trPr>
          <w:cantSplit/>
        </w:trPr>
        <w:tc>
          <w:tcPr>
            <w:tcW w:w="2556" w:type="dxa"/>
            <w:shd w:fill="FFFFFF"/>
            <w:vAlign w:val="top"/>
          </w:tcPr>
          <w:p>
            <w:pPr>
              <w:spacing w:after="60" w:line="235" w:lineRule="auto"/>
            </w:pPr>
            <w:r>
              <w:rPr>
                <w:rFonts w:ascii="DejaVu Sans" w:hAnsi="DejaVu Sans"/>
                <w:sz w:val="18"/>
              </w:rPr>
              <w:t xml:space="preserve">Android support floor</w:t>
            </w:r>
          </w:p>
        </w:tc>
        <w:tc>
          <w:tcPr>
            <w:tcW w:w="7668" w:type="dxa"/>
            <w:shd w:fill="FFFFFF"/>
            <w:vAlign w:val="top"/>
          </w:tcPr>
          <w:p>
            <w:pPr>
              <w:spacing w:after="60" w:line="235" w:lineRule="auto"/>
            </w:pPr>
            <w:r>
              <w:rPr>
                <w:rFonts w:ascii="DejaVu Sans" w:hAnsi="DejaVu Sans"/>
                <w:sz w:val="18"/>
              </w:rPr>
              <w:t xml:space="preserve">Set after compatibility spike and intended device inventory. Test real supported devices; do not infer support from successful desktop tests.</w:t>
            </w:r>
          </w:p>
        </w:tc>
      </w:tr>
      <w:tr>
        <w:trPr>
          <w:cantSplit/>
        </w:trPr>
        <w:tc>
          <w:tcPr>
            <w:tcW w:w="2556" w:type="dxa"/>
            <w:shd w:fill="FFFFFF"/>
            <w:vAlign w:val="top"/>
          </w:tcPr>
          <w:p>
            <w:pPr>
              <w:spacing w:after="60" w:line="235" w:lineRule="auto"/>
            </w:pPr>
            <w:r>
              <w:rPr>
                <w:rFonts w:ascii="DejaVu Sans" w:hAnsi="DejaVu Sans"/>
                <w:sz w:val="18"/>
              </w:rPr>
              <w:t xml:space="preserve">Privacy level</w:t>
            </w:r>
          </w:p>
        </w:tc>
        <w:tc>
          <w:tcPr>
            <w:tcW w:w="7668" w:type="dxa"/>
            <w:shd w:fill="FFFFFF"/>
            <w:vAlign w:val="top"/>
          </w:tcPr>
          <w:p>
            <w:pPr>
              <w:spacing w:after="60" w:line="235" w:lineRule="auto"/>
            </w:pPr>
            <w:r>
              <w:rPr>
                <w:rFonts w:ascii="DejaVu Sans" w:hAnsi="DejaVu Sans"/>
                <w:sz w:val="18"/>
              </w:rPr>
              <w:t xml:space="preserve">Local minimal audit and disabled client restore. Decide whether sensitive scope identifiers require encrypted storage and exports.</w:t>
            </w:r>
          </w:p>
        </w:tc>
      </w:tr>
      <w:tr>
        <w:trPr>
          <w:cantSplit/>
        </w:trPr>
        <w:tc>
          <w:tcPr>
            <w:tcW w:w="2556" w:type="dxa"/>
            <w:shd w:fill="FFFFFF"/>
            <w:vAlign w:val="top"/>
          </w:tcPr>
          <w:p>
            <w:pPr>
              <w:spacing w:after="60" w:line="235" w:lineRule="auto"/>
            </w:pPr>
            <w:r>
              <w:rPr>
                <w:rFonts w:ascii="DejaVu Sans" w:hAnsi="DejaVu Sans"/>
                <w:sz w:val="18"/>
              </w:rPr>
              <w:t xml:space="preserve">Partner Binder integration</w:t>
            </w:r>
          </w:p>
        </w:tc>
        <w:tc>
          <w:tcPr>
            <w:tcW w:w="7668" w:type="dxa"/>
            <w:shd w:fill="FFFFFF"/>
            <w:vAlign w:val="top"/>
          </w:tcPr>
          <w:p>
            <w:pPr>
              <w:spacing w:after="60" w:line="235" w:lineRule="auto"/>
            </w:pPr>
            <w:r>
              <w:rPr>
                <w:rFonts w:ascii="DejaVu Sans" w:hAnsi="DejaVu Sans"/>
                <w:sz w:val="18"/>
              </w:rPr>
              <w:t xml:space="preserve">Native Binder needs a known contract. Arbitrary-app UI control uses authorized ADB; optional Avalonia.RemoteControl requires an instrumented target and extra integration gates.</w:t>
            </w:r>
          </w:p>
        </w:tc>
      </w:tr>
    </w:tbl>
    <w:p>
      <w:pPr>
        <w:spacing w:after="90" w:line="260" w:lineRule="auto"/>
      </w:pPr>
    </w:p>
    <w:p>
      <w:pPr>
        <w:pStyle w:val="Heading2"/>
        <w:keepNext/>
        <w:spacing w:after="90" w:line="260" w:lineRule="auto"/>
      </w:pPr>
      <w:r>
        <w:rPr>
          <w:rFonts w:ascii="DejaVu Sans" w:hAnsi="DejaVu Sans"/>
          <w:b/>
          <w:sz w:val="25"/>
        </w:rPr>
        <w:t xml:space="preserve">Primary references</w:t>
      </w:r>
    </w:p>
    <w:p>
      <w:pPr>
        <w:spacing w:after="90" w:line="260" w:lineRule="auto"/>
      </w:pPr>
      <w:r>
        <w:rPr>
          <w:rFonts w:ascii="DejaVu Sans" w:hAnsi="DejaVu Sans"/>
          <w:sz w:val="21"/>
        </w:rPr>
        <w:t xml:space="preserve">Platform facts were checked against the following primary documentation on 26 October 2026. References are linked by title. Numeric limits, project names, UI layouts and policy semantics in this document are proposed design choices, not vendor requirements.</w:t>
      </w:r>
    </w:p>
    <w:p>
      <w:pPr>
        <w:spacing w:after="90" w:line="260" w:lineRule="auto"/>
      </w:pPr>
      <w:hyperlink r:id="rIdDesign1007">
        <w:r>
          <w:rPr>
            <w:rFonts w:ascii="DejaVu Sans" w:hAnsi="DejaVu Sans"/>
            <w:color w:val="24577A"/>
            <w:sz w:val="21"/>
            <w:u w:val="single"/>
          </w:rPr>
          <w:t xml:space="preserve">[S1] Avalonia 12 breaking changes and Android .NET requirement</w:t>
        </w:r>
      </w:hyperlink>
    </w:p>
    <w:p>
      <w:pPr>
        <w:spacing w:after="90" w:line="260" w:lineRule="auto"/>
      </w:pPr>
      <w:hyperlink r:id="rIdDesign1008">
        <w:r>
          <w:rPr>
            <w:rFonts w:ascii="DejaVu Sans" w:hAnsi="DejaVu Sans"/>
            <w:color w:val="24577A"/>
            <w:sz w:val="21"/>
            <w:u w:val="single"/>
          </w:rPr>
          <w:t xml:space="preserve">[S2] Microsoft Data Sqlite custom versions and native providers</w:t>
        </w:r>
      </w:hyperlink>
    </w:p>
    <w:p>
      <w:pPr>
        <w:spacing w:after="90" w:line="260" w:lineRule="auto"/>
      </w:pPr>
      <w:hyperlink r:id="rIdDesign1009">
        <w:r>
          <w:rPr>
            <w:rFonts w:ascii="DejaVu Sans" w:hAnsi="DejaVu Sans"/>
            <w:color w:val="24577A"/>
            <w:sz w:val="21"/>
            <w:u w:val="single"/>
          </w:rPr>
          <w:t xml:space="preserve">[S3] Android foreground service types and prerequisites</w:t>
        </w:r>
      </w:hyperlink>
    </w:p>
    <w:p>
      <w:pPr>
        <w:spacing w:after="90" w:line="260" w:lineRule="auto"/>
      </w:pPr>
      <w:hyperlink r:id="rIdDesign1010">
        <w:r>
          <w:rPr>
            <w:rFonts w:ascii="DejaVu Sans" w:hAnsi="DejaVu Sans"/>
            <w:color w:val="24577A"/>
            <w:sz w:val="21"/>
            <w:u w:val="single"/>
          </w:rPr>
          <w:t xml:space="preserve">[S4] MCP 2025 11 25 Streamable HTTP transport specification</w:t>
        </w:r>
      </w:hyperlink>
    </w:p>
    <w:p>
      <w:pPr>
        <w:spacing w:after="90" w:line="260" w:lineRule="auto"/>
      </w:pPr>
      <w:hyperlink r:id="rIdDesign1011">
        <w:r>
          <w:rPr>
            <w:rFonts w:ascii="DejaVu Sans" w:hAnsi="DejaVu Sans"/>
            <w:color w:val="24577A"/>
            <w:sz w:val="21"/>
            <w:u w:val="single"/>
          </w:rPr>
          <w:t xml:space="preserve">[S5] MCP 2025 11 25 authorization specification</w:t>
        </w:r>
      </w:hyperlink>
    </w:p>
    <w:p>
      <w:pPr>
        <w:spacing w:after="90" w:line="260" w:lineRule="auto"/>
      </w:pPr>
      <w:hyperlink r:id="rIdDesign1012">
        <w:r>
          <w:rPr>
            <w:rFonts w:ascii="DejaVu Sans" w:hAnsi="DejaVu Sans"/>
            <w:color w:val="24577A"/>
            <w:sz w:val="21"/>
            <w:u w:val="single"/>
          </w:rPr>
          <w:t xml:space="preserve">[S6] Android security checklist and application permissions</w:t>
        </w:r>
      </w:hyperlink>
    </w:p>
    <w:p>
      <w:pPr>
        <w:spacing w:after="90" w:line="260" w:lineRule="auto"/>
      </w:pPr>
      <w:hyperlink r:id="rIdDesign1013">
        <w:r>
          <w:rPr>
            <w:rFonts w:ascii="DejaVu Sans" w:hAnsi="DejaVu Sans"/>
            <w:color w:val="24577A"/>
            <w:sz w:val="21"/>
            <w:u w:val="single"/>
          </w:rPr>
          <w:t xml:space="preserve">[S7] Android foreground service background start restrictions</w:t>
        </w:r>
      </w:hyperlink>
    </w:p>
    <w:p>
      <w:pPr>
        <w:spacing w:after="90" w:line="260" w:lineRule="auto"/>
      </w:pPr>
      <w:hyperlink r:id="rIdDesign1014">
        <w:r>
          <w:rPr>
            <w:rFonts w:ascii="DejaVu Sans" w:hAnsi="DejaVu Sans"/>
            <w:color w:val="24577A"/>
            <w:sz w:val="21"/>
            <w:u w:val="single"/>
          </w:rPr>
          <w:t xml:space="preserve">[S8] SQLite foreign key support and connection settings</w:t>
        </w:r>
      </w:hyperlink>
    </w:p>
    <w:p>
      <w:pPr>
        <w:spacing w:after="90" w:line="260" w:lineRule="auto"/>
      </w:pPr>
      <w:hyperlink r:id="rIdDesign1015">
        <w:r>
          <w:rPr>
            <w:rFonts w:ascii="DejaVu Sans" w:hAnsi="DejaVu Sans"/>
            <w:color w:val="24577A"/>
            <w:sz w:val="21"/>
            <w:u w:val="single"/>
          </w:rPr>
          <w:t xml:space="preserve">[S9] SQLite write ahead logging and checkpointing</w:t>
        </w:r>
      </w:hyperlink>
    </w:p>
    <w:p>
      <w:pPr>
        <w:spacing w:after="90" w:line="260" w:lineRule="auto"/>
      </w:pPr>
      <w:hyperlink r:id="rIdDesign1016">
        <w:r>
          <w:rPr>
            <w:rFonts w:ascii="DejaVu Sans" w:hAnsi="DejaVu Sans"/>
            <w:color w:val="24577A"/>
            <w:sz w:val="21"/>
            <w:u w:val="single"/>
          </w:rPr>
          <w:t xml:space="preserve">[S10] Android Keystore security properties</w:t>
        </w:r>
      </w:hyperlink>
    </w:p>
    <w:p>
      <w:pPr>
        <w:spacing w:after="90" w:line="260" w:lineRule="auto"/>
      </w:pPr>
      <w:hyperlink r:id="rIdDesign1017">
        <w:r>
          <w:rPr>
            <w:rFonts w:ascii="DejaVu Sans" w:hAnsi="DejaVu Sans"/>
            <w:color w:val="24577A"/>
            <w:sz w:val="21"/>
            <w:u w:val="single"/>
          </w:rPr>
          <w:t xml:space="preserve">[S11] SQLite online backup API</w:t>
        </w:r>
      </w:hyperlink>
    </w:p>
    <w:p>
      <w:pPr>
        <w:spacing w:after="90" w:line="260" w:lineRule="auto"/>
      </w:pPr>
      <w:hyperlink r:id="rIdDesign1018">
        <w:r>
          <w:rPr>
            <w:rFonts w:ascii="DejaVu Sans" w:hAnsi="DejaVu Sans"/>
            <w:color w:val="24577A"/>
            <w:sz w:val="21"/>
            <w:u w:val="single"/>
          </w:rPr>
          <w:t xml:space="preserve">[S12] Android Contacts Provider overview</w:t>
        </w:r>
      </w:hyperlink>
    </w:p>
    <w:p>
      <w:pPr>
        <w:spacing w:after="90" w:line="260" w:lineRule="auto"/>
      </w:pPr>
      <w:hyperlink r:id="rIdDesign1019">
        <w:r>
          <w:rPr>
            <w:rFonts w:ascii="DejaVu Sans" w:hAnsi="DejaVu Sans"/>
            <w:color w:val="24577A"/>
            <w:sz w:val="21"/>
            <w:u w:val="single"/>
          </w:rPr>
          <w:t xml:space="preserve">[S13] Android AIDL contracts and threading</w:t>
        </w:r>
      </w:hyperlink>
    </w:p>
    <w:p>
      <w:pPr>
        <w:spacing w:after="90" w:line="260" w:lineRule="auto"/>
      </w:pPr>
      <w:hyperlink r:id="rIdDesign1020">
        <w:r>
          <w:rPr>
            <w:rFonts w:ascii="DejaVu Sans" w:hAnsi="DejaVu Sans"/>
            <w:color w:val="24577A"/>
            <w:sz w:val="21"/>
            <w:u w:val="single"/>
          </w:rPr>
          <w:t xml:space="preserve">[S14] Android backup and device transfer rules</w:t>
        </w:r>
      </w:hyperlink>
    </w:p>
    <w:p>
      <w:pPr>
        <w:spacing w:after="90" w:line="260" w:lineRule="auto"/>
      </w:pPr>
      <w:hyperlink r:id="rIdDesign1021">
        <w:r>
          <w:rPr>
            <w:rFonts w:ascii="DejaVu Sans" w:hAnsi="DejaVu Sans"/>
            <w:color w:val="24577A"/>
            <w:sz w:val="21"/>
            <w:u w:val="single"/>
          </w:rPr>
          <w:t xml:space="preserve">[S15] Android Settings System brightness and write permission</w:t>
        </w:r>
      </w:hyperlink>
    </w:p>
    <w:p>
      <w:pPr>
        <w:spacing w:after="90" w:line="260" w:lineRule="auto"/>
      </w:pPr>
      <w:hyperlink r:id="rIdDesign1022">
        <w:r>
          <w:rPr>
            <w:rFonts w:ascii="DejaVu Sans" w:hAnsi="DejaVu Sans"/>
            <w:color w:val="24577A"/>
            <w:sz w:val="21"/>
            <w:u w:val="single"/>
          </w:rPr>
          <w:t xml:space="preserve">[S16] Android sensors framework and lifecycle</w:t>
        </w:r>
      </w:hyperlink>
    </w:p>
    <w:p>
      <w:pPr>
        <w:pStyle w:val="Heading1"/>
        <w:keepNext/>
        <w:spacing w:after="90" w:line="260" w:lineRule="auto"/>
      </w:pPr>
      <w:r>
        <w:rPr>
          <w:rFonts w:ascii="DejaVu Sans" w:hAnsi="DejaVu Sans"/>
          <w:b/>
          <w:sz w:val="30"/>
        </w:rPr>
        <w:t xml:space="preserve">Integration source references</w:t>
      </w:r>
    </w:p>
    <w:p>
      <w:pPr>
        <w:spacing w:after="90" w:line="260" w:lineRule="auto"/>
      </w:pPr>
      <w:r>
        <w:rPr>
          <w:rFonts w:ascii="DejaVu Sans" w:hAnsi="DejaVu Sans"/>
          <w:sz w:val="21"/>
        </w:rPr>
        <w:t xml:space="preserve">Additional sources for the authorized ADB and specialized Avalonia runtime designs. Upstream implementation details describe the inspected source, not an established compatibility guarantee for this bridge.</w:t>
      </w:r>
    </w:p>
    <w:p>
      <w:pPr>
        <w:spacing w:after="90" w:line="260" w:lineRule="auto"/>
      </w:pPr>
      <w:hyperlink r:id="rIdDesign1023">
        <w:r>
          <w:rPr>
            <w:rFonts w:ascii="DejaVu Sans" w:hAnsi="DejaVu Sans"/>
            <w:color w:val="24577A"/>
            <w:sz w:val="21"/>
            <w:u w:val="single"/>
          </w:rPr>
          <w:t xml:space="preserve">[S17] LADB local Android Debug Bridge feasibility example</w:t>
        </w:r>
      </w:hyperlink>
    </w:p>
    <w:p>
      <w:pPr>
        <w:spacing w:after="90" w:line="260" w:lineRule="auto"/>
      </w:pPr>
      <w:hyperlink r:id="rIdDesign1024">
        <w:r>
          <w:rPr>
            <w:rFonts w:ascii="DejaVu Sans" w:hAnsi="DejaVu Sans"/>
            <w:color w:val="24577A"/>
            <w:sz w:val="21"/>
            <w:u w:val="single"/>
          </w:rPr>
          <w:t xml:space="preserve">[S18] Android wireless debugging architecture and pairing</w:t>
        </w:r>
      </w:hyperlink>
    </w:p>
    <w:p>
      <w:pPr>
        <w:spacing w:after="90" w:line="260" w:lineRule="auto"/>
      </w:pPr>
      <w:hyperlink r:id="rIdDesign1025">
        <w:r>
          <w:rPr>
            <w:rFonts w:ascii="DejaVu Sans" w:hAnsi="DejaVu Sans"/>
            <w:color w:val="24577A"/>
            <w:sz w:val="21"/>
            <w:u w:val="single"/>
          </w:rPr>
          <w:t xml:space="preserve">[S19] AOSP adb command manual and forwarding</w:t>
        </w:r>
      </w:hyperlink>
    </w:p>
    <w:p>
      <w:pPr>
        <w:spacing w:after="90" w:line="260" w:lineRule="auto"/>
      </w:pPr>
      <w:hyperlink r:id="rIdDesign1026">
        <w:r>
          <w:rPr>
            <w:rFonts w:ascii="DejaVu Sans" w:hAnsi="DejaVu Sans"/>
            <w:color w:val="24577A"/>
            <w:sz w:val="21"/>
            <w:u w:val="single"/>
          </w:rPr>
          <w:t xml:space="preserve">[S20] Avalonia RemoteControl Android bridge architecture</w:t>
        </w:r>
      </w:hyperlink>
    </w:p>
    <w:p>
      <w:pPr>
        <w:spacing w:after="90" w:line="260" w:lineRule="auto"/>
      </w:pPr>
      <w:hyperlink r:id="rIdDesign1027">
        <w:r>
          <w:rPr>
            <w:rFonts w:ascii="DejaVu Sans" w:hAnsi="DejaVu Sans"/>
            <w:color w:val="24577A"/>
            <w:sz w:val="21"/>
            <w:u w:val="single"/>
          </w:rPr>
          <w:t xml:space="preserve">[S21] Android secure activity and capture protections</w:t>
        </w:r>
      </w:hyperlink>
    </w:p>
    <w:p>
      <w:pPr>
        <w:spacing w:after="90" w:line="260" w:lineRule="auto"/>
      </w:pPr>
      <w:hyperlink r:id="rIdDesign1028">
        <w:r>
          <w:rPr>
            <w:rFonts w:ascii="DejaVu Sans" w:hAnsi="DejaVu Sans"/>
            <w:color w:val="24577A"/>
            <w:sz w:val="21"/>
            <w:u w:val="single"/>
          </w:rPr>
          <w:t xml:space="preserve">[S22] AOSP input shell command implementation</w:t>
        </w:r>
      </w:hyperlink>
    </w:p>
    <w:p>
      <w:pPr>
        <w:spacing w:after="90" w:line="260" w:lineRule="auto"/>
      </w:pPr>
      <w:hyperlink r:id="rIdDesign1029">
        <w:r>
          <w:rPr>
            <w:rFonts w:ascii="DejaVu Sans" w:hAnsi="DejaVu Sans"/>
            <w:color w:val="24577A"/>
            <w:sz w:val="21"/>
            <w:u w:val="single"/>
          </w:rPr>
          <w:t xml:space="preserve">[S23] Android debugger eligibility and setup</w:t>
        </w:r>
      </w:hyperlink>
    </w:p>
    <w:p>
      <w:pPr>
        <w:spacing w:after="90" w:line="260" w:lineRule="auto"/>
      </w:pPr>
      <w:hyperlink r:id="rIdDesign1030">
        <w:r>
          <w:rPr>
            <w:rFonts w:ascii="DejaVu Sans" w:hAnsi="DejaVu Sans"/>
            <w:color w:val="24577A"/>
            <w:sz w:val="21"/>
            <w:u w:val="single"/>
          </w:rPr>
          <w:t xml:space="preserve">[S24] AOSP run as command restrictions</w:t>
        </w:r>
      </w:hyperlink>
    </w:p>
    <w:p>
      <w:pPr>
        <w:spacing w:after="90" w:line="260" w:lineRule="auto"/>
      </w:pPr>
      <w:hyperlink r:id="rIdDesign1031">
        <w:r>
          <w:rPr>
            <w:rFonts w:ascii="DejaVu Sans" w:hAnsi="DejaVu Sans"/>
            <w:color w:val="24577A"/>
            <w:sz w:val="21"/>
            <w:u w:val="single"/>
          </w:rPr>
          <w:t xml:space="preserve">[S25] Pele renderer API</w:t>
        </w:r>
      </w:hyperlink>
    </w:p>
    <w:p>
      <w:pPr>
        <w:spacing w:after="90" w:line="260" w:lineRule="auto"/>
      </w:pPr>
      <w:hyperlink r:id="rIdDesign1032">
        <w:r>
          <w:rPr>
            <w:rFonts w:ascii="DejaVu Sans" w:hAnsi="DejaVu Sans"/>
            <w:color w:val="24577A"/>
            <w:sz w:val="21"/>
            <w:u w:val="single"/>
          </w:rPr>
          <w:t xml:space="preserve">[S26] Android 15 foreground service changes</w:t>
        </w:r>
      </w:hyperlink>
    </w:p>
    <w:p>
      <w:pPr>
        <w:spacing w:after="90" w:line="260" w:lineRule="auto"/>
      </w:pPr>
      <w:hyperlink r:id="rIdDesign1033">
        <w:r>
          <w:rPr>
            <w:rFonts w:ascii="DejaVu Sans" w:hAnsi="DejaVu Sans"/>
            <w:color w:val="24577A"/>
            <w:sz w:val="21"/>
            <w:u w:val="single"/>
          </w:rPr>
          <w:t xml:space="preserve">[S27] Android notification runtime permission</w:t>
        </w:r>
      </w:hyperlink>
    </w:p>
    <w:p>
      <w:pPr>
        <w:spacing w:after="90" w:line="260" w:lineRule="auto"/>
      </w:pPr>
      <w:hyperlink r:id="rIdDesign1034">
        <w:r>
          <w:rPr>
            <w:rFonts w:ascii="DejaVu Sans" w:hAnsi="DejaVu Sans"/>
            <w:color w:val="24577A"/>
            <w:sz w:val="21"/>
            <w:u w:val="single"/>
          </w:rPr>
          <w:t xml:space="preserve">[S28] .NET Android Java binding metadata</w:t>
        </w:r>
      </w:hyperlink>
    </w:p>
    <w:p>
      <w:pPr>
        <w:spacing w:after="90" w:line="260" w:lineRule="auto"/>
      </w:pPr>
      <w:hyperlink r:id="rIdDesign1035">
        <w:r>
          <w:rPr>
            <w:rFonts w:ascii="DejaVu Sans" w:hAnsi="DejaVu Sans"/>
            <w:color w:val="24577A"/>
            <w:sz w:val="21"/>
            <w:u w:val="single"/>
          </w:rPr>
          <w:t xml:space="preserve">[S29] Android IBinder interface</w:t>
        </w:r>
      </w:hyperlink>
    </w:p>
    <w:p>
      <w:pPr>
        <w:spacing w:after="90" w:line="260" w:lineRule="auto"/>
      </w:pPr>
      <w:hyperlink r:id="rIdDesign1036">
        <w:r>
          <w:rPr>
            <w:rFonts w:ascii="DejaVu Sans" w:hAnsi="DejaVu Sans"/>
            <w:color w:val="24577A"/>
            <w:sz w:val="21"/>
            <w:u w:val="single"/>
          </w:rPr>
          <w:t xml:space="preserve">[S30] Stable AIDL version and hash</w:t>
        </w:r>
      </w:hyperlink>
    </w:p>
    <w:p>
      <w:pPr>
        <w:spacing w:after="90" w:line="260" w:lineRule="auto"/>
      </w:pPr>
      <w:hyperlink r:id="rIdDesign1037">
        <w:r>
          <w:rPr>
            <w:rFonts w:ascii="DejaVu Sans" w:hAnsi="DejaVu Sans"/>
            <w:color w:val="24577A"/>
            <w:sz w:val="21"/>
            <w:u w:val="single"/>
          </w:rPr>
          <w:t xml:space="preserve">[S31] Android non SDK interface restrictions</w:t>
        </w:r>
      </w:hyperlink>
    </w:p>
    <w:p>
      <w:pPr>
        <w:spacing w:after="90" w:line="260" w:lineRule="auto"/>
      </w:pPr>
      <w:hyperlink r:id="rIdDesign1038">
        <w:r>
          <w:rPr>
            <w:rFonts w:ascii="DejaVu Sans" w:hAnsi="DejaVu Sans"/>
            <w:color w:val="24577A"/>
            <w:sz w:val="21"/>
            <w:u w:val="single"/>
          </w:rPr>
          <w:t xml:space="preserve">[S32] Android RequiresPermission annotation</w:t>
        </w:r>
      </w:hyperlink>
    </w:p>
    <w:p>
      <w:pPr>
        <w:spacing w:after="90" w:line="260" w:lineRule="auto"/>
      </w:pPr>
      <w:hyperlink r:id="rIdDesign1039">
        <w:r>
          <w:rPr>
            <w:rFonts w:ascii="DejaVu Sans" w:hAnsi="DejaVu Sans"/>
            <w:color w:val="24577A"/>
            <w:sz w:val="21"/>
            <w:u w:val="single"/>
          </w:rPr>
          <w:t xml:space="preserve">[S33] AOSP AIDL permission annotation definitions</w:t>
        </w:r>
      </w:hyperlink>
    </w:p>
    <w:p>
      <w:pPr>
        <w:spacing w:after="90" w:line="260" w:lineRule="auto"/>
      </w:pPr>
      <w:hyperlink r:id="rIdDesign1040">
        <w:r>
          <w:rPr>
            <w:rFonts w:ascii="DejaVu Sans" w:hAnsi="DejaVu Sans"/>
            <w:color w:val="24577A"/>
            <w:sz w:val="21"/>
            <w:u w:val="single"/>
          </w:rPr>
          <w:t xml:space="preserve">[S34] AOSP AppOps design and permission interactions</w:t>
        </w:r>
      </w:hyperlink>
    </w:p>
    <w:p>
      <w:pPr>
        <w:spacing w:after="90" w:line="260" w:lineRule="auto"/>
      </w:pPr>
      <w:r>
        <w:rPr>
          <w:rFonts w:ascii="DejaVu Sans" w:hAnsi="DejaVu Sans"/>
          <w:sz w:val="21"/>
        </w:rPr>
        <w:t xml:space="preserve">Diagrams are rendered locally with Pele 1.10.0, pinned to the verified npm distribution. The portable bundle includes SVGs and editable Mermaid sources. Links and external images are disabled; colors are resolved into standalone SVG values, so no CDN or external stylesheet is needed.</w:t>
      </w:r>
    </w:p>
    <w:p>
      <w:pPr>
        <w:pStyle w:val="Heading2"/>
        <w:keepNext/>
        <w:spacing w:after="90" w:line="260" w:lineRule="auto"/>
      </w:pPr>
      <w:r>
        <w:rPr>
          <w:rFonts w:ascii="DejaVu Sans" w:hAnsi="DejaVu Sans"/>
          <w:b/>
          <w:sz w:val="25"/>
        </w:rPr>
        <w:t xml:space="preserve">Architecture diagram</w:t>
      </w:r>
    </w:p>
    <w:p>
      <w:pPr>
        <w:pStyle w:val="Heading2"/>
        <w:keepNext/>
        <w:pageBreakBefore/>
        <w:spacing w:after="90" w:line="260" w:lineRule="auto"/>
      </w:pPr>
      <w:r>
        <w:rPr>
          <w:rFonts w:ascii="DejaVu Sans" w:hAnsi="DejaVu Sans"/>
          <w:b/>
          <w:sz w:val="25"/>
        </w:rPr>
        <w:t xml:space="preserve">Architecture diagram rendered with Pele</w:t>
      </w:r>
    </w:p>
    <w:p>
      <w:pPr>
        <w:spacing w:after="90" w:line="260" w:lineRule="auto"/>
        <w:jc w:val="center"/>
      </w:pPr>
      <w:r>
        <w:drawing>
          <wp:inline distT="0" distB="0" distL="0" distR="0">
            <wp:extent cx="6400800" cy="6140196"/>
            <wp:docPr id="3" name="Architecture diagram rendered with Pele" descr="Architecture diagram rendered with Pele"/>
            <a:graphic>
              <a:graphicData uri="http://schemas.openxmlformats.org/drawingml/2006/picture">
                <pic:pic>
                  <pic:nvPicPr>
                    <pic:cNvPr id="0" name="design-3.png"/>
                    <pic:cNvPicPr/>
                  </pic:nvPicPr>
                  <pic:blipFill>
                    <a:blip r:embed="rIdDesign1041"/>
                    <a:stretch>
                      <a:fillRect/>
                    </a:stretch>
                  </pic:blipFill>
                  <pic:spPr>
                    <a:xfrm>
                      <a:off x="0" y="0"/>
                      <a:ext cx="6400800" cy="6140196"/>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spacing w:after="90" w:line="260" w:lineRule="auto"/>
      </w:pPr>
      <w:r>
        <w:rPr>
          <w:rFonts w:ascii="DejaVu Sans" w:hAnsi="DejaVu Sans"/>
          <w:sz w:val="21"/>
        </w:rPr>
        <w:t xml:space="preserve">The generated registry exposes the declared binding surface. Every invocation shares policy; ADB supplies generic screen state and taps, and Avalonia runtime is optional.</w:t>
      </w:r>
    </w:p>
    <w:p>
      <w:pPr>
        <w:spacing w:after="90" w:line="260" w:lineRule="auto"/>
      </w:pPr>
      <w:r>
        <w:rPr>
          <w:rFonts w:ascii="DejaVu Sans" w:hAnsi="DejaVu Sans"/>
          <w:sz w:val="21"/>
        </w:rPr>
        <w:t xml:space="preserve">Editable source follows.</w:t>
      </w:r>
    </w:p>
    <w:p>
      <w:pPr>
        <w:shd w:fill="F2F6FA"/>
        <w:spacing w:after="0" w:line="220" w:lineRule="auto"/>
      </w:pPr>
      <w:r>
        <w:rPr>
          <w:rFonts w:ascii="DejaVu Sans Mono" w:hAnsi="DejaVu Sans Mono"/>
          <w:sz w:val="18"/>
        </w:rPr>
        <w:t xml:space="preserve">flowchart TD</w:t>
      </w:r>
    </w:p>
    <w:p>
      <w:pPr>
        <w:shd w:fill="F2F6FA"/>
        <w:spacing w:after="0" w:line="220" w:lineRule="auto"/>
      </w:pPr>
      <w:r>
        <w:rPr>
          <w:rFonts w:ascii="DejaVu Sans Mono" w:hAnsi="DejaVu Sans Mono"/>
          <w:sz w:val="18"/>
        </w:rPr>
        <w:t xml:space="preserve">    Client[Agent or ADB-forwarded host] --&gt; Server[Persistent MCP service]</w:t>
      </w:r>
    </w:p>
    <w:p>
      <w:pPr>
        <w:shd w:fill="F2F6FA"/>
        <w:spacing w:after="0" w:line="220" w:lineRule="auto"/>
      </w:pPr>
      <w:r>
        <w:rPr>
          <w:rFonts w:ascii="DejaVu Sans Mono" w:hAnsi="DejaVu Sans Mono"/>
          <w:sz w:val="18"/>
        </w:rPr>
        <w:t xml:space="preserve">    Server --&gt; Gate[Shared client policy gate]</w:t>
      </w:r>
    </w:p>
    <w:p>
      <w:pPr>
        <w:shd w:fill="F2F6FA"/>
        <w:spacing w:after="0" w:line="220" w:lineRule="auto"/>
      </w:pPr>
      <w:r>
        <w:rPr>
          <w:rFonts w:ascii="DejaVu Sans Mono" w:hAnsi="DejaVu Sans Mono"/>
          <w:sz w:val="18"/>
        </w:rPr>
        <w:t xml:space="preserve">    Sources[SDK AIDL and protocol metadata] --&gt; Registry[Full binding registry]</w:t>
      </w:r>
    </w:p>
    <w:p>
      <w:pPr>
        <w:shd w:fill="F2F6FA"/>
        <w:spacing w:after="0" w:line="220" w:lineRule="auto"/>
      </w:pPr>
      <w:r>
        <w:rPr>
          <w:rFonts w:ascii="DejaVu Sans Mono" w:hAnsi="DejaVu Sans Mono"/>
          <w:sz w:val="18"/>
        </w:rPr>
        <w:t xml:space="preserve">    Registry --&gt; Gate</w:t>
      </w:r>
    </w:p>
    <w:p>
      <w:pPr>
        <w:shd w:fill="F2F6FA"/>
        <w:spacing w:after="0" w:line="220" w:lineRule="auto"/>
      </w:pPr>
      <w:r>
        <w:rPr>
          <w:rFonts w:ascii="DejaVu Sans Mono" w:hAnsi="DejaVu Sans Mono"/>
          <w:sz w:val="18"/>
        </w:rPr>
        <w:t xml:space="preserve">    Owner[Local owner UI] --&gt; Gate</w:t>
      </w:r>
    </w:p>
    <w:p>
      <w:pPr>
        <w:shd w:fill="F2F6FA"/>
        <w:spacing w:after="0" w:line="220" w:lineRule="auto"/>
      </w:pPr>
      <w:r>
        <w:rPr>
          <w:rFonts w:ascii="DejaVu Sans Mono" w:hAnsi="DejaVu Sans Mono"/>
          <w:sz w:val="18"/>
        </w:rPr>
        <w:t xml:space="preserve">    Gate --&gt; Binding[Generated or generic binding]</w:t>
      </w:r>
    </w:p>
    <w:p>
      <w:pPr>
        <w:shd w:fill="F2F6FA"/>
        <w:spacing w:after="0" w:line="220" w:lineRule="auto"/>
      </w:pPr>
      <w:r>
        <w:rPr>
          <w:rFonts w:ascii="DejaVu Sans Mono" w:hAnsi="DejaVu Sans Mono"/>
          <w:sz w:val="18"/>
        </w:rPr>
        <w:t xml:space="preserve">    Gate --&gt; ADB[Paired ADB screen and tap]</w:t>
      </w:r>
    </w:p>
    <w:p>
      <w:pPr>
        <w:shd w:fill="F2F6FA"/>
        <w:spacing w:after="0" w:line="220" w:lineRule="auto"/>
      </w:pPr>
      <w:r>
        <w:rPr>
          <w:rFonts w:ascii="DejaVu Sans Mono" w:hAnsi="DejaVu Sans Mono"/>
          <w:sz w:val="18"/>
        </w:rPr>
        <w:t xml:space="preserve">    Gate --&gt; Runtime[Optional Avalonia runtime]</w:t>
      </w:r>
    </w:p>
    <w:p>
      <w:pPr>
        <w:shd w:fill="F2F6FA"/>
        <w:spacing w:after="0" w:line="220" w:lineRule="auto"/>
      </w:pPr>
      <w:r>
        <w:rPr>
          <w:rFonts w:ascii="DejaVu Sans Mono" w:hAnsi="DejaVu Sans Mono"/>
          <w:sz w:val="18"/>
        </w:rPr>
        <w:t xml:space="preserve">    Gate --&gt; Data[SQLite audit and configuration]</w:t>
      </w:r>
    </w:p>
    <w:p>
      <w:pPr>
        <w:shd w:fill="F2F6FA"/>
        <w:spacing w:after="0" w:line="220" w:lineRule="auto"/>
      </w:pPr>
      <w:r>
        <w:rPr>
          <w:rFonts w:ascii="DejaVu Sans Mono" w:hAnsi="DejaVu Sans Mono"/>
          <w:sz w:val="18"/>
        </w:rPr>
        <w:t xml:space="preserve">    Data --&gt; Logs[Per-client optional logs]</w:t>
      </w:r>
    </w:p>
    <w:p>
      <w:pPr>
        <w:pStyle w:val="Heading2"/>
        <w:keepNext/>
        <w:spacing w:after="90" w:line="260" w:lineRule="auto"/>
      </w:pPr>
      <w:r>
        <w:rPr>
          <w:rFonts w:ascii="DejaVu Sans" w:hAnsi="DejaVu Sans"/>
          <w:b/>
          <w:sz w:val="25"/>
        </w:rPr>
        <w:t xml:space="preserve">Request and approval sequence</w:t>
      </w:r>
    </w:p>
    <w:p>
      <w:pPr>
        <w:pStyle w:val="Heading2"/>
        <w:keepNext/>
        <w:pageBreakBefore/>
        <w:spacing w:after="90" w:line="260" w:lineRule="auto"/>
      </w:pPr>
      <w:r>
        <w:rPr>
          <w:rFonts w:ascii="DejaVu Sans" w:hAnsi="DejaVu Sans"/>
          <w:b/>
          <w:sz w:val="25"/>
        </w:rPr>
        <w:t xml:space="preserve">Request and approval sequence rendered with Pele</w:t>
      </w:r>
    </w:p>
    <w:p>
      <w:pPr>
        <w:spacing w:after="90" w:line="260" w:lineRule="auto"/>
        <w:jc w:val="center"/>
      </w:pPr>
      <w:r>
        <w:drawing>
          <wp:inline distT="0" distB="0" distL="0" distR="0">
            <wp:extent cx="6400800" cy="4896612"/>
            <wp:docPr id="4" name="Request and approval sequence rendered with Pele" descr="Request and approval sequence rendered with Pele"/>
            <a:graphic>
              <a:graphicData uri="http://schemas.openxmlformats.org/drawingml/2006/picture">
                <pic:pic>
                  <pic:nvPicPr>
                    <pic:cNvPr id="0" name="design-4.png"/>
                    <pic:cNvPicPr/>
                  </pic:nvPicPr>
                  <pic:blipFill>
                    <a:blip r:embed="rIdDesign1042"/>
                    <a:stretch>
                      <a:fillRect/>
                    </a:stretch>
                  </pic:blipFill>
                  <pic:spPr>
                    <a:xfrm>
                      <a:off x="0" y="0"/>
                      <a:ext cx="6400800" cy="4896612"/>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spacing w:after="90" w:line="260" w:lineRule="auto"/>
      </w:pPr>
      <w:r>
        <w:rPr>
          <w:rFonts w:ascii="DejaVu Sans" w:hAnsi="DejaVu Sans"/>
          <w:sz w:val="21"/>
        </w:rPr>
        <w:t xml:space="preserve">The local owner approves immutable Ask requests. Logging is optional and bounded; mandatory admission audit precedes dispatch.</w:t>
      </w:r>
    </w:p>
    <w:p>
      <w:pPr>
        <w:spacing w:after="90" w:line="260" w:lineRule="auto"/>
      </w:pPr>
      <w:r>
        <w:rPr>
          <w:rFonts w:ascii="DejaVu Sans" w:hAnsi="DejaVu Sans"/>
          <w:sz w:val="21"/>
        </w:rPr>
        <w:t xml:space="preserve">Editable source follows.</w:t>
      </w:r>
    </w:p>
    <w:p>
      <w:pPr>
        <w:shd w:fill="F2F6FA"/>
        <w:spacing w:after="0" w:line="220" w:lineRule="auto"/>
      </w:pPr>
      <w:r>
        <w:rPr>
          <w:rFonts w:ascii="DejaVu Sans Mono" w:hAnsi="DejaVu Sans Mono"/>
          <w:sz w:val="18"/>
        </w:rPr>
        <w:t xml:space="preserve">sequenceDiagram</w:t>
      </w:r>
    </w:p>
    <w:p>
      <w:pPr>
        <w:shd w:fill="F2F6FA"/>
        <w:spacing w:after="0" w:line="220" w:lineRule="auto"/>
      </w:pPr>
      <w:r>
        <w:rPr>
          <w:rFonts w:ascii="DejaVu Sans Mono" w:hAnsi="DejaVu Sans Mono"/>
          <w:sz w:val="18"/>
        </w:rPr>
        <w:t xml:space="preserve">    participant C as Client</w:t>
      </w:r>
    </w:p>
    <w:p>
      <w:pPr>
        <w:shd w:fill="F2F6FA"/>
        <w:spacing w:after="0" w:line="220" w:lineRule="auto"/>
      </w:pPr>
      <w:r>
        <w:rPr>
          <w:rFonts w:ascii="DejaVu Sans Mono" w:hAnsi="DejaVu Sans Mono"/>
          <w:sz w:val="18"/>
        </w:rPr>
        <w:t xml:space="preserve">    participant P as Policy</w:t>
      </w:r>
    </w:p>
    <w:p>
      <w:pPr>
        <w:shd w:fill="F2F6FA"/>
        <w:spacing w:after="0" w:line="220" w:lineRule="auto"/>
      </w:pPr>
      <w:r>
        <w:rPr>
          <w:rFonts w:ascii="DejaVu Sans Mono" w:hAnsi="DejaVu Sans Mono"/>
          <w:sz w:val="18"/>
        </w:rPr>
        <w:t xml:space="preserve">    participant U as Owner</w:t>
      </w:r>
    </w:p>
    <w:p>
      <w:pPr>
        <w:shd w:fill="F2F6FA"/>
        <w:spacing w:after="0" w:line="220" w:lineRule="auto"/>
      </w:pPr>
      <w:r>
        <w:rPr>
          <w:rFonts w:ascii="DejaVu Sans Mono" w:hAnsi="DejaVu Sans Mono"/>
          <w:sz w:val="18"/>
        </w:rPr>
        <w:t xml:space="preserve">    participant G as Gate</w:t>
      </w:r>
    </w:p>
    <w:p>
      <w:pPr>
        <w:shd w:fill="F2F6FA"/>
        <w:spacing w:after="0" w:line="220" w:lineRule="auto"/>
      </w:pPr>
      <w:r>
        <w:rPr>
          <w:rFonts w:ascii="DejaVu Sans Mono" w:hAnsi="DejaVu Sans Mono"/>
          <w:sz w:val="18"/>
        </w:rPr>
        <w:t xml:space="preserve">    participant A as Adapter</w:t>
      </w:r>
    </w:p>
    <w:p>
      <w:pPr>
        <w:shd w:fill="F2F6FA"/>
        <w:spacing w:after="0" w:line="220" w:lineRule="auto"/>
      </w:pPr>
      <w:r>
        <w:rPr>
          <w:rFonts w:ascii="DejaVu Sans Mono" w:hAnsi="DejaVu Sans Mono"/>
          <w:sz w:val="18"/>
        </w:rPr>
        <w:t xml:space="preserve">    C-&gt;&gt;P: Authenticated call</w:t>
      </w:r>
    </w:p>
    <w:p>
      <w:pPr>
        <w:shd w:fill="F2F6FA"/>
        <w:spacing w:after="0" w:line="220" w:lineRule="auto"/>
      </w:pPr>
      <w:r>
        <w:rPr>
          <w:rFonts w:ascii="DejaVu Sans Mono" w:hAnsi="DejaVu Sans Mono"/>
          <w:sz w:val="18"/>
        </w:rPr>
        <w:t xml:space="preserve">    P-&gt;&gt;P: Validate plan</w:t>
      </w:r>
    </w:p>
    <w:p>
      <w:pPr>
        <w:shd w:fill="F2F6FA"/>
        <w:spacing w:after="0" w:line="220" w:lineRule="auto"/>
      </w:pPr>
      <w:r>
        <w:rPr>
          <w:rFonts w:ascii="DejaVu Sans Mono" w:hAnsi="DejaVu Sans Mono"/>
          <w:sz w:val="18"/>
        </w:rPr>
        <w:t xml:space="preserve">    opt Ask configured</w:t>
      </w:r>
    </w:p>
    <w:p>
      <w:pPr>
        <w:shd w:fill="F2F6FA"/>
        <w:spacing w:after="0" w:line="220" w:lineRule="auto"/>
      </w:pPr>
      <w:r>
        <w:rPr>
          <w:rFonts w:ascii="DejaVu Sans Mono" w:hAnsi="DejaVu Sans Mono"/>
          <w:sz w:val="18"/>
        </w:rPr>
        <w:t xml:space="preserve">        P-&gt;&gt;U: Bound request</w:t>
      </w:r>
    </w:p>
    <w:p>
      <w:pPr>
        <w:shd w:fill="F2F6FA"/>
        <w:spacing w:after="0" w:line="220" w:lineRule="auto"/>
      </w:pPr>
      <w:r>
        <w:rPr>
          <w:rFonts w:ascii="DejaVu Sans Mono" w:hAnsi="DejaVu Sans Mono"/>
          <w:sz w:val="18"/>
        </w:rPr>
        <w:t xml:space="preserve">        U-&gt;&gt;P: Decision</w:t>
      </w:r>
    </w:p>
    <w:p>
      <w:pPr>
        <w:shd w:fill="F2F6FA"/>
        <w:spacing w:after="0" w:line="220" w:lineRule="auto"/>
      </w:pPr>
      <w:r>
        <w:rPr>
          <w:rFonts w:ascii="DejaVu Sans Mono" w:hAnsi="DejaVu Sans Mono"/>
          <w:sz w:val="18"/>
        </w:rPr>
        <w:t xml:space="preserve">        break Denied or expired</w:t>
      </w:r>
    </w:p>
    <w:p>
      <w:pPr>
        <w:shd w:fill="F2F6FA"/>
        <w:spacing w:after="0" w:line="220" w:lineRule="auto"/>
      </w:pPr>
      <w:r>
        <w:rPr>
          <w:rFonts w:ascii="DejaVu Sans Mono" w:hAnsi="DejaVu Sans Mono"/>
          <w:sz w:val="18"/>
        </w:rPr>
        <w:t xml:space="preserve">            P--&gt;&gt;C: No dispatch</w:t>
      </w:r>
    </w:p>
    <w:p>
      <w:pPr>
        <w:shd w:fill="F2F6FA"/>
        <w:spacing w:after="0" w:line="220" w:lineRule="auto"/>
      </w:pPr>
      <w:r>
        <w:rPr>
          <w:rFonts w:ascii="DejaVu Sans Mono" w:hAnsi="DejaVu Sans Mono"/>
          <w:sz w:val="18"/>
        </w:rPr>
        <w:t xml:space="preserve">        end</w:t>
      </w:r>
    </w:p>
    <w:p>
      <w:pPr>
        <w:shd w:fill="F2F6FA"/>
        <w:spacing w:after="0" w:line="220" w:lineRule="auto"/>
      </w:pPr>
      <w:r>
        <w:rPr>
          <w:rFonts w:ascii="DejaVu Sans Mono" w:hAnsi="DejaVu Sans Mono"/>
          <w:sz w:val="18"/>
        </w:rPr>
        <w:t xml:space="preserve">    end</w:t>
      </w:r>
    </w:p>
    <w:p>
      <w:pPr>
        <w:shd w:fill="F2F6FA"/>
        <w:spacing w:after="0" w:line="220" w:lineRule="auto"/>
      </w:pPr>
      <w:r>
        <w:rPr>
          <w:rFonts w:ascii="DejaVu Sans Mono" w:hAnsi="DejaVu Sans Mono"/>
          <w:sz w:val="18"/>
        </w:rPr>
        <w:t xml:space="preserve">    P-&gt;&gt;G: Plan and revisions</w:t>
      </w:r>
    </w:p>
    <w:p>
      <w:pPr>
        <w:shd w:fill="F2F6FA"/>
        <w:spacing w:after="0" w:line="220" w:lineRule="auto"/>
      </w:pPr>
      <w:r>
        <w:rPr>
          <w:rFonts w:ascii="DejaVu Sans Mono" w:hAnsi="DejaVu Sans Mono"/>
          <w:sz w:val="18"/>
        </w:rPr>
        <w:t xml:space="preserve">    G-&gt;&gt;G: Recheck and audit</w:t>
      </w:r>
    </w:p>
    <w:p>
      <w:pPr>
        <w:shd w:fill="F2F6FA"/>
        <w:spacing w:after="0" w:line="220" w:lineRule="auto"/>
      </w:pPr>
      <w:r>
        <w:rPr>
          <w:rFonts w:ascii="DejaVu Sans Mono" w:hAnsi="DejaVu Sans Mono"/>
          <w:sz w:val="18"/>
        </w:rPr>
        <w:t xml:space="preserve">    G-&gt;&gt;A: Typed operation</w:t>
      </w:r>
    </w:p>
    <w:p>
      <w:pPr>
        <w:shd w:fill="F2F6FA"/>
        <w:spacing w:after="0" w:line="220" w:lineRule="auto"/>
      </w:pPr>
      <w:r>
        <w:rPr>
          <w:rFonts w:ascii="DejaVu Sans Mono" w:hAnsi="DejaVu Sans Mono"/>
          <w:sz w:val="18"/>
        </w:rPr>
        <w:t xml:space="preserve">    A--&gt;&gt;P: Result or unknown</w:t>
      </w:r>
    </w:p>
    <w:p>
      <w:pPr>
        <w:shd w:fill="F2F6FA"/>
        <w:spacing w:after="0" w:line="220" w:lineRule="auto"/>
      </w:pPr>
      <w:r>
        <w:rPr>
          <w:rFonts w:ascii="DejaVu Sans Mono" w:hAnsi="DejaVu Sans Mono"/>
          <w:sz w:val="18"/>
        </w:rPr>
        <w:t xml:space="preserve">    P-&gt;&gt;P: Filter and bounded log</w:t>
      </w:r>
    </w:p>
    <w:p>
      <w:pPr>
        <w:shd w:fill="F2F6FA"/>
        <w:spacing w:after="0" w:line="220" w:lineRule="auto"/>
      </w:pPr>
      <w:r>
        <w:rPr>
          <w:rFonts w:ascii="DejaVu Sans Mono" w:hAnsi="DejaVu Sans Mono"/>
          <w:sz w:val="18"/>
        </w:rPr>
        <w:t xml:space="preserve">    P--&gt;&gt;C: Response</w:t>
      </w:r>
    </w:p>
    <w:p>
      <w:pPr>
        <w:shd w:fill="F2F6FA"/>
        <w:spacing w:after="0" w:line="220" w:lineRule="auto"/>
      </w:pPr>
      <w:r>
        <w:rPr>
          <w:rFonts w:ascii="DejaVu Sans Mono" w:hAnsi="DejaVu Sans Mono"/>
          <w:sz w:val="18"/>
        </w:rPr>
        <w:t xml:space="preserve">    Note over G,A: No replay of uncertain taps</w:t>
      </w:r>
    </w:p>
    <w:p>
      <w:pPr>
        <w:pStyle w:val="Heading2"/>
        <w:keepNext/>
        <w:spacing w:after="90" w:line="260" w:lineRule="auto"/>
      </w:pPr>
      <w:r>
        <w:rPr>
          <w:rFonts w:ascii="DejaVu Sans" w:hAnsi="DejaVu Sans"/>
          <w:b/>
          <w:sz w:val="25"/>
        </w:rPr>
        <w:t xml:space="preserve">Remediation contract precedence</w:t>
      </w:r>
    </w:p>
    <w:p>
      <w:pPr>
        <w:spacing w:after="90" w:line="260" w:lineRule="auto"/>
      </w:pPr>
      <w:r>
        <w:rPr>
          <w:rFonts w:ascii="DejaVu Sans" w:hAnsi="DejaVu Sans"/>
          <w:sz w:val="21"/>
        </w:rPr>
        <w:t xml:space="preserve">This revision addresses the recovered design/contract findings; the source-coverage finding remains open and is tracked in the latest ledger. Stable source-signature IDs are shared across imported occurrences and local overrides; registry schema/permission changes are revisions, not new random identities. No universal OEM/private introspection is promised: unsupported declarations and schemas remain discoverable with evidence and reasons. Catalog metadata is distinct from OS authority and MCP grants. </w:t>
      </w:r>
      <w:r>
        <w:rPr>
          <w:rFonts w:ascii="DejaVu Sans Mono" w:hAnsi="DejaVu Sans Mono"/>
          <w:sz w:val="18"/>
        </w:rPr>
        <w:t xml:space="preserve">catalog/API-CONTRACT.md</w:t>
      </w:r>
      <w:r>
        <w:rPr>
          <w:rFonts w:ascii="DejaVu Sans" w:hAnsi="DejaVu Sans"/>
          <w:sz w:val="21"/>
        </w:rPr>
        <w:t xml:space="preserve"> defines all CRUD states, CAS and cursor rules; </w:t>
      </w:r>
      <w:r>
        <w:rPr>
          <w:rFonts w:ascii="DejaVu Sans Mono" w:hAnsi="DejaVu Sans Mono"/>
          <w:sz w:val="18"/>
        </w:rPr>
        <w:t xml:space="preserve">catalog/bridge-config.sql</w:t>
      </w:r>
      <w:r>
        <w:rPr>
          <w:rFonts w:ascii="DejaVu Sans" w:hAnsi="DejaVu Sans"/>
          <w:sz w:val="21"/>
        </w:rPr>
        <w:t xml:space="preserve"> makes configuration invariants executable; </w:t>
      </w:r>
      <w:r>
        <w:rPr>
          <w:rFonts w:ascii="DejaVu Sans Mono" w:hAnsi="DejaVu Sans Mono"/>
          <w:sz w:val="18"/>
        </w:rPr>
        <w:t xml:space="preserve">catalog/tooling/policy_reference.py</w:t>
      </w:r>
      <w:r>
        <w:rPr>
          <w:rFonts w:ascii="DejaVu Sans" w:hAnsi="DejaVu Sans"/>
          <w:sz w:val="21"/>
        </w:rPr>
        <w:t xml:space="preserve"> and </w:t>
      </w:r>
      <w:r>
        <w:rPr>
          <w:rFonts w:ascii="DejaVu Sans Mono" w:hAnsi="DejaVu Sans Mono"/>
          <w:sz w:val="18"/>
        </w:rPr>
        <w:t xml:space="preserve">dispatch_manifest.py</w:t>
      </w:r>
      <w:r>
        <w:rPr>
          <w:rFonts w:ascii="DejaVu Sans" w:hAnsi="DejaVu Sans"/>
          <w:sz w:val="21"/>
        </w:rPr>
        <w:t xml:space="preserve"> provide offline contract fixtures, not a running bridge. Existing section diagrams remain editable Mermaid; Pele 1.10.0 rendering is a separate packaging check.</w:t>
      </w:r>
    </w:p>
    <w:p>
      <w:pPr>
        <w:spacing w:after="90" w:line="260" w:lineRule="auto"/>
      </w:pPr>
      <w:r>
        <w:rPr>
          <w:rFonts w:ascii="DejaVu Sans" w:hAnsi="DejaVu Sans"/>
          <w:sz w:val="21"/>
        </w:rPr>
        <w:t xml:space="preserve">The catalog SQL and bridge-config.sql can coexist in the same app-private SQLite database; the offline catalog may also be distributed as an immutable standalone file. A serving administration service must use one transactional database for active registry, overlays, policy epochs and audit/outbox, avoiding cross-database atomicity claims. registry_entries stores immutable (registry_id, entry_id) variants; effective_entries selects only active_registry. Publication switches that pointer and increments registry_generation atomically. Raw unknown calls consult explicit client_raw_grants keyed by connection/descriptor and bounded transaction codes/flags, with ordinary binding grants unable to widen that authority.</w:t>
      </w:r>
    </w:p>
    <w:p>
      <w:pPr>
        <w:spacing w:after="90" w:line="260" w:lineRule="auto"/>
      </w:pPr>
      <w:r>
        <w:rPr>
          <w:rFonts w:ascii="DejaVu Sans" w:hAnsi="DejaVu Sans"/>
          <w:sz w:val="21"/>
        </w:rPr>
        <w:t xml:space="preserve">The raw grant DDL is client_raw_grants(client_id, connection_id, descriptor, code_min, code_max, flags_mask, contract_hash, effect, constraints_json, row_version). constraints_json is scope-only (allowed_targets, allowed_handles, allowed_displays, max_items); connection, descriptor, inclusive code range, flags mask, contract hash and effect are authoritative SQL columns. Empty scope sets deny, and there is no implicit wildcard. Resolve known transactions before checking raw grants: a raw grant can never substitute for a known binding rule. Unknown raw access is a broad authority with explicitly limited observability; ask/allow is available only within every stated bound.</w:t>
      </w:r>
    </w:p>
    <w:p>
      <w:pPr>
        <w:pStyle w:val="Heading2"/>
        <w:keepNext/>
        <w:spacing w:after="90" w:line="260" w:lineRule="auto"/>
      </w:pPr>
      <w:r>
        <w:rPr>
          <w:rFonts w:ascii="DejaVu Sans" w:hAnsi="DejaVu Sans"/>
          <w:b/>
          <w:sz w:val="25"/>
        </w:rPr>
        <w:t xml:space="preserve">Canonical permission entry points and retained unknown metadata</w:t>
      </w:r>
    </w:p>
    <w:p>
      <w:pPr>
        <w:spacing w:after="90" w:line="260" w:lineRule="auto"/>
      </w:pPr>
      <w:r>
        <w:rPr>
          <w:rFonts w:ascii="DejaVu Sans" w:hAnsi="DejaVu Sans"/>
          <w:sz w:val="21"/>
        </w:rPr>
        <w:t xml:space="preserve">Generated per-binding MCP tool names and binding.invoke share the single policy tool_id </w:t>
      </w:r>
      <w:r>
        <w:rPr>
          <w:rFonts w:ascii="DejaVu Sans Mono" w:hAnsi="DejaVu Sans Mono"/>
          <w:sz w:val="18"/>
        </w:rPr>
        <w:t xml:space="preserve">binding.invoke</w:t>
      </w:r>
      <w:r>
        <w:rPr>
          <w:rFonts w:ascii="DejaVu Sans" w:hAnsi="DejaVu Sans"/>
          <w:sz w:val="21"/>
        </w:rPr>
        <w:t xml:space="preserve">. The protocol alias name is stored separately in tool_binding_aliases.alias_name; tools/client_tool_rules represent the shared policy entry point, not hundreds of thousands of independent shadow permission rows. Editing a generated alias in the UI edits its canonical client_binding_rules row. Convenience wrappers have their own restrictive entry-point rules in addition to every required binding grant. A known binder.transact call must also satisfy binding.invoke and its canonical binding rules, then the extra binder.transact restriction; unknown raw calls use their separate explicit raw grants and binder.transact rule. Equal route constraints produce equal decisions; an extra route-specific restriction can only narrow access.</w:t>
      </w:r>
    </w:p>
    <w:p>
      <w:pPr>
        <w:spacing w:after="90" w:line="260" w:lineRule="auto"/>
      </w:pPr>
      <w:r>
        <w:rPr>
          <w:rFonts w:ascii="DejaVu Sans" w:hAnsi="DejaVu Sans"/>
          <w:sz w:val="21"/>
        </w:rPr>
        <w:t xml:space="preserve">PermissionExpression accepts only known op values. Future x- properties on known nodes are retained; an unrecognized semantic node is quarantined as a known unknown wrapper with reason plus exact parsed JSON value in x-raw-node (and required_semantics as appropriate), never interpreted as permission-free. Original imported bytes remain in versioned evidence. Unsupported major versions stay unsupported for invocation.</w:t>
      </w:r>
    </w:p>
    <w:p>
      <w:pPr>
        <w:spacing w:after="90" w:line="260" w:lineRule="auto"/>
      </w:pPr>
      <w:r>
        <w:rPr>
          <w:rFonts w:ascii="DejaVu Sans" w:hAnsi="DejaVu Sans"/>
          <w:sz w:val="21"/>
        </w:rPr>
        <w:t xml:space="preserve">settings.brightness.get reports the actual observed signed32-bit rawValue without clamping, plus withinDocumentedRange and the cited documentedRange1..255. An out-of-range observation (including0 on a differing device) is returned with an anomaly flag, rather than fabricated as a valid documented setting or rejected by the output range. The write policy remains bounded to the documented range with default16..240; no automatic mode change is implied.</w:t>
      </w:r>
    </w:p>
    <w:p>
      <w:pPr>
        <w:spacing w:after="90" w:line="260" w:lineRule="auto"/>
      </w:pPr>
      <w:r>
        <w:rPr>
          <w:rFonts w:ascii="DejaVu Sans" w:hAnsi="DejaVu Sans"/>
          <w:sz w:val="21"/>
        </w:rPr>
        <w:t xml:space="preserve">Native availability uses the reserved target_key platform:local; app/runtime targets must exist in target_app_profiles. Audit retention is a separate authenticated local-owner maintenance transaction: set bridge_config.audit_retention_authorized=1, perform bounded retention deletes, append maintenance audit evidence, reset the flag to0 before commit. Startup resets a stale flag before admitting calls. No remote catalog or MCP device endpoint can enable maintenance or issue SQL. Optional client-log purge remains separate from mandatory audit retention.</w:t>
      </w:r>
    </w:p>
    <w:p>
      <w:pPr>
        <w:spacing w:after="90" w:line="260" w:lineRule="auto"/>
      </w:pPr>
      <w:r>
        <w:rPr>
          <w:rFonts w:ascii="DejaVu Sans" w:hAnsi="DejaVu Sans"/>
          <w:sz w:val="21"/>
        </w:rPr>
        <w:t xml:space="preserve">permission_reader.read is the offline future semantic-node reader: unknown operators become validated unknown wrappers with x-raw-node, preserving the parsed JSON value; original lexical bytes remain in immutable source/import evidence. Known malformed ASTs are rejected. Generated extractor AST validation remains strict. No extension/raw node is interpreted as authority. Runtime/HTTP reader integration remains a release gate for bridge implementation.</w:t>
      </w:r>
    </w:p>
    <w:p>
      <w:pPr>
        <w:spacing w:after="90" w:line="260" w:lineRule="auto"/>
      </w:pPr>
      <w:r>
        <w:rPr>
          <w:rFonts w:ascii="DejaVu Sans" w:hAnsi="DejaVu Sans"/>
          <w:sz w:val="21"/>
        </w:rPr>
        <w:t xml:space="preserve">Offline catalog source occurrences are occurrences(binding_id,source_id,line), joined to binding_declarations at the same key. The separate bridge-config.sql projection is binding_occurrences(binding_id,source_id,locator,record_hash,provenance_json): its locator is </w:t>
      </w:r>
      <w:r>
        <w:rPr>
          <w:rFonts w:ascii="DejaVu Sans Mono" w:hAnsi="DejaVu Sans Mono"/>
          <w:sz w:val="18"/>
        </w:rPr>
        <w:t xml:space="preserve">line:&lt;positive physical source line&gt;</w:t>
      </w:r>
      <w:r>
        <w:rPr>
          <w:rFonts w:ascii="DejaVu Sans" w:hAnsi="DejaVu Sans"/>
          <w:sz w:val="21"/>
        </w:rPr>
        <w:t xml:space="preserve"> for an imported declaration, record_hash is that declaration's record_sha256, and provenance_json retains the source evidence. This projection shares IDs and never replaces the immutable catalog occurrences. External annotation_evidence uses its own source_id/locator key. Every new owner CRUD mutation persists its reason in append-only entry_history_reasons(entry_id,revision,reason), in the same transaction as entry_history; HistoryEvent joins and returns it. Legacy/system events without supplied justification omit the optional reason rather than fabricate one.</w:t>
      </w:r>
    </w:p>
    <w:p>
      <w:pPr>
        <w:spacing w:after="90" w:line="260" w:lineRule="auto"/>
      </w:pPr>
      <w:r>
        <w:rPr>
          <w:rFonts w:ascii="DejaVu Sans" w:hAnsi="DejaVu Sans"/>
          <w:sz w:val="21"/>
        </w:rPr>
        <w:t xml:space="preserve">One protocol alias may require multiple canonical bindings. tool_binding_aliases stores one row per (alias_name,binding_id), while all rows sharing an alias_name must use one policy tool_id. Generated binding aliases share binding.invoke; convenience plans additionally require every referenced binding grant and their own restrictive entry-point rule. The alias constraint never replaces per-binding or OS authority checks.</w:t>
      </w:r>
    </w:p>
    <w:p>
      <w:pPr>
        <w:pStyle w:val="Heading2"/>
        <w:keepNext/>
        <w:spacing w:after="90" w:line="260" w:lineRule="auto"/>
      </w:pPr>
      <w:r>
        <w:rPr>
          <w:rFonts w:ascii="DejaVu Sans" w:hAnsi="DejaVu Sans"/>
          <w:b/>
          <w:sz w:val="25"/>
        </w:rPr>
        <w:t xml:space="preserve">Device capacity and latency acceptance budgets</w:t>
      </w:r>
    </w:p>
    <w:p>
      <w:pPr>
        <w:spacing w:after="90" w:line="260" w:lineRule="auto"/>
      </w:pPr>
      <w:r>
        <w:rPr>
          <w:rFonts w:ascii="DejaVu Sans" w:hAnsi="DejaVu Sans"/>
          <w:sz w:val="21"/>
        </w:rPr>
        <w:t xml:space="preserve">These are engineering acceptance targets, not claimed measurements. The reference deployment profile is64-bit Android35+ with8GiB RAM and128GB storage. Broader support must meet the same budgets and all platform gates. The measured release006 reference SQLite catalog is8,264,855,552 bytes (about7.70GiB), pinned by evidence/catalog-size-release006.json with its SHA-256 and stable size/mtime capture. It contains all39,194 downloaded sources of that frozen inventory;3,285 selected paths remain not retrieved. This historical engineering footprint is not a claim of current/global source completeness; preflight uses actual active and incoming bytes. Raw source archives and JSON audit exports stay off-device. Keep the entire admitted inventory, never a curated subset to meet a budget.</w:t>
      </w:r>
    </w:p>
    <w:p>
      <w:pPr>
        <w:spacing w:after="90" w:line="260" w:lineRule="auto"/>
      </w:pPr>
      <w:r>
        <w:rPr>
          <w:rFonts w:ascii="DejaVu Sans" w:hAnsi="DejaVu Sans"/>
          <w:sz w:val="21"/>
        </w:rPr>
        <w:t xml:space="preserve">Before accepting an atomic catalog replacement, require additional free space &gt;= incoming_catalog_bytes + bounded_staging_scratch_bytes + remaining_configured_log_and_config_quota +1GiB safety reserve. Conservatively budget scratch at incoming_catalog_bytes. With an existing active catalog of the same current size, this requires at least17GiB additional free space plus the configured quota; the total peak catalog footprint, including that already allocated active copy, rounds up to25GiB plus the quota. Do not count the existing active file twice when comparing against reported free space. Retain the previous immutable catalog until validation and pointer publication succeed; insufficient space yields CATALOG_CAPACITY_REQUIRED and no partial publication. Bridge health reports catalog readiness separately from listener and ADB health.</w:t>
      </w:r>
    </w:p>
    <w:p>
      <w:pPr>
        <w:spacing w:after="90" w:line="260" w:lineRule="auto"/>
      </w:pPr>
      <w:r>
        <w:rPr>
          <w:rFonts w:ascii="DejaVu Sans" w:hAnsi="DejaVu Sans"/>
          <w:sz w:val="21"/>
        </w:rPr>
        <w:t xml:space="preserve">The headless service target is &lt;=256MiB idle RSS and &lt;=384MiB peak excluding OS-owned graphics buffers, SQLite page cache &lt;=32MiB, one bounded on-demand capture at a time, and no preload of all catalog documents. All-bindings UI lists use indexed queries and virtualization: default100 entries per page, hard maximum1000 through application query interfaces over local SQLite; the administration API remains capped at500 per request. Device targets: p95 &lt;=150ms for a metadata page/query, &lt;=25ms for local policy lookup, &lt;=250ms for an owner permission commit, and &lt;=2s to first management view. Backend/ADB/network dispatch latency is measured separately and never hidden in the policy number.</w:t>
      </w:r>
    </w:p>
    <w:p>
      <w:pPr>
        <w:spacing w:after="90" w:line="260" w:lineRule="auto"/>
      </w:pPr>
      <w:r>
        <w:rPr>
          <w:rFonts w:ascii="DejaVu Sans" w:hAnsi="DejaVu Sans"/>
          <w:sz w:val="21"/>
        </w:rPr>
        <w:t xml:space="preserve">Validate these budgets on each supported device/OS using the complete registry, cold/warm caches and the configured maximum client/rule/log quotas before claiming runtime readiness. Budget failures block that device profile or publication; they do not justify dropping inventory rows or claiming measured feasibility from host tests. No device benchmark or phone operation was performed in this deliverable phase.</w:t>
      </w:r>
    </w:p>
    <w:p>
      <w:pPr>
        <w:spacing w:after="90" w:line="260" w:lineRule="auto"/>
      </w:pPr>
      <w:r>
        <w:rPr>
          <w:rFonts w:ascii="DejaVu Sans" w:hAnsi="DejaVu Sans"/>
          <w:sz w:val="21"/>
        </w:rPr>
        <w:t xml:space="preserve">Derived device views have a configured byte quota and bounded history. Pin snapshots used by admitted calls and live cursors; collect only unreferenced expired derived snapshots through trusted maintenance. Never delete immutable catalog/source or audit evidence for view-cache pressure. If a complete view cannot be staged within quota, retain the old snapshot as stale and report capacity failure; no partial activation. Package extension_level metadata is the SDK package's base extension metadata, not an observation of the running device.</w:t>
      </w:r>
    </w:p>
    <w:sectPr w:rsidR="00FC693F" w:rsidRPr="0006063C" w:rsidSect="00034616">
      <w:pgSz w:w="12240" w:h="15840"/>
      <w:pgMar w:top="900" w:bottom="900" w:left="1008" w:right="1008" w:header="420" w:footer="4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Android MCP bridge design  |  </w:t>
    </w:r>
    <w:fldSimple w:instr="PAGE"/>
  </w:p>
</w:ftr>
</file>

<file path=word/numbering.xml><?xml version="1.0" encoding="utf-8"?>
<w:numbering xmlns:ns1="http://schemas.openxmlformats.org/markup-compatibility/2006"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ns1: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1">
    <w:lvl w:ilvl="0">
      <w:start w:val="1"/>
      <w:numFmt w:val="bullet"/>
      <w:lvlText w:val="•"/>
      <w:lvlJc w:val="left"/>
      <w:pPr>
        <w:ind w:left="360" w:hanging="240"/>
      </w:pPr>
    </w:lvl>
  </w:abstractNum>
  <w:num w:numId="1001">
    <w:abstractNumId w:val="1001"/>
  </w:num>
  <w:abstractNum w:abstractNumId="1002">
    <w:lvl w:ilvl="0">
      <w:start w:val="1"/>
      <w:numFmt w:val="decimal"/>
      <w:lvlText w:val="%1."/>
      <w:lvlJc w:val="left"/>
      <w:pPr>
        <w:ind w:left="360" w:hanging="240"/>
      </w:pPr>
    </w:lvl>
  </w:abstractNum>
  <w:num w:numId="1002">
    <w:abstractNumId w:val="1002"/>
  </w:num>
  <w:abstractNum w:abstractNumId="1003">
    <w:lvl w:ilvl="0">
      <w:start w:val="1"/>
      <w:numFmt w:val="decimal"/>
      <w:lvlText w:val="%1."/>
      <w:lvlJc w:val="left"/>
      <w:pPr>
        <w:ind w:left="360" w:hanging="240"/>
      </w:pPr>
    </w:lvl>
  </w:abstractNum>
  <w:num w:numId="1003">
    <w:abstractNumId w:val="1003"/>
  </w:num>
  <w:abstractNum w:abstractNumId="1004">
    <w:lvl w:ilvl="0">
      <w:start w:val="1"/>
      <w:numFmt w:val="decimal"/>
      <w:lvlText w:val="%1."/>
      <w:lvlJc w:val="left"/>
      <w:pPr>
        <w:ind w:left="360" w:hanging="240"/>
      </w:pPr>
    </w:lvl>
  </w:abstractNum>
  <w:num w:numId="1004">
    <w:abstractNumId w:val="1004"/>
  </w:num>
  <w:abstractNum w:abstractNumId="1005">
    <w:lvl w:ilvl="0">
      <w:start w:val="1"/>
      <w:numFmt w:val="decimal"/>
      <w:lvlText w:val="%1."/>
      <w:lvlJc w:val="left"/>
      <w:pPr>
        <w:ind w:left="360" w:hanging="240"/>
      </w:pPr>
    </w:lvl>
  </w:abstractNum>
  <w:num w:numId="1005">
    <w:abstractNumId w:val="1005"/>
  </w:num>
  <w:abstractNum w:abstractNumId="1006">
    <w:lvl w:ilvl="0">
      <w:start w:val="1"/>
      <w:numFmt w:val="decimal"/>
      <w:lvlText w:val="%1."/>
      <w:lvlJc w:val="left"/>
      <w:pPr>
        <w:ind w:left="360" w:hanging="240"/>
      </w:pPr>
    </w:lvl>
  </w:abstractNum>
  <w:num w:numId="1006">
    <w:abstractNumId w:val="10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line="240" w:lineRule="auto"/>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 Id="rIdDesign1001" Type="http://schemas.openxmlformats.org/officeDocument/2006/relationships/hyperlink" Target="https://developer.android.com/reference/android/os/Build.VERSION#SDK_INT_FULL" TargetMode="External" /><Relationship Id="rIdDesign1002" Type="http://schemas.openxmlformats.org/officeDocument/2006/relationships/hyperlink" Target="https://developer.android.com/reference/android/os/Build#getMajorSdkVersion(int)" TargetMode="External" /><Relationship Id="rIdDesign1003" Type="http://schemas.openxmlformats.org/officeDocument/2006/relationships/hyperlink" Target="https://developer.android.com/guide/sdk-extensions" TargetMode="External" /><Relationship Id="rIdDesign1004" Type="http://schemas.openxmlformats.org/officeDocument/2006/relationships/hyperlink" Target="https://source.android.com/docs/core/architecture/aidl/stable-aidl#querying-the-interface-version-of-the-remote-object" TargetMode="External" /><Relationship Id="rIdDesign1005" Type="http://schemas.openxmlformats.org/officeDocument/2006/relationships/image" Target="media/design-1.png" /><Relationship Id="rIdDesign1006" Type="http://schemas.openxmlformats.org/officeDocument/2006/relationships/image" Target="media/design-2.png" /><Relationship Id="rIdDesign1007" Type="http://schemas.openxmlformats.org/officeDocument/2006/relationships/hyperlink" Target="https://docs.avaloniaui.net/docs/avalonia12-breaking-changes" TargetMode="External" /><Relationship Id="rIdDesign1008" Type="http://schemas.openxmlformats.org/officeDocument/2006/relationships/hyperlink" Target="https://learn.microsoft.com/en-us/dotnet/standard/data/sqlite/custom-versions" TargetMode="External" /><Relationship Id="rIdDesign1009" Type="http://schemas.openxmlformats.org/officeDocument/2006/relationships/hyperlink" Target="https://developer.android.com/develop/background-work/services/fgs/service-types" TargetMode="External" /><Relationship Id="rIdDesign1010" Type="http://schemas.openxmlformats.org/officeDocument/2006/relationships/hyperlink" Target="https://modelcontextprotocol.io/specification/2025-11-25/basic/transports" TargetMode="External" /><Relationship Id="rIdDesign1011" Type="http://schemas.openxmlformats.org/officeDocument/2006/relationships/hyperlink" Target="https://modelcontextprotocol.io/specification/2025-11-25/basic/authorization" TargetMode="External" /><Relationship Id="rIdDesign1012" Type="http://schemas.openxmlformats.org/officeDocument/2006/relationships/hyperlink" Target="https://developer.android.com/privacy-and-security/security-tips" TargetMode="External" /><Relationship Id="rIdDesign1013" Type="http://schemas.openxmlformats.org/officeDocument/2006/relationships/hyperlink" Target="https://developer.android.com/develop/background-work/services/fgs/restrictions-bg-start" TargetMode="External" /><Relationship Id="rIdDesign1014" Type="http://schemas.openxmlformats.org/officeDocument/2006/relationships/hyperlink" Target="https://www.sqlite.org/foreignkeys.html" TargetMode="External" /><Relationship Id="rIdDesign1015" Type="http://schemas.openxmlformats.org/officeDocument/2006/relationships/hyperlink" Target="https://www.sqlite.org/wal.html" TargetMode="External" /><Relationship Id="rIdDesign1016" Type="http://schemas.openxmlformats.org/officeDocument/2006/relationships/hyperlink" Target="https://developer.android.com/privacy-and-security/keystore" TargetMode="External" /><Relationship Id="rIdDesign1017" Type="http://schemas.openxmlformats.org/officeDocument/2006/relationships/hyperlink" Target="https://www.sqlite.org/backup.html" TargetMode="External" /><Relationship Id="rIdDesign1018" Type="http://schemas.openxmlformats.org/officeDocument/2006/relationships/hyperlink" Target="https://developer.android.com/identity/providers/contacts-provider" TargetMode="External" /><Relationship Id="rIdDesign1019" Type="http://schemas.openxmlformats.org/officeDocument/2006/relationships/hyperlink" Target="https://developer.android.com/develop/background-work/services/aidl" TargetMode="External" /><Relationship Id="rIdDesign1020" Type="http://schemas.openxmlformats.org/officeDocument/2006/relationships/hyperlink" Target="https://developer.android.com/identity/data/autobackup" TargetMode="External" /><Relationship Id="rIdDesign1021" Type="http://schemas.openxmlformats.org/officeDocument/2006/relationships/hyperlink" Target="https://developer.android.com/reference/android/provider/Settings.System" TargetMode="External" /><Relationship Id="rIdDesign1022" Type="http://schemas.openxmlformats.org/officeDocument/2006/relationships/hyperlink" Target="https://developer.android.com/develop/sensors-and-location/sensors/sensors_overview" TargetMode="External" /><Relationship Id="rIdDesign1023" Type="http://schemas.openxmlformats.org/officeDocument/2006/relationships/hyperlink" Target="https://github.com/tytydraco/LADB" TargetMode="External" /><Relationship Id="rIdDesign1024" Type="http://schemas.openxmlformats.org/officeDocument/2006/relationships/hyperlink" Target="https://android.googlesource.com/platform/packages/modules/adb/+/HEAD/docs/dev/adb_wifi.md" TargetMode="External" /><Relationship Id="rIdDesign1025" Type="http://schemas.openxmlformats.org/officeDocument/2006/relationships/hyperlink" Target="https://android.googlesource.com/platform/packages/modules/adb/+/HEAD/docs/user/adb.1.md" TargetMode="External" /><Relationship Id="rIdDesign1026" Type="http://schemas.openxmlformats.org/officeDocument/2006/relationships/hyperlink" Target="https://github.com/sharpninja/Avalonia.RemoteControl/blob/master/docs/architecture/android-bridge-transport.md" TargetMode="External" /><Relationship Id="rIdDesign1027" Type="http://schemas.openxmlformats.org/officeDocument/2006/relationships/hyperlink" Target="https://developer.android.com/security/fraud-prevention/activities" TargetMode="External" /><Relationship Id="rIdDesign1028" Type="http://schemas.openxmlformats.org/officeDocument/2006/relationships/hyperlink" Target="https://android.googlesource.com/platform/frameworks/base/+/master/services/core/java/com/android/server/input/InputShellCommand.java" TargetMode="External" /><Relationship Id="rIdDesign1029" Type="http://schemas.openxmlformats.org/officeDocument/2006/relationships/hyperlink" Target="https://developer.android.com/studio/debug" TargetMode="External" /><Relationship Id="rIdDesign1030" Type="http://schemas.openxmlformats.org/officeDocument/2006/relationships/hyperlink" Target="https://android.googlesource.com/platform/system/core.git/+/refs/heads/master/run-as/run-as.cpp" TargetMode="External" /><Relationship Id="rIdDesign1031" Type="http://schemas.openxmlformats.org/officeDocument/2006/relationships/hyperlink" Target="https://pele.run/api" TargetMode="External" /><Relationship Id="rIdDesign1032" Type="http://schemas.openxmlformats.org/officeDocument/2006/relationships/hyperlink" Target="https://developer.android.com/about/versions/15/behavior-changes-15" TargetMode="External" /><Relationship Id="rIdDesign1033" Type="http://schemas.openxmlformats.org/officeDocument/2006/relationships/hyperlink" Target="https://developer.android.com/develop/ui/views/notifications/notification-permission" TargetMode="External" /><Relationship Id="rIdDesign1034" Type="http://schemas.openxmlformats.org/officeDocument/2006/relationships/hyperlink" Target="https://learn.microsoft.com/en-us/dotnet/android/binding-libs/customizing-bindings/java-bindings-metadata" TargetMode="External" /><Relationship Id="rIdDesign1035" Type="http://schemas.openxmlformats.org/officeDocument/2006/relationships/hyperlink" Target="https://developer.android.com/reference/android/os/IBinder" TargetMode="External" /><Relationship Id="rIdDesign1036" Type="http://schemas.openxmlformats.org/officeDocument/2006/relationships/hyperlink" Target="https://source.android.com/docs/core/architecture/aidl/stable-aidl" TargetMode="External" /><Relationship Id="rIdDesign1037" Type="http://schemas.openxmlformats.org/officeDocument/2006/relationships/hyperlink" Target="https://developer.android.com/guide/app-compatibility/restrictions-non-sdk-interfaces" TargetMode="External" /><Relationship Id="rIdDesign1038" Type="http://schemas.openxmlformats.org/officeDocument/2006/relationships/hyperlink" Target="https://developer.android.com/reference/androidx/annotation/RequiresPermission" TargetMode="External" /><Relationship Id="rIdDesign1039" Type="http://schemas.openxmlformats.org/officeDocument/2006/relationships/hyperlink" Target="https://android.googlesource.com/platform/system/tools/aidl/+/b4c7f74eef3a44858749ea3400412c7f258fe476/aidl_language.cpp" TargetMode="External" /><Relationship Id="rIdDesign1040" Type="http://schemas.openxmlformats.org/officeDocument/2006/relationships/hyperlink" Target="https://android.googlesource.com/platform/frameworks/base/+/refs/heads/main/core/java/android/app/AppOps.md" TargetMode="External" /><Relationship Id="rIdDesign1041" Type="http://schemas.openxmlformats.org/officeDocument/2006/relationships/image" Target="media/design-3.png" /><Relationship Id="rIdDesign1042" Type="http://schemas.openxmlformats.org/officeDocument/2006/relationships/image" Target="media/design-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 MCP bridge design</dc:title>
  <dc:subject>Avalonia 12 permission management and SQLite client configuration</dc:subject>
  <dc:creator/>
  <cp:keywords>Android, MCP, Binder, Avalonia 12, SQLite, design</cp:keywords>
  <dc:description>generated by python-docx</dc:description>
  <cp:lastModifiedBy/>
  <cp:revision>1</cp:revision>
  <dcterms:created xsi:type="dcterms:W3CDTF">2013-12-23T23:15:00Z</dcterms:created>
  <dcterms:modified xsi:type="dcterms:W3CDTF">2013-12-23T23:15:00Z</dcterms:modified>
  <cp:category/>
</cp:coreProperties>
</file>