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Android MCP bridge design</w:t>
      </w:r>
    </w:p>
    <w:p>
      <w:pPr>
        <w:pStyle w:val="Subtitle"/>
      </w:pPr>
      <w:r>
        <w:t>Avalonia 12 permission management and SQLite client configuration</w:t>
      </w:r>
    </w:p>
    <w:p>
      <w:r>
        <w:t>Design proposal  •  26 October 2026  •  For architecture and implementation planning</w:t>
      </w:r>
    </w:p>
    <w:p>
      <w:pPr>
        <w:pStyle w:val="Heading1"/>
      </w:pPr>
      <w:r>
        <w:t>1 Recommended design</w:t>
      </w:r>
    </w:p>
    <w:p>
      <w:r>
        <w:t>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r>
        <w:t>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Layer</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Responsibility and boundary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On device MCP clients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Untrusted agent processes. A credential identifies a client; names and package headers do not.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Loopback transport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each HTTP request, validate host and origin, enforce resource limits and isolate sessions.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 application core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typed arguments, evaluate policy, obtain request specific approval and admit execution.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 registry and executors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Generated SDK/AIDL/protocol inventory, generic invocation and optional low-level Binder transactions; ADB and Avalonia executors. Mapping is not a grant.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platform and services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Final OS permission checks, target application permissions and lifecycle constraints.</w:t>
            </w:r>
          </w:p>
        </w:tc>
      </w:tr>
    </w:tbl>
    <w:p>
      <w:pPr>
        <w:spacing w:after="60" w:before="0" w:line="20" w:lineRule="exact"/>
      </w:pPr>
      <w:r>
        <w:rPr>
          <w:sz w:val="2"/>
        </w:rPr>
      </w:r>
    </w:p>
    <w:p>
      <w:pPr>
        <w:pStyle w:val="Heading2"/>
      </w:pPr>
      <w:r>
        <w:t>Design commitments</w:t>
      </w:r>
    </w:p>
    <w:p>
      <w:pPr>
        <w:pStyle w:val="ListBullet"/>
      </w:pPr>
      <w:r>
        <w:t>Deny by default. A new tool, client or widened schema never inherits an Allow rule.</w:t>
      </w:r>
    </w:p>
    <w:p>
      <w:pPr>
        <w:pStyle w:val="ListBullet"/>
      </w:pPr>
      <w:r>
        <w:t>Deny, Ask and Allow are policy choices. OS unavailable is a separate observed capability state, not a fourth policy setting.</w:t>
      </w:r>
    </w:p>
    <w:p>
      <w:pPr>
        <w:pStyle w:val="ListBullet"/>
      </w:pPr>
      <w:r>
        <w:t>Expose the complete declared binding inventory with mapping and availability reasons. Per-client policy governs invocation, not whether a binding exists in the inventory.</w:t>
      </w:r>
    </w:p>
    <w:p>
      <w:pPr>
        <w:pStyle w:val="ListBullet"/>
      </w:pPr>
      <w:r>
        <w:t>Permission edits and revocation have a defined dispatch boundary; already dispatched irreversible work cannot be recalled.</w:t>
      </w:r>
    </w:p>
    <w:p>
      <w:r>
        <w:t>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pageBreakBefore/>
      </w:pPr>
      <w:r>
        <w:t>2 Components and compatibility gates</w:t>
      </w:r>
    </w:p>
    <w:p>
      <w:r>
        <w:t>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type="auto" w:w="0"/>
        <w:jc w:val="center"/>
        <w:tblLayout w:type="fixed"/>
        <w:tblLook w:firstColumn="1" w:firstRow="1" w:lastColumn="0" w:lastRow="0" w:noHBand="0" w:noVBand="1" w:val="04A0"/>
      </w:tblPr>
      <w:tblGrid>
        <w:gridCol w:w="2160"/>
        <w:gridCol w:w="4464"/>
        <w:gridCol w:w="3600"/>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Proposed project</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Contains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Must not contain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Bridge.Domain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 identities, typed policy, canonical requests, decisions, revision values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or UI dependencies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Bridge.Application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policy changes, approvals, admission gate, audit coordination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Direct Binder transactions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Bridge.Protocol</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MCP mapping, paginated catalog and transport independent session dispatch</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 decisions hidden in handlers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Bridge.Bindings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SDK/AIDL metadata ingestion, versioned schemas, code generation and generic marshalling</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Assumed schemas for unknown private services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Bridge.Storage.Sqlite</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Repositories, migrations and transactional outbox</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Raw bearer secrets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Bridge.Android</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lifecycle, Keystore, capability probes and native, ADB and optional Avalonia remote adapters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Policy bypass through reflection or raw dispatch</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Bridge.UI</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views, view models, local admin workflows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Direct SQL writes or implicit catalog-admin authority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Bridge.Tests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Pure policy tests, contract clients, fake adapters, Android instrumentation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Assumptions that mocks prove OS access</w:t>
            </w:r>
          </w:p>
        </w:tc>
      </w:tr>
    </w:tbl>
    <w:p>
      <w:pPr>
        <w:spacing w:after="60" w:before="0" w:line="20" w:lineRule="exact"/>
      </w:pPr>
      <w:r>
        <w:rPr>
          <w:sz w:val="2"/>
        </w:rPr>
      </w:r>
    </w:p>
    <w:p>
      <w:pPr>
        <w:pStyle w:val="Heading2"/>
      </w:pPr>
      <w:r>
        <w:t>Baseline and release gates</w:t>
      </w:r>
    </w:p>
    <w:p>
      <w:r>
        <w:t>Avalonia 12 supports Android on .NET 10; target net10.0-android and pin a tested, consistent 12.x package set. Select minimum Android API and supported devices from product needs and current support tiers, not from a generic old template. [S1]</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Evidence required before choosing packages or shipping</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hosting</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runs an Android compatible HTTP engine with the MCP protocol layer. Do not assume ASP.NET Core or Kestrel works on Android; hide the engine behind ILoopbackHost.</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MCP compatibility</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the 2025-11-25 wire baseline and a compatible SDK release after a real client exchange. Later SDK protocol revisions require a separate review; never mix initialization or session semantics.</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SQLite native load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selected provider on each shipped ABI, trimmed release and chosen AOT mode. Microsoft.Data.Sqlite defaults to SQLitePCLRaw.bundle_e_sqlite3; this does not prove this app deployment works. [S2]</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service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Prove truthful foreground service type, boot/start eligibility, notification behavior and restart recovery. Persistent hosting is required; an OS-blocked start is an explicit failure state, not a silent downgrade. [S3]</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Trusted local endpoint</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paired server identity and credential setup in target MCP clients. TLS pinning and manual bearer support vary by client; do not silently downgrade.</w:t>
            </w:r>
          </w:p>
        </w:tc>
      </w:tr>
    </w:tbl>
    <w:p>
      <w:pPr>
        <w:spacing w:after="60" w:before="0" w:line="20" w:lineRule="exact"/>
      </w:pPr>
      <w:r>
        <w:rPr>
          <w:sz w:val="2"/>
        </w:rPr>
      </w:r>
    </w:p>
    <w:p>
      <w:pPr>
        <w:pStyle w:val="Heading1"/>
        <w:pageBreakBefore/>
      </w:pPr>
      <w:r>
        <w:t>3 Transport and request lifecycle</w:t>
      </w:r>
    </w:p>
    <w:p>
      <w:r>
        <w:t>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pPr>
      <w:r>
        <w:t>Endpoint protections</w:t>
      </w:r>
    </w:p>
    <w:p>
      <w:pPr>
        <w:pStyle w:val="ListBullet"/>
      </w:pPr>
      <w:r>
        <w:t>Bind explicitly to 127.0.0.1 and, only if tested, ::1. Never 0.0.0.0, public interfaces or automatic remote tunneling. Validate Host against the bound endpoint; reject unexpected Origin values and all browser origins by default. An absent Origin is not authentication.</w:t>
      </w:r>
    </w:p>
    <w:p>
      <w:pPr>
        <w:pStyle w:val="ListBullet"/>
      </w:pPr>
      <w:r>
        <w:t>Authenticate every POST, GET, DELETE and SSE reconnection. A session identifier is not a credential. Bind sessions and event cursors to client, credential epoch and server boot identifier. Reject cross client session reuse.</w:t>
      </w:r>
    </w:p>
    <w:p>
      <w:pPr>
        <w:pStyle w:val="ListBullet"/>
      </w:pPr>
      <w:r>
        <w:t>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pStyle w:val="ListBullet"/>
      </w:pPr>
      <w:r>
        <w:t>Suggested initial limits: 256 KiB request body, JSON nesting 32, 4 active calls per client, 64 globally, bounded SSE queues and per client rate limits. Tune with tests; fail with explicit overload rather than unbounded memory growth.</w:t>
      </w:r>
    </w:p>
    <w:p>
      <w:pPr>
        <w:pStyle w:val="Heading2"/>
      </w:pPr>
      <w:r>
        <w:t>One tool call</w:t>
      </w:r>
    </w:p>
    <w:p>
      <w:pPr>
        <w:ind w:left="288" w:hanging="288"/>
      </w:pPr>
      <w:r>
        <w:t>1. Parse a bounded UTF-8 JSON-RPC message; authenticate the transport credential and resolve the internal client record. Validate session ownership and negotiated protocol.</w:t>
      </w:r>
    </w:p>
    <w:p>
      <w:pPr>
        <w:ind w:left="288" w:hanging="288"/>
      </w:pPr>
      <w:r>
        <w:t>2. Resolve the generated binding/tool ID and exact schema hash from the active versioned registry, or the explicitly scoped low-level transaction contract. Reject unknown fields, invalid types and out of range values. Materialize defaults before canonicalization.</w:t>
      </w:r>
    </w:p>
    <w:p>
      <w:pPr>
        <w:ind w:left="288" w:hanging="288"/>
      </w:pPr>
      <w:r>
        <w:t>3. 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ind w:left="288" w:hanging="288"/>
      </w:pPr>
      <w:r>
        <w:t>4. Evaluate current policy and Android capability. If Ask applies, suspend without dispatch and request local approval. Timeout, dismissal or absence of UI means no execution.</w:t>
      </w:r>
    </w:p>
    <w:p>
      <w:pPr>
        <w:ind w:left="288" w:hanging="288"/>
      </w:pPr>
      <w:r>
        <w:t>5. Under the admission gate, recheck identity, revisions, scope, capability and approval; atomically consume one use approval and record execution admission. Dispatch outside the SQLite transaction.</w:t>
      </w:r>
    </w:p>
    <w:p>
      <w:pPr>
        <w:ind w:left="288" w:hanging="288"/>
      </w:pPr>
      <w:r>
        <w:t>6. Invoke the adapter off the UI thread. Recheck before every subsequent effect or result emission; sanitize and bound output. Record a minimal outcome and return a normal MCP result or a sanitized error.</w:t>
      </w:r>
    </w:p>
    <w:p>
      <w:pPr>
        <w:pStyle w:val="Heading2"/>
      </w:pPr>
      <w:r>
        <w:t>Discovery and streams</w:t>
      </w:r>
    </w:p>
    <w:p>
      <w:r>
        <w:t>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pageBreakBefore/>
      </w:pPr>
      <w:r>
        <w:t>4 Pairing and client identity</w:t>
      </w:r>
    </w:p>
    <w:p>
      <w:r>
        <w:t>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pPr>
      <w:r>
        <w:t>Manual pairing flow</w:t>
      </w:r>
    </w:p>
    <w:p>
      <w:pPr>
        <w:ind w:left="288" w:hanging="288"/>
      </w:pPr>
      <w:r>
        <w:t>1. 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ind w:left="288" w:hanging="288"/>
      </w:pPr>
      <w:r>
        <w:t>2. 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ind w:left="288" w:hanging="288"/>
      </w:pPr>
      <w:r>
        <w:t>3. 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ind w:left="288" w:hanging="288"/>
      </w:pPr>
      <w:r>
        <w:t>4. Store only a verifier and nonsecret credential identifier. Consume the bootstrap secret on success; expire after a proposed two minute window or repeated failed attempts. If delivery fails, revoke the issued credential and pair again rather than redisplay it.</w:t>
      </w:r>
    </w:p>
    <w:p>
      <w:r>
        <w:t>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pPr>
      <w:r>
        <w:t>Optional package aware pairing</w:t>
      </w:r>
    </w:p>
    <w:p>
      <w:r>
        <w:t>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pPr>
      <w:r>
        <w:t>Credential lifecycle</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Action</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effect</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Rotate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Create a new credential and show it once. Owner may permit a short overlap. At its end, atomically revoke old, increment client epoch and move retained replacement to that epoch. Invalidate all client sessions and approvals.</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Disable client</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 disabled state and revision, cancel approvals and reject new admissions. Preserve policy for review; reenable requires local owner action.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Revoke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 revocation, increment credential epoch and close affected streams. Reuse is permanently rejected even if a client session remains open.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backup</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client labels and rules as disabled templates only. Never restore active credentials, sessions, approvals or server identity. Require fresh pairing.</w:t>
            </w:r>
          </w:p>
        </w:tc>
      </w:tr>
    </w:tbl>
    <w:p>
      <w:pPr>
        <w:spacing w:after="60" w:before="0" w:line="20" w:lineRule="exact"/>
      </w:pPr>
      <w:r>
        <w:rPr>
          <w:sz w:val="2"/>
        </w:rPr>
      </w:r>
    </w:p>
    <w:p>
      <w:pPr>
        <w:pStyle w:val="Heading1"/>
        <w:pageBreakBefore/>
      </w:pPr>
      <w:r>
        <w:t>5 Permission model and evaluation</w:t>
      </w:r>
    </w:p>
    <w:p>
      <w:r>
        <w:t>Keep v1 deliberately simple: one rule per client and exact tool version, with Deny, Ask or Allow plus a typed scope. No wildcard tools, rule priorities, inherited Allow or regular expression permission language. Presets only populate explicit rules after preview; newly registered tools remain denied.</w:t>
      </w:r>
    </w:p>
    <w:tbl>
      <w:tblPr>
        <w:tblW w:type="auto" w:w="0"/>
        <w:jc w:val="center"/>
        <w:tblLayout w:type="fixed"/>
        <w:tblLook w:firstColumn="1" w:firstRow="1" w:lastColumn="0" w:lastRow="0" w:noHBand="0" w:noVBand="1" w:val="04A0"/>
      </w:tblPr>
      <w:tblGrid>
        <w:gridCol w:w="648"/>
        <w:gridCol w:w="6696"/>
        <w:gridCol w:w="2880"/>
      </w:tblGrid>
      <w:tr>
        <w:trPr>
          <w:cantSplit/>
          <w:tblHeader/>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Order</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Check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Result when it fails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1</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 credential, active client, bridge running</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Reject; no capability or policy details to unauthenticated callers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2</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Known binding or explicit low-level contract and accepted schema version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Unavailable or invalid tool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3</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Global emergency deny or tool disabled</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regardless of client choice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4</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Exact client rule exists and is not Deny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by default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5</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Arguments and requested output fit all scope constraints</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cannot expand the scope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6</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Current backend authority, device state and target availability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OS unavailable; never treat Allow as an OS grant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7</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Rule is Ask or global tool floor requires Ask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a valid one use request bound approval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8</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Versions and capability still valid at admission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Admit, otherwise reevaluate or reject</w:t>
            </w:r>
          </w:p>
        </w:tc>
      </w:tr>
    </w:tbl>
    <w:p>
      <w:pPr>
        <w:spacing w:after="60" w:before="0" w:line="20" w:lineRule="exact"/>
      </w:pPr>
      <w:r>
        <w:rPr>
          <w:sz w:val="2"/>
        </w:rPr>
      </w:r>
    </w:p>
    <w:p>
      <w:pPr>
        <w:pStyle w:val="Heading2"/>
      </w:pPr>
      <w:r>
        <w:t>Scope semantics</w:t>
      </w:r>
    </w:p>
    <w:p>
      <w:r>
        <w:t>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r>
        <w:t>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pStyle w:val="Code"/>
        <w:keepNext/>
      </w:pPr>
      <w:r>
        <w:t>evaluate(principal, plan, snapshot):</w:t>
      </w:r>
    </w:p>
    <w:p>
      <w:pPr>
        <w:pStyle w:val="Code"/>
        <w:keepNext/>
      </w:pPr>
      <w:r>
        <w:t xml:space="preserve">  require active(principal) and currentCredential(principal)</w:t>
      </w:r>
    </w:p>
    <w:p>
      <w:pPr>
        <w:pStyle w:val="Code"/>
        <w:keepNext/>
      </w:pPr>
      <w:r>
        <w:t xml:space="preserve">  require knownEnabled(plan.tool, plan.schemaVersion)</w:t>
      </w:r>
    </w:p>
    <w:p>
      <w:pPr>
        <w:pStyle w:val="Code"/>
        <w:keepNext/>
      </w:pPr>
      <w:r>
        <w:t xml:space="preserve">  if globalDeny(plan) or ruleMissingOrDeny(principal, plan): DENY</w:t>
      </w:r>
    </w:p>
    <w:p>
      <w:pPr>
        <w:pStyle w:val="Code"/>
        <w:keepNext/>
      </w:pPr>
      <w:r>
        <w:t xml:space="preserve">  if not withinAllScopes(plan): DENY</w:t>
      </w:r>
    </w:p>
    <w:p>
      <w:pPr>
        <w:pStyle w:val="Code"/>
        <w:keepNext/>
      </w:pPr>
      <w:r>
        <w:t xml:space="preserve">  if not capabilityAvailableNow(plan): OS_UNAVAILABLE</w:t>
      </w:r>
    </w:p>
    <w:p>
      <w:pPr>
        <w:pStyle w:val="Code"/>
        <w:keepNext/>
      </w:pPr>
      <w:r>
        <w:t xml:space="preserve">  if globalAskFloor(plan) or rule(principal, plan) == ASK:</w:t>
      </w:r>
    </w:p>
    <w:p>
      <w:pPr>
        <w:pStyle w:val="Code"/>
        <w:keepNext/>
      </w:pPr>
      <w:r>
        <w:t xml:space="preserve">    require validOneUseApproval(principal, plan, snapshot)</w:t>
      </w:r>
    </w:p>
    <w:p>
      <w:pPr>
        <w:pStyle w:val="Code"/>
        <w:keepNext w:val="0"/>
      </w:pPr>
      <w:r>
        <w:t xml:space="preserve">  return ADMIT_CANDIDATE  // not permission to dispatch yet</w:t>
      </w:r>
    </w:p>
    <w:p>
      <w:pPr>
        <w:pStyle w:val="Heading2"/>
      </w:pPr>
      <w:r>
        <w:t>Why capability inventory is separate</w:t>
      </w:r>
    </w:p>
    <w:p>
      <w:r>
        <w:t>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pageBreakBefore/>
      </w:pPr>
      <w:r>
        <w:t>6 Request specific approval</w:t>
      </w:r>
    </w:p>
    <w:p>
      <w:r>
        <w:t>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pPr>
      <w:r>
        <w:t>Approval binding</w:t>
      </w:r>
    </w:p>
    <w:p>
      <w:r>
        <w:t>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pStyle w:val="Code"/>
        <w:keepNext/>
      </w:pPr>
      <w:r>
        <w:t>approvalBinding = Hash(</w:t>
      </w:r>
    </w:p>
    <w:p>
      <w:pPr>
        <w:pStyle w:val="Code"/>
        <w:keepNext/>
      </w:pPr>
      <w:r>
        <w:t xml:space="preserve">  canonicalizationVersion, serverBootId, requestNonce,</w:t>
      </w:r>
    </w:p>
    <w:p>
      <w:pPr>
        <w:pStyle w:val="Code"/>
        <w:keepNext/>
      </w:pPr>
      <w:r>
        <w:t xml:space="preserve">  clientId, credentialEpoch, toolId, adapterSchemaVersion,</w:t>
      </w:r>
    </w:p>
    <w:p>
      <w:pPr>
        <w:pStyle w:val="Code"/>
        <w:keepNext/>
      </w:pPr>
      <w:r>
        <w:t xml:space="preserve">  canonicalArguments, resolvedResourceIds, targetIdentity,</w:t>
      </w:r>
    </w:p>
    <w:p>
      <w:pPr>
        <w:pStyle w:val="Code"/>
        <w:keepNext/>
      </w:pPr>
      <w:r>
        <w:t xml:space="preserve">  expectedResourceVersion, policyRevision, registryRevision,</w:t>
      </w:r>
    </w:p>
    <w:p>
      <w:pPr>
        <w:pStyle w:val="Code"/>
        <w:keepNext/>
      </w:pPr>
      <w:r>
        <w:t xml:space="preserve">  capabilityGeneration, monotonicExpiry</w:t>
      </w:r>
    </w:p>
    <w:p>
      <w:pPr>
        <w:pStyle w:val="Code"/>
        <w:keepNext w:val="0"/>
      </w:pPr>
      <w:r>
        <w:t>)</w:t>
      </w:r>
    </w:p>
    <w:p>
      <w:r>
        <w:t>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type="auto" w:w="0"/>
        <w:jc w:val="center"/>
        <w:tblLayout w:type="fixed"/>
        <w:tblLook w:firstColumn="1" w:firstRow="1" w:lastColumn="0" w:lastRow="0" w:noHBand="0" w:noVBand="1" w:val="04A0"/>
      </w:tblPr>
      <w:tblGrid>
        <w:gridCol w:w="1584"/>
        <w:gridCol w:w="8640"/>
      </w:tblGrid>
      <w:tr>
        <w:trPr>
          <w:cantSplit/>
          <w:tblHeader/>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State</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Allowed transition</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Pending</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Approved, denied, expired, canceled or invalidated; no adapter call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Consumed once at admission if every binding still matches; otherwise invalidated</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Consumed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 may begin; a retry cannot reuse this approval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Terminal</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Denied, expired, canceled or invalidated cannot return to Approved</w:t>
            </w:r>
          </w:p>
        </w:tc>
      </w:tr>
    </w:tbl>
    <w:p>
      <w:pPr>
        <w:spacing w:after="60" w:before="0" w:line="20" w:lineRule="exact"/>
      </w:pPr>
      <w:r>
        <w:rPr>
          <w:sz w:val="2"/>
        </w:rPr>
      </w:r>
    </w:p>
    <w:p>
      <w:pPr>
        <w:pStyle w:val="Heading2"/>
      </w:pPr>
      <w:r>
        <w:t>Interaction and race handling</w:t>
      </w:r>
    </w:p>
    <w:p>
      <w:pPr>
        <w:pStyle w:val="ListBullet"/>
      </w:pPr>
      <w:r>
        <w:t>Show client identity/fingerprint, exact action, recipient or resource, relevant values, requested output, side effect warning and expiry. Default focus is Deny. Allow once is separate from Edit policy; persistent permission changes use the normal Apply flow.</w:t>
      </w:r>
    </w:p>
    <w:p>
      <w:pPr>
        <w:pStyle w:val="ListBullet"/>
      </w:pPr>
      <w:r>
        <w:t>If the app is not in the foreground, use a privacy preserving notification that opens the app, subject to Android permission and background launch restrictions. Do not launch arbitrary activities silently. No available approval UI means expiry, not auto approval.</w:t>
      </w:r>
    </w:p>
    <w:p>
      <w:pPr>
        <w:pStyle w:val="ListBullet"/>
      </w:pPr>
      <w:r>
        <w:t>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pStyle w:val="ListBullet"/>
      </w:pPr>
      <w:r>
        <w:t>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pageBreakBefore/>
      </w:pPr>
      <w:r>
        <w:t>7 Revocation and Android lifecycle</w:t>
      </w:r>
    </w:p>
    <w:p>
      <w:pPr>
        <w:pStyle w:val="Heading2"/>
      </w:pPr>
      <w:r>
        <w:t>A precise execution boundary</w:t>
      </w:r>
    </w:p>
    <w:p>
      <w:r>
        <w:t>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r>
        <w:t>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Situation</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becomes narrower</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Invalidate pending approvals; reevaluate queued calls and active output. Stop future disallowed effects and disclosures. Do not reuse cached discovery as authority.</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revoked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Reject new requests and admission; cancel cooperatively, drop queued events, close its streams and prevent replay to the old principal.</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Effect already dispatched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Attempt documented cancellation if safe. Record completed, canceled or outcome unknown honestly. Revocation is not rollback.</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 reconnects</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again and validate ownership and revisions. Default v1 has no durable event replay; client retries cannot recreate an approval.</w:t>
            </w:r>
          </w:p>
        </w:tc>
      </w:tr>
    </w:tbl>
    <w:p>
      <w:pPr>
        <w:spacing w:after="60" w:before="0" w:line="20" w:lineRule="exact"/>
      </w:pPr>
      <w:r>
        <w:rPr>
          <w:sz w:val="2"/>
        </w:rPr>
      </w:r>
    </w:p>
    <w:p>
      <w:pPr>
        <w:pStyle w:val="Heading2"/>
      </w:pPr>
      <w:r>
        <w:t>Persistent server requirement</w:t>
      </w:r>
    </w:p>
    <w:p>
      <w:r>
        <w:t>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r>
        <w:t>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r>
        <w:t>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pageBreakBefore/>
      </w:pPr>
      <w:r>
        <w:t>Service boot recovery and status indicators</w:t>
      </w:r>
    </w:p>
    <w:p>
      <w:pPr>
        <w:pStyle w:val="Heading2"/>
      </w:pPr>
      <w:r>
        <w:t>Optional boot start</w:t>
      </w:r>
    </w:p>
    <w:p>
      <w:r>
        <w:t>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r>
        <w:t>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[S27]</w:t>
      </w:r>
    </w:p>
    <w:p>
      <w:pPr>
        <w:pStyle w:val="Heading2"/>
      </w:pPr>
      <w:r>
        <w:t>Independent server and backend health</w:t>
      </w:r>
    </w:p>
    <w:p>
      <w:r>
        <w:t>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r>
        <w:t>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pPr>
      <w:r>
        <w:t>AppBar and Android status icon</w:t>
      </w:r>
    </w:p>
    <w:p>
      <w:r>
        <w:t>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r>
        <w:t>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[S28]</w:t>
      </w:r>
    </w:p>
    <w:p>
      <w:r>
        <w:t>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pageBreakBefore/>
      </w:pPr>
      <w:r>
        <w:t>8 Avalonia management interface</w:t>
      </w:r>
    </w:p>
    <w:p>
      <w:r>
        <w:t>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pPr>
      <w:r>
        <w:t>Wide layout permission editor</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 permissions for Research agent</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Active  •  fingerprint 6F2A  •  policy revision 18</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Research agent</w:t>
              <w:br/>
              <w:t>Personal assistant</w:t>
              <w:br/>
              <w:t>Test client</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Permissions   Logging   Approvals   Connection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Add client</w:t>
              <w:br/>
              <w:t>Disable client</w:t>
              <w:br/>
              <w:t>Revoke credentials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all bindings  |  Policy  |  Mapping status</w:t>
            </w:r>
          </w:p>
        </w:tc>
      </w:tr>
    </w:tbl>
    <w:p>
      <w:pPr>
        <w:spacing w:after="60" w:before="0" w:line="20" w:lineRule="exact"/>
      </w:pPr>
      <w:r>
        <w:rPr>
          <w:sz w:val="2"/>
        </w:rPr>
      </w:r>
    </w:p>
    <w:tbl>
      <w:tblPr>
        <w:tblW w:type="auto" w:w="0"/>
        <w:jc w:val="center"/>
        <w:tblLayout w:type="fixed"/>
        <w:tblLook w:firstColumn="1" w:firstRow="1" w:lastColumn="0" w:lastRow="0" w:noHBand="0" w:noVBand="1" w:val="04A0"/>
      </w:tblPr>
      <w:tblGrid>
        <w:gridCol w:w="2592"/>
        <w:gridCol w:w="2448"/>
        <w:gridCol w:w="2592"/>
        <w:gridCol w:w="2592"/>
      </w:tblGrid>
      <w:tr>
        <w:trPr>
          <w:cantSplit/>
          <w:tblHeader/>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Policy choice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Scope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Android status</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Whole display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connected</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Raw range 16 to 240</w:t>
              <w:br/>
              <w:t>Manual mode only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Special access missing</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document.read</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document handles</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selection</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wide input</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ADB connected</w:t>
            </w:r>
          </w:p>
        </w:tc>
      </w:tr>
    </w:tbl>
    <w:p>
      <w:pPr>
        <w:spacing w:after="60" w:before="0" w:line="20" w:lineRule="exact"/>
      </w:pPr>
      <w:r>
        <w:rPr>
          <w:sz w:val="2"/>
        </w:rPr>
      </w:r>
    </w:p>
    <w:p>
      <w:r>
        <w:t>Draft changes 2    Discard    Review and apply</w:t>
      </w:r>
    </w:p>
    <w:p>
      <w:pPr>
        <w:pStyle w:val="Heading2"/>
      </w:pPr>
      <w:r>
        <w:t>Phone layout without a compressed grid</w:t>
      </w:r>
    </w:p>
    <w:tbl>
      <w:tblPr>
        <w:tblW w:type="auto" w:w="0"/>
        <w:jc w:val="center"/>
        <w:tblLayout w:type="fixed"/>
        <w:tblLook w:firstColumn="1" w:firstRow="1" w:lastColumn="0" w:lastRow="0" w:noHBand="0" w:noVBand="1" w:val="04A0"/>
      </w:tblPr>
      <w:tblGrid>
        <w:gridCol w:w="3672"/>
        <w:gridCol w:w="6552"/>
      </w:tblGrid>
      <w:tr>
        <w:trPr>
          <w:cantSplit/>
          <w:tblHeader/>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Research agent</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Permission detail</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tools</w:t>
              <w:br/>
              <w:t>Brightness write</w:t>
              <w:br/>
              <w:t>Ask  •  OS access missing</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w:t>
              <w:br/>
              <w:t>Deny    [Ask]    Allow</w:t>
              <w:br/>
              <w:t>Scope</w:t>
              <w:br/>
              <w:t>Raw range 16 to 240    Edit</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battery</w:t>
              <w:br/>
              <w:t>Allow  •  Available</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access</w:t>
              <w:br/>
              <w:t>WRITE_SETTINGS not granted</w:t>
              <w:br/>
              <w:t>Manage Android access</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2 draft changes</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Discard    Review and apply</w:t>
            </w:r>
          </w:p>
        </w:tc>
      </w:tr>
    </w:tbl>
    <w:p>
      <w:pPr>
        <w:spacing w:after="60" w:before="0" w:line="20" w:lineRule="exact"/>
      </w:pPr>
      <w:r>
        <w:rPr>
          <w:sz w:val="2"/>
        </w:rPr>
      </w:r>
    </w:p>
    <w:p>
      <w:r>
        <w:t>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r>
        <w:t>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pageBreakBefore/>
      </w:pPr>
      <w:r>
        <w:t>9 Editing and approval workflows</w:t>
      </w:r>
    </w:p>
    <w:p>
      <w:pPr>
        <w:pStyle w:val="Heading2"/>
      </w:pPr>
      <w:r>
        <w:t>Navigation and screen responsibilities</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Screen</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Primary content and actions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Overview</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mode, endpoint identity, active sessions, approval count, capability issues and explicit Start or Stop.</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Labels, credential fingerprints, active or disabled status, last seen metadata. Add, rotate, disable and revoke with clear consequences.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 catalog, Deny Ask Allow controls, scope editor, effective policy explanation and separate OS capability state.</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Pending requests ordered by expiry. Open detail, review exact effect, Deny or Allow once; no bulk approval.</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 and activity</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Per-client Off/Metadata/Redacted diagnostic mode, expiry, quotas, purge/export and minimal audit. No raw payload inspection.</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server health and AppBar icon, Start on boot, connections, notification settings, retention, export/restore and diagnostics.</w:t>
            </w:r>
          </w:p>
        </w:tc>
      </w:tr>
    </w:tbl>
    <w:p>
      <w:pPr>
        <w:spacing w:after="60" w:before="0" w:line="20" w:lineRule="exact"/>
      </w:pPr>
      <w:r>
        <w:rPr>
          <w:sz w:val="2"/>
        </w:rPr>
      </w:r>
    </w:p>
    <w:p>
      <w:pPr>
        <w:pStyle w:val="Heading2"/>
      </w:pPr>
      <w:r>
        <w:t>Draft then apply</w:t>
      </w:r>
    </w:p>
    <w:p>
      <w:pPr>
        <w:ind w:left="288" w:hanging="288"/>
      </w:pPr>
      <w:r>
        <w:t>1. Load client config with row_version and global policy_revision. Edits only change a local draft. Show a dirty indicator and warn before leaving. Inline scope validation uses the adapter schema.</w:t>
      </w:r>
    </w:p>
    <w:p>
      <w:pPr>
        <w:ind w:left="288" w:hanging="288"/>
      </w:pPr>
      <w:r>
        <w:t>2. Review shows old and new decisions and scope deltas, especially widened resource sets, output fields and limits. Bulk changes require a per tool preview and cannot include future tools. Never bulk convert unavailable tools to Allow silently.</w:t>
      </w:r>
    </w:p>
    <w:p>
      <w:pPr>
        <w:ind w:left="288" w:hanging="288"/>
      </w:pPr>
      <w:r>
        <w:t>3. 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ind w:left="288" w:hanging="288"/>
      </w:pPr>
      <w:r>
        <w:t>4. 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pPr>
      <w:r>
        <w:t>Approval detail</w:t>
      </w:r>
    </w:p>
    <w:p>
      <w:r>
        <w:t>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r>
        <w:t>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pPr>
      <w:r>
        <w:t>Android access and recovery</w:t>
      </w:r>
    </w:p>
    <w:p>
      <w:r>
        <w:t>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pageBreakBefore/>
      </w:pPr>
      <w:r>
        <w:t>10 SQLite schema and invariants</w:t>
      </w:r>
    </w:p>
    <w:p>
      <w:r>
        <w:t>Use one app private SQLite database for configuration and minimal durable state. IDs are opaque random TEXT values;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display_name; state CHECK active/disabled/revoked; credential_epoch &gt;= 0; row_version &gt;= 1; created_at; updated_at; last_seen_at nullable. Names are not unique identities.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credentials</w:t>
              <w:br/>
              <w:t>PK credential_id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RESTRICT; verifier BLOB length 32; key_alias; state CHECK active/revoked; created_at; expires_at nullable; revoked_at nullable; epoch &gt;= 0. UNIQUE(verifier). No raw tokens.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schema_version; adapter_version; capability_key; scope_schema_version; risk_class; registry_revision. binding_id nullable FK binding_definitions; registry is generated from versioned sources. This table is a reconciled catalog, not executable imported code.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client_tool_rules</w:t>
              <w:br/>
              <w:t>PK client_id,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tool_id FK tools RESTRICT; tool_schema_version; effect CHECK deny/ask/allow; scope_json; scope_schema_version; updated_at. One exact rule per client/tool; schema mismatch is denied.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policy_state</w:t>
              <w:br/>
              <w:t>PK singleton_id = 1</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&gt;= 1; registry_revision &gt;= 1; emergency_deny CHECK 0/1; updated_at. Monotonic increments on every authorization relevant mutation.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tool_guardrails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disabled CHECK 0/1; require_ask CHECK 0/1; scope_json; scope_schema_version. These restrictions intersect client rules and cannot grant access.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executions</w:t>
              <w:br/>
              <w:t>PK execution_id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RESTRICT; credential_id FK credentials RESTRICT; tool_id FK tools RESTRICT; request_digest BLOB; boot_id; policy_revision; state CHECK admitted/completed/failed/canceled/unknown; admitted_at; completed_at nullable; idempotency_key nullable.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audit_events</w:t>
              <w:br/>
              <w:t>PK event_id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occurred_at; client_id nullable; tool_id nullable; operation; decision; reason_code; policy_revision; execution_id nullable; duration_ms nullable. No raw arguments, tokens, contacts or result text.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change_outbox</w:t>
              <w:br/>
              <w:t>PK change_id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change_kind; affected_client_id nullable; created_at; delivered_at nullable. Written in the same transaction as policy changes; delivery is idempotent.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schema_migrations</w:t>
              <w:br/>
              <w:t>PK version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checksum; applied_at. Exactly ordered migrations; app also checks PRAGMA user_version before opening the runtime.</w:t>
            </w:r>
          </w:p>
        </w:tc>
      </w:tr>
    </w:tbl>
    <w:p>
      <w:pPr>
        <w:spacing w:after="60" w:before="0" w:line="20" w:lineRule="exact"/>
      </w:pPr>
      <w:r>
        <w:rPr>
          <w:sz w:val="2"/>
        </w:rPr>
      </w:r>
    </w:p>
    <w:p>
      <w:r>
        <w:t>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pageBreakBefore/>
      </w:pPr>
      <w:r>
        <w:t>11 Storage transactions and secret protection</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Additional configuration records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resource_grants</w:t>
              <w:br/>
              <w:t>PK handle_id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exact_uri_ciphertext; key_alias; modes CHECK read/write/read_write; enabled CHECK 0/1; revision &gt;= 1; created_at. Index(client_id, enabled). Opaque per client handle; never a caller supplied URI.</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bridge_config</w:t>
              <w:br/>
              <w:t>PK singleton_id = 1</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60" w:before="0" w:line="20" w:lineRule="exact"/>
      </w:pPr>
      <w:r>
        <w:rPr>
          <w:sz w:val="2"/>
        </w:rPr>
      </w:r>
    </w:p>
    <w:p>
      <w:r>
        <w:t>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pPr>
      <w:r>
        <w:t>Indexes and connection policy</w:t>
      </w:r>
    </w:p>
    <w:p>
      <w:r>
        <w:t>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r>
        <w:t>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pPr>
      <w:r>
        <w:t>Permission commit and execution admission</w:t>
      </w:r>
    </w:p>
    <w:p>
      <w:pPr>
        <w:pStyle w:val="Code"/>
        <w:keepNext/>
      </w:pPr>
      <w:r>
        <w:t>with admissionGate:</w:t>
      </w:r>
    </w:p>
    <w:p>
      <w:pPr>
        <w:pStyle w:val="Code"/>
        <w:keepNext/>
      </w:pPr>
      <w:r>
        <w:t xml:space="preserve">  BEGIN IMMEDIATE</w:t>
      </w:r>
    </w:p>
    <w:p>
      <w:pPr>
        <w:pStyle w:val="Code"/>
        <w:keepNext/>
      </w:pPr>
      <w:r>
        <w:t xml:space="preserve">  assert client.row_version == expectedClientVersion</w:t>
      </w:r>
    </w:p>
    <w:p>
      <w:pPr>
        <w:pStyle w:val="Code"/>
        <w:keepNext/>
      </w:pPr>
      <w:r>
        <w:t xml:space="preserve">  assert policy_state.policy_revision == expectedPolicyRevision</w:t>
      </w:r>
    </w:p>
    <w:p>
      <w:pPr>
        <w:pStyle w:val="Code"/>
        <w:keepNext/>
      </w:pPr>
      <w:r>
        <w:t xml:space="preserve">  validate entire proposed rule set</w:t>
      </w:r>
    </w:p>
    <w:p>
      <w:pPr>
        <w:pStyle w:val="Code"/>
        <w:keepNext/>
      </w:pPr>
      <w:r>
        <w:t xml:space="preserve">  write rules; increment client.row_version and policy_revision</w:t>
      </w:r>
    </w:p>
    <w:p>
      <w:pPr>
        <w:pStyle w:val="Code"/>
        <w:keepNext/>
      </w:pPr>
      <w:r>
        <w:t xml:space="preserve">  append audit_event and change_outbox</w:t>
      </w:r>
    </w:p>
    <w:p>
      <w:pPr>
        <w:pStyle w:val="Code"/>
        <w:keepNext/>
      </w:pPr>
      <w:r>
        <w:t xml:space="preserve">  COMMIT</w:t>
      </w:r>
    </w:p>
    <w:p>
      <w:pPr>
        <w:pStyle w:val="Code"/>
        <w:keepNext/>
      </w:pPr>
      <w:r>
        <w:t xml:space="preserve">  install new immutable snapshot; invalidate old approvals</w:t>
      </w:r>
    </w:p>
    <w:p>
      <w:pPr>
        <w:pStyle w:val="Code"/>
        <w:keepNext/>
      </w:pPr>
      <w:r>
        <w:t xml:space="preserve">  signal affected calls and streams</w:t>
      </w:r>
    </w:p>
    <w:p>
      <w:pPr>
        <w:pStyle w:val="Code"/>
        <w:keepNext w:val="0"/>
      </w:pPr>
      <w:r>
        <w:t>// Acknowledge Apply only after the gate has published the commit</w:t>
      </w:r>
    </w:p>
    <w:p>
      <w:r>
        <w:t>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pageBreakBefore/>
      </w:pPr>
      <w:r>
        <w:t>Secret protection and storage recovery</w:t>
      </w:r>
    </w:p>
    <w:p>
      <w:pPr>
        <w:pStyle w:val="Heading2"/>
      </w:pPr>
      <w:r>
        <w:t>Secrets and privacy</w:t>
      </w:r>
    </w:p>
    <w:p>
      <w:r>
        <w:t>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r>
        <w:t>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pPr>
      <w:r>
        <w:t>Migrations and backup</w:t>
      </w:r>
    </w:p>
    <w:p>
      <w:r>
        <w:t>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r>
        <w:t>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pageBreakBefore/>
      </w:pPr>
      <w:r>
        <w:t>12 Convenience tool contracts</w:t>
      </w:r>
    </w:p>
    <w:p>
      <w:r>
        <w:t>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type="auto" w:w="0"/>
        <w:jc w:val="center"/>
        <w:tblLayout w:type="fixed"/>
        <w:tblLook w:firstColumn="1" w:firstRow="1" w:lastColumn="0" w:lastRow="0" w:noHBand="0" w:noVBand="1" w:val="04A0"/>
      </w:tblPr>
      <w:tblGrid>
        <w:gridCol w:w="2232"/>
        <w:gridCol w:w="3816"/>
        <w:gridCol w:w="4176"/>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Input and output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Adapter and policy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settings.brightness.get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 Output rawValue 1..255, mode manual/automatic and observedAt.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Settings.System wrapper. Read current value and mode; do not promise physical luminance or device independent perceived brightness.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rawValue integer 1..255 and expectedMode manual. Output observed value or conflict.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Settings.System.canWrite special access (WRITE_SETTINGS), plus policy/Ask. Refuse automatic mode rather than silently changing it; no arbitrary setting keys.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sensors.list / sensors.read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List allowed sensor types only. Read: sensorHandle, rateHz and durationMs. Return bounded samples with units, timestamps and accuracy.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SensorManager wrapper; exact sensor allowlist, proposed cap 20 Hz and 5 seconds. Respect runtime permissions, foreground restrictions and device limits; unregister on finish, cancellation, revocation or failure. [S16]</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device.battery.read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 Output levelPercent, isCharging and observedAt; omit fields not permitted by policy.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Public Android battery API wrapper. Read only; no custom AIDL needed. Available data depends on platform state.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contacts.list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contactIds[], fields[], limit 1..100. Output bounded records plus an opaque scoped cursor.</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ContactsContract / ContentResolver wrapper; READ_CONTACTS plus selected ID/field scope. No raw query, projection or selection string. [S12]</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document.read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documentHandle, offset and maxBytes. Output bounded content of an allowed media type.</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Handle minted from an owner selected persisted URI grant; bind it to client, exact URI, access mode and revision. Never accept arbitrary file paths.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partner.status.read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accountHandle. Output a versioned status record.</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Illustrative integration with a known partner AIDL service, explicit component and pinned signing identity. Requires a real partner contract; not an existing Android platform API.</w:t>
            </w:r>
          </w:p>
        </w:tc>
      </w:tr>
    </w:tbl>
    <w:p>
      <w:pPr>
        <w:spacing w:after="60" w:before="0" w:line="20" w:lineRule="exact"/>
      </w:pPr>
      <w:r>
        <w:rPr>
          <w:sz w:val="2"/>
        </w:rPr>
      </w:r>
    </w:p>
    <w:p>
      <w:pPr>
        <w:pStyle w:val="Heading1"/>
        <w:pageBreakBefore/>
      </w:pPr>
      <w:r>
        <w:t>Tool exchanges and result behavior</w:t>
      </w:r>
    </w:p>
    <w:p>
      <w:pPr>
        <w:pStyle w:val="Heading2"/>
      </w:pPr>
      <w:r>
        <w:t>Settings and sensor semantics</w:t>
      </w:r>
    </w:p>
    <w:p>
      <w:r>
        <w:t>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pPr>
      <w:r>
        <w:t>Example MCP exchange</w:t>
      </w:r>
    </w:p>
    <w:p>
      <w:pPr>
        <w:pStyle w:val="Code"/>
        <w:keepNext/>
      </w:pPr>
      <w:r>
        <w:t>POST /mcp</w:t>
      </w:r>
    </w:p>
    <w:p>
      <w:pPr>
        <w:pStyle w:val="Code"/>
        <w:keepNext/>
      </w:pPr>
      <w:r>
        <w:t>Authorization: Bearer &lt;credential_id.secret&gt;</w:t>
      </w:r>
    </w:p>
    <w:p>
      <w:pPr>
        <w:pStyle w:val="Code"/>
        <w:keepNext/>
      </w:pPr>
      <w:r>
        <w:t>MCP-Protocol-Version: 2025-11-25</w:t>
      </w:r>
    </w:p>
    <w:p>
      <w:pPr>
        <w:pStyle w:val="Code"/>
        <w:keepNext/>
      </w:pPr>
      <w:r>
        <w:t>Mcp-Session-Id: &lt;bound-session-if-negotiated&gt;</w:t>
      </w:r>
    </w:p>
    <w:p>
      <w:pPr>
        <w:pStyle w:val="Code"/>
        <w:keepNext/>
      </w:pPr>
      <w:r>
        <w:t>Content-Type: application/json</w:t>
      </w:r>
    </w:p>
    <w:p>
      <w:pPr>
        <w:pStyle w:val="Code"/>
        <w:keepNext/>
      </w:pPr>
      <w:r>
        <w:t>Accept: application/json, text/event-stream</w:t>
      </w:r>
    </w:p>
    <w:p>
      <w:pPr>
        <w:pStyle w:val="Code"/>
        <w:keepNext/>
      </w:pPr>
    </w:p>
    <w:p>
      <w:pPr>
        <w:pStyle w:val="Code"/>
        <w:keepNext/>
      </w:pPr>
      <w:r>
        <w:t>{"jsonrpc":"2.0","id":42,"method":"tools/call",</w:t>
      </w:r>
    </w:p>
    <w:p>
      <w:pPr>
        <w:pStyle w:val="Code"/>
        <w:keepNext/>
      </w:pPr>
      <w:r>
        <w:t xml:space="preserve"> "params":{"name":"contacts.list","arguments":{</w:t>
      </w:r>
    </w:p>
    <w:p>
      <w:pPr>
        <w:pStyle w:val="Code"/>
        <w:keepNext/>
      </w:pPr>
      <w:r>
        <w:t xml:space="preserve">   "contactIds":["contact_7"],</w:t>
      </w:r>
    </w:p>
    <w:p>
      <w:pPr>
        <w:pStyle w:val="Code"/>
        <w:keepNext/>
      </w:pPr>
      <w:r>
        <w:t xml:space="preserve">   "fields":["displayName"],"limit":1}}}</w:t>
      </w:r>
    </w:p>
    <w:p>
      <w:pPr>
        <w:pStyle w:val="Code"/>
        <w:keepNext/>
      </w:pPr>
    </w:p>
    <w:p>
      <w:pPr>
        <w:pStyle w:val="Code"/>
        <w:keepNext/>
      </w:pPr>
      <w:r>
        <w:t>{"jsonrpc":"2.0","id":42,"result":{</w:t>
      </w:r>
    </w:p>
    <w:p>
      <w:pPr>
        <w:pStyle w:val="Code"/>
        <w:keepNext/>
      </w:pPr>
      <w:r>
        <w:t xml:space="preserve"> "content":[{"type":"text","text":"1 contact returned"}],</w:t>
      </w:r>
    </w:p>
    <w:p>
      <w:pPr>
        <w:pStyle w:val="Code"/>
        <w:keepNext/>
      </w:pPr>
      <w:r>
        <w:t xml:space="preserve"> "structuredContent":{"contacts":[{</w:t>
      </w:r>
    </w:p>
    <w:p>
      <w:pPr>
        <w:pStyle w:val="Code"/>
        <w:keepNext/>
      </w:pPr>
      <w:r>
        <w:t xml:space="preserve">   "id":"contact_7","displayName":"Example person"}]},</w:t>
      </w:r>
    </w:p>
    <w:p>
      <w:pPr>
        <w:pStyle w:val="Code"/>
        <w:keepNext w:val="0"/>
      </w:pPr>
      <w:r>
        <w:t xml:space="preserve"> "isError":false}}</w:t>
      </w:r>
    </w:p>
    <w:p>
      <w:r>
        <w:t>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pPr>
      <w:r>
        <w:t>Error contract and retries</w:t>
      </w:r>
    </w:p>
    <w:p>
      <w:r>
        <w:t>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pageBreakBefore/>
      </w:pPr>
      <w:r>
        <w:t>13 Threat model and operational limits</w:t>
      </w:r>
    </w:p>
    <w:p>
      <w:r>
        <w:t>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Threat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mitigation and residual limit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Confused deputy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Resolve client identity before dispatch; authorize exact tool, resource and output. Native services see the bridge UID; ADB uses shell authority, not the original MCP principal.</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Local port impersonation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paired server identity with HTTPS where supported. Do not claim random ports or localhost authenticate the bridge. Plain HTTP mode is reduced assurance.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DNS rebinding or browser attack</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Loopback only binding, Host and Origin validation, no permissive CORS, no cookie auth, per request bearer verification. No browser page can pair silently.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Prompt injection or consent spoofing</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Agent text cannot grant policy. Local UI renders escaped text, bounded previews and trusted action labels; approval is bound to an immutable canonical plan.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Credential theft or replay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High entropy secrets, Keystore backed verifier, short setup window, redaction, rotation and immediate revocation. Bearer possession remains impersonation until revoked.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Scope escape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Resolve exact resources, schema hashes and owned handles. Generic and raw Binder calls use the same per-client gate, bounded marshalling and service identity checks; no unvalidated pointer or SQL pass-through.</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Revocation race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Serialized admission boundary, revision recheck, invalidated approvals, canceled streams and no stale replay. Cannot undo a previously dispatched external effect.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Memory or Binder denial of service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Bound request sizes, nested JSON, concurrent calls, pending approvals, output and event buffers. Use deadlines and bounded worker pools, not UI or Binder thread blocking.</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Backup or diagnostic leakage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Private app storage, protected exports, no secrets or raw-payload logging, disabled clients after restore and opt in redacted diagnostics.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Database tampering or downgrade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Constrained schema, integrity checks, version checks and fail closed restore. App sandbox is the baseline; full OS compromise is not solved by these checks.</w:t>
            </w:r>
          </w:p>
        </w:tc>
      </w:tr>
    </w:tbl>
    <w:p>
      <w:pPr>
        <w:spacing w:after="60" w:before="0" w:line="20" w:lineRule="exact"/>
      </w:pPr>
      <w:r>
        <w:rPr>
          <w:sz w:val="2"/>
        </w:rPr>
      </w:r>
    </w:p>
    <w:p>
      <w:pPr>
        <w:pStyle w:val="Heading2"/>
      </w:pPr>
      <w:r>
        <w:t>Logging and data retention</w:t>
      </w:r>
    </w:p>
    <w:p>
      <w:r>
        <w:t>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r>
        <w:t>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pageBreakBefore/>
      </w:pPr>
      <w:r>
        <w:t>14 Configurable call logging per client</w:t>
      </w:r>
    </w:p>
    <w:p>
      <w:r>
        <w:t>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Captured data and limits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Off</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optional call records. Mandatory minimal security/admission audit still applies.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Metadata default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Server-generated call ID, client ID, tool/backend ID, timestamps, duration, bounded decision/outcome code and revision numbers. No headers, targets, argument values or free-text errors.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Redacted diagnostic</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60" w:before="0" w:line="20" w:lineRule="exact"/>
      </w:pPr>
      <w:r>
        <w:rPr>
          <w:sz w:val="2"/>
        </w:rPr>
      </w:r>
    </w:p>
    <w:p>
      <w:pPr>
        <w:pStyle w:val="Heading2"/>
      </w:pPr>
      <w:r>
        <w:t>Logging tab and owner controls</w:t>
      </w:r>
    </w:p>
    <w:p>
      <w:r>
        <w:t>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r>
        <w:t>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pPr>
      <w:r>
        <w:t>SQLite extension</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client_logging_config</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client_call_logs</w:t>
              <w:br/>
              <w:t>PK log_id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logging_counters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optional_dropped_count &gt;= 0; quota_dropped_count &gt;= 0; last_drop_at nullable. Bounded aggregate counters, not one error row per failed log write.</w:t>
            </w:r>
          </w:p>
        </w:tc>
      </w:tr>
    </w:tbl>
    <w:p>
      <w:pPr>
        <w:spacing w:after="60" w:before="0" w:line="20" w:lineRule="exact"/>
      </w:pPr>
      <w:r>
        <w:rPr>
          <w:sz w:val="2"/>
        </w:rPr>
      </w:r>
    </w:p>
    <w:p>
      <w:r>
        <w:t>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pageBreakBefore/>
      </w:pPr>
      <w:r>
        <w:t>Logging lifecycle and failure semantics</w:t>
      </w:r>
    </w:p>
    <w:p>
      <w:r>
        <w:t>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pStyle w:val="Code"/>
        <w:keepNext/>
      </w:pPr>
      <w:r>
        <w:t>effectiveCapture = admissionLoggingCeiling</w:t>
      </w:r>
    </w:p>
    <w:p>
      <w:pPr>
        <w:pStyle w:val="Code"/>
        <w:keepNext/>
      </w:pPr>
      <w:r>
        <w:t xml:space="preserve">                   INTERSECT currentClientLoggingConfig</w:t>
      </w:r>
    </w:p>
    <w:p>
      <w:pPr>
        <w:pStyle w:val="Code"/>
        <w:keepNext/>
      </w:pPr>
      <w:r>
        <w:t xml:space="preserve">                   INTERSECT currentGlobalLimits</w:t>
      </w:r>
    </w:p>
    <w:p>
      <w:pPr>
        <w:pStyle w:val="Code"/>
        <w:keepNext/>
      </w:pPr>
      <w:r>
        <w:t>// Enabling more capture affects new calls only.</w:t>
      </w:r>
    </w:p>
    <w:p>
      <w:pPr>
        <w:pStyle w:val="Code"/>
        <w:keepNext w:val="0"/>
      </w:pPr>
      <w:r>
        <w:t>// Reductions, expiry and revocation affect queued writes immediately.</w:t>
      </w:r>
    </w:p>
    <w:p>
      <w:r>
        <w:t>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pPr>
      <w:r>
        <w:t>Security and data handling</w:t>
      </w:r>
    </w:p>
    <w:p>
      <w:pPr>
        <w:pStyle w:val="ListBullet"/>
      </w:pPr>
      <w:r>
        <w:t>Encrypt diagnostic projections with keys protected by Android Keystore. Use an independently destroyable per-client log-domain key if cryptographic deletion is required. Never reuse the mandatory-audit key for optional-log deletion. Plain SQLite is not encryption.</w:t>
      </w:r>
    </w:p>
    <w:p>
      <w:pPr>
        <w:pStyle w:val="ListBullet"/>
      </w:pPr>
      <w:r>
        <w:t>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pStyle w:val="ListBullet"/>
      </w:pPr>
      <w:r>
        <w:t>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pStyle w:val="ListBullet"/>
      </w:pPr>
      <w:r>
        <w:t>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pPr>
      <w:r>
        <w:t>Failure and deletion behavior</w:t>
      </w:r>
    </w:p>
    <w:p>
      <w:r>
        <w:t>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r>
        <w:t>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pPr>
      <w:r>
        <w:t>Logging acceptance checks</w:t>
      </w:r>
    </w:p>
    <w:p>
      <w:r>
        <w:t>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pageBreakBefore/>
      </w:pPr>
      <w:r>
        <w:t>15 Authorized ADB execution architecture</w:t>
      </w:r>
    </w:p>
    <w:p>
      <w:r>
        <w:t>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pPr>
      <w:r>
        <w:t>Three distinct backend modes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Connection and trust</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primary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External ADB host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runtime optional</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target app embeds an opted-in Avalonia.RemoteControl runtime. A new Android protocol adapter controls only its exposed Avalonia root. This specialized route is not required for arbitrary-app ADB automation. [S20]</w:t>
            </w:r>
          </w:p>
        </w:tc>
      </w:tr>
    </w:tbl>
    <w:p>
      <w:pPr>
        <w:spacing w:after="60" w:before="0" w:line="20" w:lineRule="exact"/>
      </w:pPr>
      <w:r>
        <w:rPr>
          <w:sz w:val="2"/>
        </w:rPr>
      </w:r>
    </w:p>
    <w:p>
      <w:r>
        <w:t>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pPr>
      <w:r>
        <w:t>Pairing and lifecycle</w:t>
      </w:r>
    </w:p>
    <w:p>
      <w:pPr>
        <w:ind w:left="288" w:hanging="288"/>
      </w:pPr>
      <w:r>
        <w:t>1. 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ind w:left="288" w:hanging="288"/>
      </w:pPr>
      <w:r>
        <w:t>2. Use the pairing endpoint only for pairing, then discover the authenticated connect endpoint. Ports may differ and change after reboot, debugging toggle or network changes. Track Unpaired, Paired offline, Connecting, Connected, Locked and Revoked separately.</w:t>
      </w:r>
    </w:p>
    <w:p>
      <w:pPr>
        <w:ind w:left="288" w:hanging="288"/>
      </w:pPr>
      <w:r>
        <w:t>3. Persist the ADB key encrypted under a Keystore-protected wrapping key and exclude it from backup/export/logs. A native ADB implementation may need plaintext key material in process; do not claim the ADB private key is nonexportable or hardware backed unless proven.</w:t>
      </w:r>
    </w:p>
    <w:p>
      <w:pPr>
        <w:ind w:left="288" w:hanging="288"/>
      </w:pPr>
      <w:r>
        <w:t>4. On disconnect, stop admissions that need ADB, cancel bounded collectors and mark dispatched unknown outcomes honestly. Reconnect with the same trusted profile only after endpoint rediscovery and peer verification; never fall back to unauthenticated tcpip 5555.</w:t>
      </w:r>
    </w:p>
    <w:p>
      <w:r>
        <w:t>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pageBreakBefore/>
      </w:pPr>
      <w:r>
        <w:t>ADB connection records and remote host loopback</w:t>
      </w:r>
    </w:p>
    <w:p>
      <w:pPr>
        <w:pStyle w:val="Heading2"/>
      </w:pPr>
      <w:r>
        <w:t>SQLite connection and target profiles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connection_profiles</w:t>
              <w:br/>
              <w:t>PK profile_id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target_app_profiles</w:t>
              <w:br/>
              <w:t>PK target_id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Existing table extensions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60" w:before="0" w:line="20" w:lineRule="exact"/>
      </w:pPr>
      <w:r>
        <w:rPr>
          <w:sz w:val="2"/>
        </w:rPr>
      </w:r>
    </w:p>
    <w:p>
      <w:r>
        <w:t>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pPr>
      <w:r>
        <w:t>External host forwarding</w:t>
      </w:r>
    </w:p>
    <w:p>
      <w:r>
        <w:t>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pStyle w:val="Code"/>
        <w:keepNext/>
      </w:pPr>
      <w:r>
        <w:t>adb -s SERIAL forward --no-rebind tcp:0 tcp:MCP_DEVICE_PORT</w:t>
      </w:r>
    </w:p>
    <w:p>
      <w:pPr>
        <w:pStyle w:val="Code"/>
        <w:keepNext/>
      </w:pPr>
      <w:r>
        <w:t># Capture the allocated host port for the MCP client.</w:t>
      </w:r>
    </w:p>
    <w:p>
      <w:pPr>
        <w:pStyle w:val="Code"/>
        <w:keepNext/>
      </w:pPr>
      <w:r>
        <w:t>adb -s SERIAL forward --no-rebind tcp:0 tcp:RUNTIME_DEVICE_PORT</w:t>
      </w:r>
    </w:p>
    <w:p>
      <w:pPr>
        <w:pStyle w:val="Code"/>
        <w:keepNext/>
      </w:pPr>
      <w:r>
        <w:t># Optional separately authorized runtime debug connection.</w:t>
      </w:r>
    </w:p>
    <w:p>
      <w:pPr>
        <w:pStyle w:val="Code"/>
        <w:keepNext w:val="0"/>
      </w:pPr>
      <w:r>
        <w:t>adb -s SERIAL forward --remove tcp:OWNED_HOST_PORT</w:t>
      </w:r>
    </w:p>
    <w:p>
      <w:r>
        <w:t>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r>
        <w:t>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pageBreakBefore/>
      </w:pPr>
      <w:r>
        <w:t>16 On demand screen state and coordinate taps</w:t>
      </w:r>
    </w:p>
    <w:p>
      <w:r>
        <w:t>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Contract and authorization boundary</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Optional context</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60" w:before="0" w:line="20" w:lineRule="exact"/>
      </w:pPr>
      <w:r>
        <w:rPr>
          <w:sz w:val="2"/>
        </w:rPr>
      </w:r>
    </w:p>
    <w:p>
      <w:pPr>
        <w:pStyle w:val="Heading2"/>
      </w:pPr>
      <w:r>
        <w:t>Coordinate and freshness contract</w:t>
      </w:r>
    </w:p>
    <w:p>
      <w:r>
        <w:t>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r>
        <w:t>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r>
        <w:t>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pPr>
      <w:r>
        <w:t>Dispatch and outcome</w:t>
      </w:r>
    </w:p>
    <w:p>
      <w:r>
        <w:t>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r>
        <w:t>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[S23–S25]</w:t>
      </w:r>
    </w:p>
    <w:p>
      <w:r>
        <w:t>No app-specific workflow or polling scheduler is included. Additional operations exposed by the full binding inventory use their generated/generic contracts and client grants, not newly invented convenience workflows.</w:t>
      </w:r>
    </w:p>
    <w:p>
      <w:pPr>
        <w:pStyle w:val="Heading1"/>
        <w:pageBreakBefore/>
      </w:pPr>
      <w:r>
        <w:t>17 Optional Avalonia RemoteControl integration</w:t>
      </w:r>
    </w:p>
    <w:p>
      <w:r>
        <w:t>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r>
        <w:t>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pPr>
      <w:r>
        <w:t>Target pairing and trust gates</w:t>
      </w:r>
    </w:p>
    <w:p>
      <w:pPr>
        <w:pStyle w:val="ListBullet"/>
      </w:pPr>
      <w:r>
        <w:t>App B must explicitly opt in, enforce enabled/session lifecycle before starting its listener, bind only loopback and require authentication. Leave IsAdbTunnel=false for direct same-device use; do not set it to impersonate an ADB tunnel.</w:t>
      </w:r>
    </w:p>
    <w:p>
      <w:pPr>
        <w:pStyle w:val="ListBullet"/>
      </w:pPr>
      <w:r>
        <w:t>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pStyle w:val="ListBullet"/>
      </w:pPr>
      <w:r>
        <w:t>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pStyle w:val="ListBullet"/>
      </w:pPr>
      <w:r>
        <w:t>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pPr>
      <w:r>
        <w:t>Per-client policy must also guard the runtime route</w:t>
      </w:r>
    </w:p>
    <w:p>
      <w:r>
        <w:t>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r>
        <w:t>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pageBreakBefore/>
      </w:pPr>
      <w:r>
        <w:t>18 Protected consent and integration acceptance</w:t>
      </w:r>
    </w:p>
    <w:p>
      <w:pPr>
        <w:pStyle w:val="Heading2"/>
      </w:pPr>
      <w:r>
        <w:t>Protect management and approval from remote input</w:t>
      </w:r>
    </w:p>
    <w:p>
      <w:r>
        <w:t>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r>
        <w:t>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pPr>
      <w:r>
        <w:t>Required integration evidence</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packaging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Actual Android native client/pairing implementation, .NET 10 interop, shipped ABIs, licensing, TLS/key handling and distribution eligibility. LADB is feasibility evidence only.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and lifecycle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Pair/connect endpoint distinction, changed ports, reboot, debugging toggle, device lock, network changes, disconnect, key deletion and Android-side revocation. No unauthenticated fallback.</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Device-wide policy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Protected consent</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Queued tap/property events cannot enable a client, approve Ask, reveal tokens or export logs. Captures show no protected data. Failure of isolation disables remote mutation.</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Native versus shell authority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Tests prove bridge UID grants and ADB shell rights are separate. Nondebuggable private-data/debugger access and secure-window capture remain blocked.</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Avalonia target mode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Two separate app UIDs pair deliberately. Wrong target identity, token, protocol or signing/version change fails. Per-principal hooks and all action routes are tested; no reliance on global toggles.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forwards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Multiple authorized devices use explicit serials. Ports are loopback-only, --no-rebind prevents takeover, stop removes only owned forwards, and reconnect never trusts a stale endpoint.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Optional logging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Cross-client isolation, mode-change races, quota/retention enforcement and purge/export tested for ADB and runtime calls as well as native tools; screenshots, UI text and secrets never enter diagnostic logs.</w:t>
            </w:r>
          </w:p>
        </w:tc>
      </w:tr>
    </w:tbl>
    <w:p>
      <w:pPr>
        <w:spacing w:after="60" w:before="0" w:line="20" w:lineRule="exact"/>
      </w:pPr>
      <w:r>
        <w:rPr>
          <w:sz w:val="2"/>
        </w:rPr>
      </w:r>
    </w:p>
    <w:p>
      <w:r>
        <w:t>This revision enables no real ADB connection, remote listener, credential or Android setting. It specifies an implementation and validation plan; completion requires the gates above as well as the general acceptance suite.</w:t>
      </w:r>
    </w:p>
    <w:p>
      <w:pPr>
        <w:pStyle w:val="Heading1"/>
        <w:pageBreakBefore/>
      </w:pPr>
      <w:r>
        <w:t>Full binding coverage and generic invocation</w:t>
      </w:r>
    </w:p>
    <w:p>
      <w:r>
        <w:t>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[S29–S32]</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Surface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Mapping and execution contract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SDK and Java bindings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Binder and AIDL</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or restricted interface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Keep descriptor-known/schema-unknown or platform-blocked entries. A schema import can add the method map. Do not infer transaction layouts from a descriptor or claim private service enumeration is complete.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Low-level Binder option</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60" w:before="0" w:line="20" w:lineRule="exact"/>
      </w:pPr>
      <w:r>
        <w:rPr>
          <w:sz w:val="2"/>
        </w:rPr>
      </w:r>
    </w:p>
    <w:p>
      <w:pPr>
        <w:pStyle w:val="Heading2"/>
      </w:pPr>
      <w:r>
        <w:t>Common invocation path</w:t>
      </w:r>
    </w:p>
    <w:p>
      <w:r>
        <w:t>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r>
        <w:t>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r>
        <w:t>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pageBreakBefore/>
      </w:pPr>
      <w:r>
        <w:t>Binding registry storage and completeness tests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binding_sources PK source_id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kind CHECK sdk/aidl/protocol; version; api_level nullable; source_hash UNIQUE; provenance; imported_at; coverage_summary; validation_status. Trusted source installation is a local-owner operation; metadata is not executable plugin code.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binding_definitions PK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source_id FK binding_sources RESTRICT; qualified_name; signature; schema_hash; type_schema_id FK binding_type_schemas; dispatch_kind; interface_descriptor nullable; transaction_code nullable; mapping_state; reason_code nullable; api_min/api_max nullable; declared_requirements_json; requirement_provenance; registry_revision. UNIQUE(source_id, qualified_name, signature).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client_binding_rules PK client_id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tool_binding_aliases PK tool_id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binding_id FK binding_definitions RESTRICT; canonicalization_version; argument_mapping_hash. Generated tools, convenience plans and generic dispatch resolve the same canonical binding IDs.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binding_type_schemas PK type_schema_id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schema_hash UNIQUE; format_version; canonical_schema_json; validation_state. Closed typed definitions include directions, object-reference kinds, sizes and supported marshalling strategy.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binding_availability PK binding_id plus target_key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Nonnullable target_key identifies a platform or target instance; binding_id FK binding_definitions. Observed availability/reason, OS/build identity and checked_at. Cache only, never authority. Per-client grants reference binding IDs/source versions and allowed argument/target constraints.</w:t>
            </w:r>
          </w:p>
        </w:tc>
      </w:tr>
    </w:tbl>
    <w:p>
      <w:pPr>
        <w:spacing w:after="60" w:before="0" w:line="20" w:lineRule="exact"/>
      </w:pPr>
      <w:r>
        <w:rPr>
          <w:sz w:val="2"/>
        </w:rPr>
      </w:r>
    </w:p>
    <w:p>
      <w:pPr>
        <w:pStyle w:val="Heading2"/>
      </w:pPr>
      <w:r>
        <w:t>Catalog artifact import contract</w:t>
      </w:r>
    </w:p>
    <w:p>
      <w:r>
        <w:t>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pageBreakBefore/>
      </w:pPr>
      <w:r>
        <w:t>Binding permissions metadata and validation</w:t>
      </w:r>
    </w:p>
    <w:p>
      <w:r>
        <w:t>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r>
        <w:t>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[S33–S35]</w:t>
      </w:r>
    </w:p>
    <w:p>
      <w:r>
        <w:t>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[S29–S32]</w:t>
      </w:r>
    </w:p>
    <w:p>
      <w:r>
        <w:t>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r>
        <w:t>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pPr>
      <w:r>
        <w:t>Acceptance evidence</w:t>
      </w:r>
    </w:p>
    <w:p>
      <w:r>
        <w:t>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pageBreakBefore/>
      </w:pPr>
      <w:r>
        <w:t>Catalog compatibility and administration API</w:t>
      </w:r>
    </w:p>
    <w:p>
      <w:r>
        <w:t>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pPr>
      <w:r>
        <w:t>Forward compatible catalog records</w:t>
      </w:r>
    </w:p>
    <w:p>
      <w:r>
        <w:t>Use an extensible permission expression tree: permission, allOf, anyOf, conditional, read/write, manual enforcement, declared none and unknown, each with provenance and applicability. Preserve unrecognized extension nodes for round-trip storage, but report them unsupported for evaluation; unknown is never equivalent to permission-free. Readers reject unsupported major formats and negotiate documented additive minor changes. Migrations retain immutable source history.</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Storage record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Purpose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catalog_snapshots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Immutable imported source set, source revisions/hashes, format version, coverage manifest and import status. Google-imported facts are never overwritten in place.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catalog_overlays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Stable entry ID, base snapshot/hash, overlay revision, local additions or patches, tombstone flag and provenance. Effective entries combine the selected immutable base with validated owner changes.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catalog_change_events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Actor, request ID, before/after revision, change kind, timestamp and publish result. Minimal audit; never store credentials or device-call payloads here.</w:t>
            </w:r>
          </w:p>
        </w:tc>
      </w:tr>
    </w:tbl>
    <w:p>
      <w:pPr>
        <w:spacing w:after="60" w:before="0" w:line="20" w:lineRule="exact"/>
      </w:pPr>
      <w:r>
        <w:rPr>
          <w:sz w:val="2"/>
        </w:rPr>
      </w:r>
    </w:p>
    <w:p>
      <w:pPr>
        <w:pStyle w:val="Heading2"/>
      </w:pPr>
      <w:r>
        <w:t>Separate catalog CRUD API</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API shape</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GET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Paged searchable effective entries; expose source versus overlay and mapping status. GET by ID returns ETag and exact revision.</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POST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Create a local entry with a stable client-independent ID, source/provenance and validated type/permission schemas. Reject conflicts and unsupported execution definitions.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PATCH or PUT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If-Match; write a local overlay or replacement local record, never mutate an imported snapshot. Stale versions return 412; invalid schemas return a structured validation error.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DELETE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If-Match and create an effective tombstone/disable mapping. Preserve imported history and referenced IDs; revoke execution eligibility rather than bypassing foreign keys.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POST /catalog-admin/v1/publish</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a staged change set and atomically publish its registry revision, audit/outbox and affected approval invalidation. Failed validation leaves the active registry unchanged.</w:t>
            </w:r>
          </w:p>
        </w:tc>
      </w:tr>
    </w:tbl>
    <w:p>
      <w:pPr>
        <w:spacing w:after="60" w:before="0" w:line="20" w:lineRule="exact"/>
      </w:pPr>
      <w:r>
        <w:rPr>
          <w:sz w:val="2"/>
        </w:rPr>
      </w:r>
    </w:p>
    <w:p>
      <w:r>
        <w:t>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r>
        <w:t>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pageBreakBefore/>
      </w:pPr>
      <w:r>
        <w:t>19 Acceptance tests and delivery sequence</w:t>
      </w:r>
    </w:p>
    <w:p>
      <w:r>
        <w:t>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Test area</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properties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client/tool/schema, empty scopes and unknown constraint keys deny. Global deny dominates. Ask never widens scope. Output fields and pagination remain constrained.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 binding</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Changing any argument, target, output field, credential epoch, policy revision or schema invalidates approval. Concurrent double use admits once. Expiry survives clock rollback; restart invalidates all approvals.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Authorization races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Barrier tests race Apply/Revoke with admission and SSE emission. No request admitted after the revocation commit uses old authority. In flight outcomes are labeled accurately.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Identity and transport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Spoofed clientInfo or package header cannot choose another principal. Missing auth, cross client session IDs, hostile Origin/Host, reconnect and oversized JSON are rejected.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Endpoint identity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fake listener on the old port cannot obtain a credential in the preferred paired TLS profile. Compatibility clients and any lower assurance mode are explicitly documented.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SQLite durability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Constraint failures roll back all rule changes. Conflict edits never overwrite silently. Crash injection covers migration, policy commit, admission and outbox delivery; no permissive fallback.</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integration</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Lifecycle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Test rotation, activity recreation, backgrounding, process kill, force stop, reboot, device lock and approved foreground service mode across supported Android versions and vendor devices.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UI accessibility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Phone and tablet, large text, screen reader and keyboard navigation work. Deny/Ask/Allow remains distinct from OS status. Dirty drafts, conflicts, revocation and expiry are understandable.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Privacy and performance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Automated secret canaries never appear in logs/exports. Limits stop queue growth. Measure request overhead, DB contention, memory and battery before setting service level targets.</w:t>
            </w:r>
          </w:p>
        </w:tc>
      </w:tr>
    </w:tbl>
    <w:p>
      <w:pPr>
        <w:spacing w:after="60" w:before="0" w:line="20" w:lineRule="exact"/>
      </w:pPr>
      <w:r>
        <w:rPr>
          <w:sz w:val="2"/>
        </w:rPr>
      </w:r>
    </w:p>
    <w:p>
      <w:pPr>
        <w:pStyle w:val="Heading2"/>
      </w:pPr>
      <w:r>
        <w:t>Delivery sequence and exit criteria</w:t>
      </w:r>
    </w:p>
    <w:p>
      <w:pPr>
        <w:ind w:left="288" w:hanging="288"/>
      </w:pPr>
      <w:r>
        <w:t>1. Compatibility spike: prove Avalonia 12 Android release build, persistent/boot service, HTTP host, MCP baseline, SQLite, Keystore and full-source registry generation. Exit with supported device/client matrix and exact pinned versions.</w:t>
      </w:r>
    </w:p>
    <w:p>
      <w:pPr>
        <w:ind w:left="288" w:hanging="288"/>
      </w:pPr>
      <w:r>
        <w:t>2. Security core: implement policy shared by generated/generic/raw paths, marshalling, handle ownership, approvals, transactional edits and fake adapters. Exit with deterministic race and property tests passing.</w:t>
      </w:r>
    </w:p>
    <w:p>
      <w:pPr>
        <w:ind w:left="288" w:hanging="288"/>
      </w:pPr>
      <w:r>
        <w:t>3. Vertical slice: pair one MCP client and a self-ADB profile, read screen.state and issue one authorized input.tap against a test app. Verify image coordinates, stale-reference rejection, direct mode, unknown outcomes and configured Allow versus Ask.</w:t>
      </w:r>
    </w:p>
    <w:p>
      <w:pPr>
        <w:ind w:left="288" w:hanging="288"/>
      </w:pPr>
      <w:r>
        <w:t>4. 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pageBreakBefore/>
      </w:pPr>
      <w:r>
        <w:t>20 Decisions and source references</w:t>
      </w:r>
    </w:p>
    <w:p>
      <w:pPr>
        <w:pStyle w:val="Heading2"/>
      </w:pPr>
      <w:r>
        <w:t>Decisions to settle before implementation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Decision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Recommended starting point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Exposed surface</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Complete declared SDK/AIDL/protocol inventory with generated and generic invocation; screen.state/input.tap and native wrappers are conveniences, not a curated limit.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authentication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Manual paired bearer profile for compatible on device agents; preferred pinned loopback TLS. Add standards based authorization only when required by target clients.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availability</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Persistent foreground MCP service independent of UI, optional boot start, truthful AppBar/status notification, restart recovery and explicit OS-blocked states.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support floor</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 after compatibility spike and intended device inventory. Test real supported devices; do not infer support from successful desktop tests.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Privacy level</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Local minimal audit and disabled client restore. Decide whether sensitive scope identifiers require encrypted storage and exports.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Partner Binder integration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Native Binder needs a known contract. Arbitrary-app UI control uses authorized ADB; optional Avalonia.RemoteControl requires an instrumented target and extra integration gates.</w:t>
            </w:r>
          </w:p>
        </w:tc>
      </w:tr>
    </w:tbl>
    <w:p>
      <w:pPr>
        <w:spacing w:after="60" w:before="0" w:line="20" w:lineRule="exact"/>
      </w:pPr>
      <w:r>
        <w:rPr>
          <w:sz w:val="2"/>
        </w:rPr>
      </w:r>
    </w:p>
    <w:p>
      <w:pPr>
        <w:pStyle w:val="Heading2"/>
      </w:pPr>
      <w:r>
        <w:t>Primary references</w:t>
      </w:r>
    </w:p>
    <w:p>
      <w:r>
        <w:t>Platform facts were checked against the following primary documentation on 26 October 2026. References are linked by title. Numeric limits, project names, UI layouts and policy semantics in this document are proposed design choices, not vendor requirements.</w:t>
      </w:r>
    </w:p>
    <w:p>
      <w:hyperlink r:id="rId10">
        <w:r>
          <w:rPr>
            <w:color w:val="244156"/>
          </w:rPr>
          <w:t>[S1] Avalonia 12 breaking changes and Android .NET requirement</w:t>
        </w:r>
      </w:hyperlink>
    </w:p>
    <w:p>
      <w:hyperlink r:id="rId11">
        <w:r>
          <w:rPr>
            <w:color w:val="244156"/>
          </w:rPr>
          <w:t>[S2] Microsoft Data Sqlite custom versions and native providers</w:t>
        </w:r>
      </w:hyperlink>
    </w:p>
    <w:p>
      <w:hyperlink r:id="rId12">
        <w:r>
          <w:rPr>
            <w:color w:val="244156"/>
          </w:rPr>
          <w:t>[S3] Android foreground service types and prerequisites</w:t>
        </w:r>
      </w:hyperlink>
    </w:p>
    <w:p>
      <w:hyperlink r:id="rId13">
        <w:r>
          <w:rPr>
            <w:color w:val="244156"/>
          </w:rPr>
          <w:t>[S4] MCP 2025 11 25 Streamable HTTP transport specification</w:t>
        </w:r>
      </w:hyperlink>
    </w:p>
    <w:p>
      <w:hyperlink r:id="rId14">
        <w:r>
          <w:rPr>
            <w:color w:val="244156"/>
          </w:rPr>
          <w:t>[S5] MCP 2025 11 25 authorization specification</w:t>
        </w:r>
      </w:hyperlink>
    </w:p>
    <w:p>
      <w:hyperlink r:id="rId15">
        <w:r>
          <w:rPr>
            <w:color w:val="244156"/>
          </w:rPr>
          <w:t>[S6] Android security checklist and application permissions</w:t>
        </w:r>
      </w:hyperlink>
    </w:p>
    <w:p>
      <w:hyperlink r:id="rId16">
        <w:r>
          <w:rPr>
            <w:color w:val="244156"/>
          </w:rPr>
          <w:t>[S7] Android foreground service background start restrictions</w:t>
        </w:r>
      </w:hyperlink>
    </w:p>
    <w:p>
      <w:hyperlink r:id="rId17">
        <w:r>
          <w:rPr>
            <w:color w:val="244156"/>
          </w:rPr>
          <w:t>[S8] SQLite foreign key support and connection settings</w:t>
        </w:r>
      </w:hyperlink>
    </w:p>
    <w:p>
      <w:hyperlink r:id="rId18">
        <w:r>
          <w:rPr>
            <w:color w:val="244156"/>
          </w:rPr>
          <w:t>[S9] SQLite write ahead logging and checkpointing</w:t>
        </w:r>
      </w:hyperlink>
    </w:p>
    <w:p>
      <w:hyperlink r:id="rId19">
        <w:r>
          <w:rPr>
            <w:color w:val="244156"/>
          </w:rPr>
          <w:t>[S10] Android Keystore security properties</w:t>
        </w:r>
      </w:hyperlink>
    </w:p>
    <w:p>
      <w:hyperlink r:id="rId20">
        <w:r>
          <w:rPr>
            <w:color w:val="244156"/>
          </w:rPr>
          <w:t>[S11] SQLite online backup API</w:t>
        </w:r>
      </w:hyperlink>
    </w:p>
    <w:p>
      <w:hyperlink r:id="rId21">
        <w:r>
          <w:rPr>
            <w:color w:val="244156"/>
          </w:rPr>
          <w:t>[S12] Android Contacts Provider overview</w:t>
        </w:r>
      </w:hyperlink>
    </w:p>
    <w:p>
      <w:hyperlink r:id="rId22">
        <w:r>
          <w:rPr>
            <w:color w:val="244156"/>
          </w:rPr>
          <w:t>[S13] Android AIDL contracts and threading</w:t>
        </w:r>
      </w:hyperlink>
    </w:p>
    <w:p>
      <w:hyperlink r:id="rId23">
        <w:r>
          <w:rPr>
            <w:color w:val="244156"/>
          </w:rPr>
          <w:t>[S14] Android backup and device transfer rules</w:t>
        </w:r>
      </w:hyperlink>
    </w:p>
    <w:p>
      <w:hyperlink r:id="rId24">
        <w:r>
          <w:rPr>
            <w:color w:val="244156"/>
          </w:rPr>
          <w:t>[S15] Android Settings System brightness and write permission</w:t>
        </w:r>
      </w:hyperlink>
    </w:p>
    <w:p>
      <w:hyperlink r:id="rId25">
        <w:r>
          <w:rPr>
            <w:color w:val="244156"/>
          </w:rPr>
          <w:t>[S16] Android sensors framework and lifecycle</w:t>
        </w:r>
      </w:hyperlink>
    </w:p>
    <w:p>
      <w:pPr>
        <w:pStyle w:val="Heading1"/>
        <w:pageBreakBefore/>
      </w:pPr>
      <w:r>
        <w:t>Integration source references</w:t>
      </w:r>
    </w:p>
    <w:p>
      <w:r>
        <w:t>Additional sources for the authorized ADB and specialized Avalonia runtime designs. Upstream implementation details describe the inspected source, not an established compatibility guarantee for this bridge.</w:t>
      </w:r>
    </w:p>
    <w:p>
      <w:hyperlink r:id="rId26">
        <w:r>
          <w:rPr>
            <w:color w:val="244156"/>
          </w:rPr>
          <w:t>[S17] LADB local Android Debug Bridge feasibility example</w:t>
        </w:r>
      </w:hyperlink>
    </w:p>
    <w:p>
      <w:hyperlink r:id="rId27">
        <w:r>
          <w:rPr>
            <w:color w:val="244156"/>
          </w:rPr>
          <w:t>[S18] Android wireless debugging architecture and pairing</w:t>
        </w:r>
      </w:hyperlink>
    </w:p>
    <w:p>
      <w:hyperlink r:id="rId28">
        <w:r>
          <w:rPr>
            <w:color w:val="244156"/>
          </w:rPr>
          <w:t>[S19] AOSP adb command manual and forwarding</w:t>
        </w:r>
      </w:hyperlink>
    </w:p>
    <w:p>
      <w:hyperlink r:id="rId29">
        <w:r>
          <w:rPr>
            <w:color w:val="244156"/>
          </w:rPr>
          <w:t>[S20] Avalonia RemoteControl Android bridge architecture</w:t>
        </w:r>
      </w:hyperlink>
    </w:p>
    <w:p>
      <w:hyperlink r:id="rId30">
        <w:r>
          <w:rPr>
            <w:color w:val="244156"/>
          </w:rPr>
          <w:t>[S21] Android secure activity and capture protections</w:t>
        </w:r>
      </w:hyperlink>
    </w:p>
    <w:p>
      <w:hyperlink r:id="rId31">
        <w:r>
          <w:rPr>
            <w:color w:val="244156"/>
          </w:rPr>
          <w:t>[S23] AOSP input shell command implementation</w:t>
        </w:r>
      </w:hyperlink>
    </w:p>
    <w:p>
      <w:hyperlink r:id="rId32">
        <w:r>
          <w:rPr>
            <w:color w:val="244156"/>
          </w:rPr>
          <w:t>[S24] Android debugger eligibility and setup</w:t>
        </w:r>
      </w:hyperlink>
    </w:p>
    <w:p>
      <w:hyperlink r:id="rId33">
        <w:r>
          <w:rPr>
            <w:color w:val="244156"/>
          </w:rPr>
          <w:t>[S25] AOSP run as command restrictions</w:t>
        </w:r>
      </w:hyperlink>
    </w:p>
    <w:p>
      <w:hyperlink r:id="rId34">
        <w:r>
          <w:rPr>
            <w:color w:val="244156"/>
          </w:rPr>
          <w:t>[S26] Pele renderer API</w:t>
        </w:r>
      </w:hyperlink>
    </w:p>
    <w:p>
      <w:hyperlink r:id="rId35">
        <w:r>
          <w:rPr>
            <w:color w:val="244156"/>
          </w:rPr>
          <w:t>[S27] Android 15 foreground service changes</w:t>
        </w:r>
      </w:hyperlink>
    </w:p>
    <w:p>
      <w:hyperlink r:id="rId36">
        <w:r>
          <w:rPr>
            <w:color w:val="244156"/>
          </w:rPr>
          <w:t>[S28] Android notification runtime permission</w:t>
        </w:r>
      </w:hyperlink>
    </w:p>
    <w:p>
      <w:hyperlink r:id="rId37">
        <w:r>
          <w:rPr>
            <w:color w:val="244156"/>
          </w:rPr>
          <w:t>[S29] .NET Android Java binding metadata</w:t>
        </w:r>
      </w:hyperlink>
    </w:p>
    <w:p>
      <w:hyperlink r:id="rId38">
        <w:r>
          <w:rPr>
            <w:color w:val="244156"/>
          </w:rPr>
          <w:t>[S30] Android IBinder interface</w:t>
        </w:r>
      </w:hyperlink>
    </w:p>
    <w:p>
      <w:hyperlink r:id="rId39">
        <w:r>
          <w:rPr>
            <w:color w:val="244156"/>
          </w:rPr>
          <w:t>[S31] Stable AIDL version and hash</w:t>
        </w:r>
      </w:hyperlink>
    </w:p>
    <w:p>
      <w:hyperlink r:id="rId40">
        <w:r>
          <w:rPr>
            <w:color w:val="244156"/>
          </w:rPr>
          <w:t>[S32] Android non SDK interface restrictions</w:t>
        </w:r>
      </w:hyperlink>
    </w:p>
    <w:p>
      <w:hyperlink r:id="rId41">
        <w:r>
          <w:rPr>
            <w:color w:val="244156"/>
          </w:rPr>
          <w:t>[S33] Android RequiresPermission annotation</w:t>
        </w:r>
      </w:hyperlink>
    </w:p>
    <w:p>
      <w:hyperlink r:id="rId42">
        <w:r>
          <w:rPr>
            <w:color w:val="244156"/>
          </w:rPr>
          <w:t>[S34] AOSP AIDL permission annotation definitions</w:t>
        </w:r>
      </w:hyperlink>
    </w:p>
    <w:p>
      <w:hyperlink r:id="rId43">
        <w:r>
          <w:rPr>
            <w:color w:val="244156"/>
          </w:rPr>
          <w:t>[S35] AOSP AppOps design and permission interactions</w:t>
        </w:r>
      </w:hyperlink>
    </w:p>
    <w:p>
      <w:r>
        <w:t>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sectPr>
          <w:footerReference w:type="default" r:id="rId9"/>
          <w:pgSz w:w="12240" w:h="15840"/>
          <w:pgMar w:top="936" w:right="1008" w:bottom="936" w:left="1008" w:header="360" w:footer="360" w:gutter="0"/>
          <w:cols w:space="720"/>
          <w:docGrid w:linePitch="360"/>
        </w:sectPr>
      </w:pPr>
    </w:p>
    <w:p>
      <w:pPr>
        <w:pStyle w:val="Heading1"/>
      </w:pPr>
      <w:r>
        <w:t>Persistent MCP and binding architecture</w:t>
      </w:r>
    </w:p>
    <w:p>
      <w:r>
        <w:t>The generated registry exposes the declared binding surface. Every invocation shares policy; ADB supplies generic screen state and taps, and Avalonia runtime is optional.</w:t>
      </w:r>
    </w:p>
    <w:p>
      <w:pPr>
        <w:jc w:val="center"/>
      </w:pPr>
      <w:r>
        <w:drawing>
          <wp:inline xmlns:a="http://schemas.openxmlformats.org/drawingml/2006/main" xmlns:pic="http://schemas.openxmlformats.org/drawingml/2006/picture">
            <wp:extent cx="8869680" cy="5087662"/>
            <wp:docPr id="1" name="Picture 1" descr="The generated registry exposes the declared binding surface. Every invocation shares policy; ADB supplies generic screen state and taps, and Avalonia runtime is optional."/>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8869680" cy="5087662"/>
                    </a:xfrm>
                    <a:prstGeom prst="rect"/>
                  </pic:spPr>
                </pic:pic>
              </a:graphicData>
            </a:graphic>
          </wp:inline>
        </w:drawing>
      </w:r>
    </w:p>
    <w:p>
      <w:r>
        <w:t>Rendered with Pele 1.10.0 from the editable Mermaid source in the portable bundle.</w:t>
      </w:r>
    </w:p>
    <w:p>
      <w:pPr>
        <w:sectPr>
          <w:pgSz w:w="15840" w:h="12240" w:orient="landscape"/>
          <w:pgMar w:top="864" w:right="936" w:bottom="864" w:left="936" w:header="360" w:footer="360" w:gutter="0"/>
          <w:cols w:space="720"/>
          <w:docGrid w:linePitch="360"/>
        </w:sectPr>
      </w:pPr>
    </w:p>
    <w:p>
      <w:pPr>
        <w:pStyle w:val="Heading1"/>
      </w:pPr>
      <w:r>
        <w:t>Request approval and execution</w:t>
      </w:r>
    </w:p>
    <w:p>
      <w:r>
        <w:t>The local owner approves immutable Ask requests. Logging is optional and bounded; mandatory admission audit precedes dispatch.</w:t>
      </w:r>
    </w:p>
    <w:p>
      <w:pPr>
        <w:jc w:val="center"/>
      </w:pPr>
      <w:r>
        <w:drawing>
          <wp:inline xmlns:a="http://schemas.openxmlformats.org/drawingml/2006/main" xmlns:pic="http://schemas.openxmlformats.org/drawingml/2006/picture">
            <wp:extent cx="5923221" cy="5349239"/>
            <wp:docPr id="2" name="Picture 2" descr="The local owner approves immutable Ask requests. Logging is optional and bounded; mandatory admission audit precedes dispatch."/>
            <wp:cNvGraphicFramePr>
              <a:graphicFrameLocks noChangeAspect="1"/>
            </wp:cNvGraphicFramePr>
            <a:graphic>
              <a:graphicData uri="http://schemas.openxmlformats.org/drawingml/2006/picture">
                <pic:pic>
                  <pic:nvPicPr>
                    <pic:cNvPr id="0" name="request-sequence.png"/>
                    <pic:cNvPicPr/>
                  </pic:nvPicPr>
                  <pic:blipFill>
                    <a:blip r:embed="rId45"/>
                    <a:stretch>
                      <a:fillRect/>
                    </a:stretch>
                  </pic:blipFill>
                  <pic:spPr>
                    <a:xfrm>
                      <a:off x="0" y="0"/>
                      <a:ext cx="5923221" cy="5349239"/>
                    </a:xfrm>
                    <a:prstGeom prst="rect"/>
                  </pic:spPr>
                </pic:pic>
              </a:graphicData>
            </a:graphic>
          </wp:inline>
        </w:drawing>
      </w:r>
    </w:p>
    <w:p>
      <w:r>
        <w:t>Rendered with Pele 1.10.0 from the editable Mermaid source in the portable bundle.</w:t>
      </w:r>
    </w:p>
    <w:sectPr w:rsidR="00FC693F" w:rsidRPr="0006063C" w:rsidSect="00034616">
      <w:pgSz w:w="15840" w:h="12240" w:orient="landscape"/>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valoniaui.net/docs/avalonia12-breaking-changes" TargetMode="External"/><Relationship Id="rId11" Type="http://schemas.openxmlformats.org/officeDocument/2006/relationships/hyperlink" Target="https://learn.microsoft.com/en-us/dotnet/standard/data/sqlite/custom-versions" TargetMode="External"/><Relationship Id="rId12" Type="http://schemas.openxmlformats.org/officeDocument/2006/relationships/hyperlink" Target="https://developer.android.com/develop/background-work/services/fgs/service-types" TargetMode="External"/><Relationship Id="rId13" Type="http://schemas.openxmlformats.org/officeDocument/2006/relationships/hyperlink" Target="https://modelcontextprotocol.io/specification/2025-11-25/basic/transports" TargetMode="External"/><Relationship Id="rId14" Type="http://schemas.openxmlformats.org/officeDocument/2006/relationships/hyperlink" Target="https://modelcontextprotocol.io/specification/2025-11-25/basic/authorization" TargetMode="External"/><Relationship Id="rId15" Type="http://schemas.openxmlformats.org/officeDocument/2006/relationships/hyperlink" Target="https://developer.android.com/privacy-and-security/security-tips" TargetMode="External"/><Relationship Id="rId16" Type="http://schemas.openxmlformats.org/officeDocument/2006/relationships/hyperlink" Target="https://developer.android.com/develop/background-work/services/fgs/restrictions-bg-start" TargetMode="External"/><Relationship Id="rId17" Type="http://schemas.openxmlformats.org/officeDocument/2006/relationships/hyperlink" Target="https://www.sqlite.org/foreignkeys.html" TargetMode="External"/><Relationship Id="rId18" Type="http://schemas.openxmlformats.org/officeDocument/2006/relationships/hyperlink" Target="https://www.sqlite.org/wal.html" TargetMode="External"/><Relationship Id="rId19" Type="http://schemas.openxmlformats.org/officeDocument/2006/relationships/hyperlink" Target="https://developer.android.com/privacy-and-security/keystore" TargetMode="External"/><Relationship Id="rId20" Type="http://schemas.openxmlformats.org/officeDocument/2006/relationships/hyperlink" Target="https://www.sqlite.org/backup.html" TargetMode="External"/><Relationship Id="rId21" Type="http://schemas.openxmlformats.org/officeDocument/2006/relationships/hyperlink" Target="https://developer.android.com/identity/providers/contacts-provider" TargetMode="External"/><Relationship Id="rId22" Type="http://schemas.openxmlformats.org/officeDocument/2006/relationships/hyperlink" Target="https://developer.android.com/develop/background-work/services/aidl" TargetMode="External"/><Relationship Id="rId23" Type="http://schemas.openxmlformats.org/officeDocument/2006/relationships/hyperlink" Target="https://developer.android.com/identity/data/autobackup" TargetMode="External"/><Relationship Id="rId24" Type="http://schemas.openxmlformats.org/officeDocument/2006/relationships/hyperlink" Target="https://developer.android.com/reference/android/provider/Settings.System" TargetMode="External"/><Relationship Id="rId25" Type="http://schemas.openxmlformats.org/officeDocument/2006/relationships/hyperlink" Target="https://developer.android.com/develop/sensors-and-location/sensors/sensors_overview" TargetMode="External"/><Relationship Id="rId26" Type="http://schemas.openxmlformats.org/officeDocument/2006/relationships/hyperlink" Target="https://github.com/tytydraco/LADB" TargetMode="External"/><Relationship Id="rId27" Type="http://schemas.openxmlformats.org/officeDocument/2006/relationships/hyperlink" Target="https://android.googlesource.com/platform/packages/modules/adb/+/HEAD/docs/dev/adb_wifi.md" TargetMode="External"/><Relationship Id="rId28" Type="http://schemas.openxmlformats.org/officeDocument/2006/relationships/hyperlink" Target="https://android.googlesource.com/platform/packages/modules/adb/+/HEAD/docs/user/adb.1.md" TargetMode="External"/><Relationship Id="rId29" Type="http://schemas.openxmlformats.org/officeDocument/2006/relationships/hyperlink" Target="https://github.com/sharpninja/Avalonia.RemoteControl/blob/master/docs/architecture/android-bridge-transport.md" TargetMode="External"/><Relationship Id="rId30" Type="http://schemas.openxmlformats.org/officeDocument/2006/relationships/hyperlink" Target="https://developer.android.com/security/fraud-prevention/activities" TargetMode="External"/><Relationship Id="rId31" Type="http://schemas.openxmlformats.org/officeDocument/2006/relationships/hyperlink" Target="https://android.googlesource.com/platform/frameworks/base/+/master/services/core/java/com/android/server/input/InputShellCommand.java" TargetMode="External"/><Relationship Id="rId32" Type="http://schemas.openxmlformats.org/officeDocument/2006/relationships/hyperlink" Target="https://developer.android.com/studio/debug" TargetMode="External"/><Relationship Id="rId33" Type="http://schemas.openxmlformats.org/officeDocument/2006/relationships/hyperlink" Target="https://android.googlesource.com/platform/system/core.git/+/refs/heads/master/run-as/run-as.cpp" TargetMode="External"/><Relationship Id="rId34" Type="http://schemas.openxmlformats.org/officeDocument/2006/relationships/hyperlink" Target="https://pele.run/api" TargetMode="External"/><Relationship Id="rId35" Type="http://schemas.openxmlformats.org/officeDocument/2006/relationships/hyperlink" Target="https://developer.android.com/about/versions/15/behavior-changes-15" TargetMode="External"/><Relationship Id="rId36" Type="http://schemas.openxmlformats.org/officeDocument/2006/relationships/hyperlink" Target="https://developer.android.com/develop/ui/views/notifications/notification-permission" TargetMode="External"/><Relationship Id="rId37" Type="http://schemas.openxmlformats.org/officeDocument/2006/relationships/hyperlink" Target="https://learn.microsoft.com/en-us/dotnet/android/binding-libs/customizing-bindings/java-bindings-metadata" TargetMode="External"/><Relationship Id="rId38" Type="http://schemas.openxmlformats.org/officeDocument/2006/relationships/hyperlink" Target="https://developer.android.com/reference/android/os/IBinder" TargetMode="External"/><Relationship Id="rId39" Type="http://schemas.openxmlformats.org/officeDocument/2006/relationships/hyperlink" Target="https://source.android.com/docs/core/architecture/aidl/stable-aidl" TargetMode="External"/><Relationship Id="rId40" Type="http://schemas.openxmlformats.org/officeDocument/2006/relationships/hyperlink" Target="https://developer.android.com/guide/app-compatibility/restrictions-non-sdk-interfaces" TargetMode="External"/><Relationship Id="rId41" Type="http://schemas.openxmlformats.org/officeDocument/2006/relationships/hyperlink" Target="https://developer.android.com/reference/androidx/annotation/RequiresPermission" TargetMode="External"/><Relationship Id="rId42" Type="http://schemas.openxmlformats.org/officeDocument/2006/relationships/hyperlink" Target="https://android.googlesource.com/platform/system/tools/aidl/+/b4c7f74eef3a44858749ea3400412c7f258fe476/aidl_language.cpp" TargetMode="External"/><Relationship Id="rId43" Type="http://schemas.openxmlformats.org/officeDocument/2006/relationships/hyperlink" Target="https://android.googlesource.com/platform/frameworks/base/+/refs/heads/main/core/java/android/app/AppOps.md" TargetMode="External"/><Relationship Id="rId44" Type="http://schemas.openxmlformats.org/officeDocument/2006/relationships/image" Target="media/image1.png"/><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