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c="http://schemas.microsoft.com/office/word/2010/wordprocessingCanvas" xmlns:mo="http://schemas.microsoft.com/office/mac/office/2008/main" xmlns:mc="http://schemas.openxmlformats.org/markup-compatibility/2006" xmlns:mv="urn:schemas-microsoft-com:mac:vml"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body>
    <w:p>
      <w:pPr>
        <w:pStyle w:val="Title"/>
        <w:spacing w:after="90" w:line="260" w:lineRule="auto"/>
      </w:pPr>
      <w:r>
        <w:rPr>
          <w:rFonts w:ascii="DejaVu Sans" w:hAnsi="DejaVu Sans"/>
          <w:b/>
          <w:sz w:val="44"/>
        </w:rPr>
        <w:t xml:space="preserve">Android MCP bridge design</w:t>
      </w:r>
    </w:p>
    <w:p>
      <w:pPr>
        <w:spacing w:after="90" w:line="260" w:lineRule="auto"/>
      </w:pPr>
      <w:r>
        <w:rPr>
          <w:rFonts w:ascii="DejaVu Sans" w:hAnsi="DejaVu Sans"/>
          <w:sz w:val="21"/>
        </w:rPr>
        <w:t xml:space="preserve">Avalonia 12 permission management and SQLite client configuration</w:t>
      </w:r>
    </w:p>
    <w:p>
      <w:pPr>
        <w:spacing w:after="90" w:line="260" w:lineRule="auto"/>
      </w:pPr>
      <w:r>
        <w:rPr>
          <w:rFonts w:ascii="DejaVu Sans" w:hAnsi="DejaVu Sans"/>
          <w:sz w:val="21"/>
        </w:rPr>
        <w:t xml:space="preserve">Design specification  •  27 October 2026  •  Architecture, catalog and reference implementation; Android runtime not deployed</w:t>
      </w:r>
    </w:p>
    <w:p>
      <w:pPr>
        <w:pStyle w:val="Heading1"/>
        <w:keepNext/>
        <w:spacing w:after="90" w:line="260" w:lineRule="auto"/>
      </w:pPr>
      <w:r>
        <w:rPr>
          <w:rFonts w:ascii="DejaVu Sans" w:hAnsi="DejaVu Sans"/>
          <w:b/>
          <w:sz w:val="30"/>
        </w:rPr>
        <w:t xml:space="preserve">1 Recommended design</w:t>
      </w:r>
    </w:p>
    <w:p>
      <w:pPr>
        <w:spacing w:after="90" w:line="260" w:lineRule="auto"/>
      </w:pPr>
      <w:r>
        <w:rPr>
          <w:rFonts w:ascii="DejaVu Sans" w:hAnsi="DejaVu Sans"/>
          <w:sz w:val="21"/>
        </w:rPr>
        <w:t xml:space="preserve">Build an Android application that maps the full declared Android binding surface, rather than a curated list of hand-written bindings, and exposes it through MCP. The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Avalonia 12 manages permissions; SQLite stores client, target, connection and logging configuration.</w:t>
      </w:r>
    </w:p>
    <w:p>
      <w:pPr>
        <w:spacing w:after="90" w:line="260" w:lineRule="auto"/>
      </w:pPr>
      <w:r>
        <w:rPr>
          <w:rFonts w:ascii="DejaVu Sans" w:hAnsi="DejaVu Sans"/>
          <w:sz w:val="21"/>
        </w:rPr>
        <w:t xml:space="preserve">At startup, resolve the running device's version-compatible bindings and types into an atomic view, retaining the complete inventory with unavailable/unknown reasons. Generic Binder invocation requires verified wire contracts and codecs plus the shared policy/admission gate; availability never grants authority.</w:t>
      </w:r>
    </w:p>
    <w:p>
      <w:pPr>
        <w:spacing w:after="90" w:line="260" w:lineRule="auto"/>
      </w:pPr>
      <w:r>
        <w:rPr>
          <w:rFonts w:ascii="DejaVu Sans" w:hAnsi="DejaVu Sans"/>
          <w:sz w:val="21"/>
        </w:rPr>
        <w:t xml:space="preserve">Expose a small stable discovery and invocation surface by default. Agents locate small functional tool groups for their job and activate coherent manifests within explicit context budgets. The complete catalog remains searchable. Catalog-driven callback registration returns a subscription handle and a bounded MCP resource journal, with explicit cancellation and local policies for synchronous callback replies; the callback and grouping contracts below extend this architecture without adding app-specific workflows.</w:t>
      </w:r>
    </w:p>
    <w:p>
      <w:pPr>
        <w:spacing w:after="90" w:line="260" w:lineRule="auto"/>
      </w:pPr>
      <w:r>
        <w:rPr>
          <w:rFonts w:ascii="DejaVu Sans" w:hAnsi="DejaVu Sans"/>
          <w:sz w:val="21"/>
        </w:rPr>
        <w:t xml:space="preserve">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Layer</w:t>
            </w:r>
          </w:p>
        </w:tc>
        <w:tc>
          <w:tcPr>
            <w:tcW w:w="7668" w:type="dxa"/>
            <w:shd w:fill="E4EDF5"/>
            <w:vAlign w:val="top"/>
          </w:tcPr>
          <w:p>
            <w:pPr>
              <w:spacing w:after="60" w:line="235" w:lineRule="auto"/>
            </w:pPr>
            <w:r>
              <w:rPr>
                <w:rFonts w:ascii="DejaVu Sans" w:hAnsi="DejaVu Sans"/>
                <w:b/>
                <w:sz w:val="18"/>
              </w:rPr>
              <w:t xml:space="preserve">Responsibility and boundary</w:t>
            </w:r>
          </w:p>
        </w:tc>
      </w:tr>
      <w:tr>
        <w:trPr>
          <w:cantSplit/>
        </w:trPr>
        <w:tc>
          <w:tcPr>
            <w:tcW w:w="2556" w:type="dxa"/>
            <w:shd w:fill="FFFFFF"/>
            <w:vAlign w:val="top"/>
          </w:tcPr>
          <w:p>
            <w:pPr>
              <w:spacing w:after="60" w:line="235" w:lineRule="auto"/>
            </w:pPr>
            <w:r>
              <w:rPr>
                <w:rFonts w:ascii="DejaVu Sans" w:hAnsi="DejaVu Sans"/>
                <w:sz w:val="18"/>
              </w:rPr>
              <w:t xml:space="preserve">On device MCP clients</w:t>
            </w:r>
          </w:p>
        </w:tc>
        <w:tc>
          <w:tcPr>
            <w:tcW w:w="7668" w:type="dxa"/>
            <w:shd w:fill="FFFFFF"/>
            <w:vAlign w:val="top"/>
          </w:tcPr>
          <w:p>
            <w:pPr>
              <w:spacing w:after="60" w:line="235" w:lineRule="auto"/>
            </w:pPr>
            <w:r>
              <w:rPr>
                <w:rFonts w:ascii="DejaVu Sans" w:hAnsi="DejaVu Sans"/>
                <w:sz w:val="18"/>
              </w:rPr>
              <w:t xml:space="preserve">Untrusted agent processes. A credential identifies a client; names and package headers do not.</w:t>
            </w:r>
          </w:p>
        </w:tc>
      </w:tr>
      <w:tr>
        <w:trPr>
          <w:cantSplit/>
        </w:trPr>
        <w:tc>
          <w:tcPr>
            <w:tcW w:w="2556" w:type="dxa"/>
            <w:shd w:fill="FFFFFF"/>
            <w:vAlign w:val="top"/>
          </w:tcPr>
          <w:p>
            <w:pPr>
              <w:spacing w:after="60" w:line="235" w:lineRule="auto"/>
            </w:pPr>
            <w:r>
              <w:rPr>
                <w:rFonts w:ascii="DejaVu Sans" w:hAnsi="DejaVu Sans"/>
                <w:sz w:val="18"/>
              </w:rPr>
              <w:t xml:space="preserve">Loopback transport</w:t>
            </w:r>
          </w:p>
        </w:tc>
        <w:tc>
          <w:tcPr>
            <w:tcW w:w="7668" w:type="dxa"/>
            <w:shd w:fill="FFFFFF"/>
            <w:vAlign w:val="top"/>
          </w:tcPr>
          <w:p>
            <w:pPr>
              <w:spacing w:after="60" w:line="235" w:lineRule="auto"/>
            </w:pPr>
            <w:r>
              <w:rPr>
                <w:rFonts w:ascii="DejaVu Sans" w:hAnsi="DejaVu Sans"/>
                <w:sz w:val="18"/>
              </w:rPr>
              <w:t xml:space="preserve">Authenticate each HTTP request, validate host and origin, enforce resource limits and isolate sessions.</w:t>
            </w:r>
          </w:p>
        </w:tc>
      </w:tr>
      <w:tr>
        <w:trPr>
          <w:cantSplit/>
        </w:trPr>
        <w:tc>
          <w:tcPr>
            <w:tcW w:w="2556" w:type="dxa"/>
            <w:shd w:fill="FFFFFF"/>
            <w:vAlign w:val="top"/>
          </w:tcPr>
          <w:p>
            <w:pPr>
              <w:spacing w:after="60" w:line="235" w:lineRule="auto"/>
            </w:pPr>
            <w:r>
              <w:rPr>
                <w:rFonts w:ascii="DejaVu Sans" w:hAnsi="DejaVu Sans"/>
                <w:sz w:val="18"/>
              </w:rPr>
              <w:t xml:space="preserve">Bridge application core</w:t>
            </w:r>
          </w:p>
        </w:tc>
        <w:tc>
          <w:tcPr>
            <w:tcW w:w="7668" w:type="dxa"/>
            <w:shd w:fill="FFFFFF"/>
            <w:vAlign w:val="top"/>
          </w:tcPr>
          <w:p>
            <w:pPr>
              <w:spacing w:after="60" w:line="235" w:lineRule="auto"/>
            </w:pPr>
            <w:r>
              <w:rPr>
                <w:rFonts w:ascii="DejaVu Sans" w:hAnsi="DejaVu Sans"/>
                <w:sz w:val="18"/>
              </w:rPr>
              <w:t xml:space="preserve">Validate typed arguments, evaluate policy, obtain request specific approval and admit execution.</w:t>
            </w:r>
          </w:p>
        </w:tc>
      </w:tr>
      <w:tr>
        <w:trPr>
          <w:cantSplit/>
        </w:trPr>
        <w:tc>
          <w:tcPr>
            <w:tcW w:w="2556" w:type="dxa"/>
            <w:shd w:fill="FFFFFF"/>
            <w:vAlign w:val="top"/>
          </w:tcPr>
          <w:p>
            <w:pPr>
              <w:spacing w:after="60" w:line="235" w:lineRule="auto"/>
            </w:pPr>
            <w:r>
              <w:rPr>
                <w:rFonts w:ascii="DejaVu Sans" w:hAnsi="DejaVu Sans"/>
                <w:sz w:val="18"/>
              </w:rPr>
              <w:t xml:space="preserve">Binding registry and executors</w:t>
            </w:r>
          </w:p>
        </w:tc>
        <w:tc>
          <w:tcPr>
            <w:tcW w:w="7668" w:type="dxa"/>
            <w:shd w:fill="FFFFFF"/>
            <w:vAlign w:val="top"/>
          </w:tcPr>
          <w:p>
            <w:pPr>
              <w:spacing w:after="60" w:line="235" w:lineRule="auto"/>
            </w:pPr>
            <w:r>
              <w:rPr>
                <w:rFonts w:ascii="DejaVu Sans" w:hAnsi="DejaVu Sans"/>
                <w:sz w:val="18"/>
              </w:rPr>
              <w:t xml:space="preserve">Generated SDK/AIDL/protocol inventory, generic invocation and optional low-level Binder transactions; ADB and Avalonia executors. Mapping is not a grant.</w:t>
            </w:r>
          </w:p>
        </w:tc>
      </w:tr>
      <w:tr>
        <w:trPr>
          <w:cantSplit/>
        </w:trPr>
        <w:tc>
          <w:tcPr>
            <w:tcW w:w="2556" w:type="dxa"/>
            <w:shd w:fill="FFFFFF"/>
            <w:vAlign w:val="top"/>
          </w:tcPr>
          <w:p>
            <w:pPr>
              <w:spacing w:after="60" w:line="235" w:lineRule="auto"/>
            </w:pPr>
            <w:r>
              <w:rPr>
                <w:rFonts w:ascii="DejaVu Sans" w:hAnsi="DejaVu Sans"/>
                <w:sz w:val="18"/>
              </w:rPr>
              <w:t xml:space="preserve">Android platform and services</w:t>
            </w:r>
          </w:p>
        </w:tc>
        <w:tc>
          <w:tcPr>
            <w:tcW w:w="7668" w:type="dxa"/>
            <w:shd w:fill="FFFFFF"/>
            <w:vAlign w:val="top"/>
          </w:tcPr>
          <w:p>
            <w:pPr>
              <w:spacing w:after="60" w:line="235" w:lineRule="auto"/>
            </w:pPr>
            <w:r>
              <w:rPr>
                <w:rFonts w:ascii="DejaVu Sans" w:hAnsi="DejaVu Sans"/>
                <w:sz w:val="18"/>
              </w:rPr>
              <w:t xml:space="preserve">Final OS permission checks, target application permissions and lifecycle constraints.</w:t>
            </w:r>
          </w:p>
        </w:tc>
      </w:tr>
    </w:tbl>
    <w:p>
      <w:pPr>
        <w:spacing w:after="90" w:line="260" w:lineRule="auto"/>
      </w:pPr>
    </w:p>
    <w:p>
      <w:pPr>
        <w:pStyle w:val="Heading2"/>
        <w:keepNext/>
        <w:spacing w:after="90" w:line="260" w:lineRule="auto"/>
      </w:pPr>
      <w:r>
        <w:rPr>
          <w:rFonts w:ascii="DejaVu Sans" w:hAnsi="DejaVu Sans"/>
          <w:b/>
          <w:sz w:val="25"/>
        </w:rPr>
        <w:t xml:space="preserve">Design commitments</w:t>
      </w:r>
    </w:p>
    <w:p>
      <w:pPr>
        <w:numPr>
          <w:ilvl w:val="0"/>
          <w:numId w:val="1019"/>
        </w:numPr>
        <w:spacing w:after="90" w:line="260" w:lineRule="auto"/>
      </w:pPr>
      <w:r>
        <w:rPr>
          <w:rFonts w:ascii="DejaVu Sans" w:hAnsi="DejaVu Sans"/>
          <w:sz w:val="21"/>
        </w:rPr>
        <w:t xml:space="preserve">Deny by default. A new tool, client or widened schema never inherits an Allow rule.</w:t>
      </w:r>
    </w:p>
    <w:p>
      <w:pPr>
        <w:numPr>
          <w:ilvl w:val="0"/>
          <w:numId w:val="1019"/>
        </w:numPr>
        <w:spacing w:after="90" w:line="260" w:lineRule="auto"/>
      </w:pPr>
      <w:r>
        <w:rPr>
          <w:rFonts w:ascii="DejaVu Sans" w:hAnsi="DejaVu Sans"/>
          <w:sz w:val="21"/>
        </w:rPr>
        <w:t xml:space="preserve">Deny, Ask and Allow are policy choices. OS unavailable is a separate observed capability state, not a fourth policy setting.</w:t>
      </w:r>
    </w:p>
    <w:p>
      <w:pPr>
        <w:numPr>
          <w:ilvl w:val="0"/>
          <w:numId w:val="1019"/>
        </w:numPr>
        <w:spacing w:after="90" w:line="260" w:lineRule="auto"/>
      </w:pPr>
      <w:r>
        <w:rPr>
          <w:rFonts w:ascii="DejaVu Sans" w:hAnsi="DejaVu Sans"/>
          <w:sz w:val="21"/>
        </w:rPr>
        <w:t xml:space="preserve">Expose the complete declared binding inventory with mapping and availability reasons. Per-client policy governs invocation, not whether a binding exists in the inventory.</w:t>
      </w:r>
    </w:p>
    <w:p>
      <w:pPr>
        <w:numPr>
          <w:ilvl w:val="0"/>
          <w:numId w:val="1019"/>
        </w:numPr>
        <w:spacing w:after="90" w:line="260" w:lineRule="auto"/>
      </w:pPr>
      <w:r>
        <w:rPr>
          <w:rFonts w:ascii="DejaVu Sans" w:hAnsi="DejaVu Sans"/>
          <w:sz w:val="21"/>
        </w:rPr>
        <w:t xml:space="preserve">Permission edits and revocation have a defined dispatch boundary; already dispatched irreversible work cannot be recalled.</w:t>
      </w:r>
    </w:p>
    <w:p>
      <w:pPr>
        <w:spacing w:after="90" w:line="260" w:lineRule="auto"/>
      </w:pPr>
      <w:r>
        <w:rPr>
          <w:rFonts w:ascii="DejaVu Sans" w:hAnsi="DejaVu Sans"/>
          <w:sz w:val="21"/>
        </w:rPr>
        <w:t xml:space="preserve">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keepNext/>
        <w:spacing w:after="90" w:line="260" w:lineRule="auto"/>
      </w:pPr>
      <w:r>
        <w:rPr>
          <w:rFonts w:ascii="DejaVu Sans" w:hAnsi="DejaVu Sans"/>
          <w:b/>
          <w:sz w:val="30"/>
        </w:rPr>
        <w:t xml:space="preserve">2 Components and compatibility gates</w:t>
      </w:r>
    </w:p>
    <w:p>
      <w:pPr>
        <w:spacing w:after="90" w:line="260" w:lineRule="auto"/>
      </w:pPr>
      <w:r>
        <w:rPr>
          <w:rFonts w:ascii="DejaVu Sans" w:hAnsi="DejaVu Sans"/>
          <w:sz w:val="21"/>
        </w:rPr>
        <w:t xml:space="preserve">Use one Android application process and UID initially. A persistent foreground service owns the MCP listener and recovery state while the Avalonia activity owns presentation; closing the activity must not stop the server. They call the same application interfaces in process; creating another Binder hop solely for UI control adds no security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Proposed project</w:t>
            </w:r>
          </w:p>
        </w:tc>
        <w:tc>
          <w:tcPr>
            <w:tcW w:w="3987" w:type="dxa"/>
            <w:shd w:fill="E4EDF5"/>
            <w:vAlign w:val="top"/>
          </w:tcPr>
          <w:p>
            <w:pPr>
              <w:spacing w:after="60" w:line="235" w:lineRule="auto"/>
            </w:pPr>
            <w:r>
              <w:rPr>
                <w:rFonts w:ascii="DejaVu Sans" w:hAnsi="DejaVu Sans"/>
                <w:b/>
                <w:sz w:val="18"/>
              </w:rPr>
              <w:t xml:space="preserve">Contains</w:t>
            </w:r>
          </w:p>
        </w:tc>
        <w:tc>
          <w:tcPr>
            <w:tcW w:w="3988" w:type="dxa"/>
            <w:shd w:fill="E4EDF5"/>
            <w:vAlign w:val="top"/>
          </w:tcPr>
          <w:p>
            <w:pPr>
              <w:spacing w:after="60" w:line="235" w:lineRule="auto"/>
            </w:pPr>
            <w:r>
              <w:rPr>
                <w:rFonts w:ascii="DejaVu Sans" w:hAnsi="DejaVu Sans"/>
                <w:b/>
                <w:sz w:val="18"/>
              </w:rPr>
              <w:t xml:space="preserve">Must not contain</w:t>
            </w:r>
          </w:p>
        </w:tc>
      </w:tr>
      <w:tr>
        <w:trPr>
          <w:cantSplit/>
        </w:trPr>
        <w:tc>
          <w:tcPr>
            <w:tcW w:w="2249" w:type="dxa"/>
            <w:shd w:fill="FFFFFF"/>
            <w:vAlign w:val="top"/>
          </w:tcPr>
          <w:p>
            <w:pPr>
              <w:spacing w:after="60" w:line="235" w:lineRule="auto"/>
            </w:pPr>
            <w:r>
              <w:rPr>
                <w:rFonts w:ascii="DejaVu Sans" w:hAnsi="DejaVu Sans"/>
                <w:sz w:val="18"/>
              </w:rPr>
              <w:t xml:space="preserve">Bridge.Domain</w:t>
            </w:r>
          </w:p>
        </w:tc>
        <w:tc>
          <w:tcPr>
            <w:tcW w:w="3987" w:type="dxa"/>
            <w:shd w:fill="FFFFFF"/>
            <w:vAlign w:val="top"/>
          </w:tcPr>
          <w:p>
            <w:pPr>
              <w:spacing w:after="60" w:line="235" w:lineRule="auto"/>
            </w:pPr>
            <w:r>
              <w:rPr>
                <w:rFonts w:ascii="DejaVu Sans" w:hAnsi="DejaVu Sans"/>
                <w:sz w:val="18"/>
              </w:rPr>
              <w:t xml:space="preserve">Client identities, typed policy, canonical requests, decisions, revision values</w:t>
            </w:r>
          </w:p>
        </w:tc>
        <w:tc>
          <w:tcPr>
            <w:tcW w:w="3988" w:type="dxa"/>
            <w:shd w:fill="FFFFFF"/>
            <w:vAlign w:val="top"/>
          </w:tcPr>
          <w:p>
            <w:pPr>
              <w:spacing w:after="60" w:line="235" w:lineRule="auto"/>
            </w:pPr>
            <w:r>
              <w:rPr>
                <w:rFonts w:ascii="DejaVu Sans" w:hAnsi="DejaVu Sans"/>
                <w:sz w:val="18"/>
              </w:rPr>
              <w:t xml:space="preserve">Android or UI dependencies</w:t>
            </w:r>
          </w:p>
        </w:tc>
      </w:tr>
      <w:tr>
        <w:trPr>
          <w:cantSplit/>
        </w:trPr>
        <w:tc>
          <w:tcPr>
            <w:tcW w:w="2249" w:type="dxa"/>
            <w:shd w:fill="FFFFFF"/>
            <w:vAlign w:val="top"/>
          </w:tcPr>
          <w:p>
            <w:pPr>
              <w:spacing w:after="60" w:line="235" w:lineRule="auto"/>
            </w:pPr>
            <w:r>
              <w:rPr>
                <w:rFonts w:ascii="DejaVu Sans" w:hAnsi="DejaVu Sans"/>
                <w:sz w:val="18"/>
              </w:rPr>
              <w:t xml:space="preserve">Bridge.Application</w:t>
            </w:r>
          </w:p>
        </w:tc>
        <w:tc>
          <w:tcPr>
            <w:tcW w:w="3987" w:type="dxa"/>
            <w:shd w:fill="FFFFFF"/>
            <w:vAlign w:val="top"/>
          </w:tcPr>
          <w:p>
            <w:pPr>
              <w:spacing w:after="60" w:line="235" w:lineRule="auto"/>
            </w:pPr>
            <w:r>
              <w:rPr>
                <w:rFonts w:ascii="DejaVu Sans" w:hAnsi="DejaVu Sans"/>
                <w:sz w:val="18"/>
              </w:rPr>
              <w:t xml:space="preserve">Pairing, policy changes, approvals, admission gate, audit coordination</w:t>
            </w:r>
          </w:p>
        </w:tc>
        <w:tc>
          <w:tcPr>
            <w:tcW w:w="3988" w:type="dxa"/>
            <w:shd w:fill="FFFFFF"/>
            <w:vAlign w:val="top"/>
          </w:tcPr>
          <w:p>
            <w:pPr>
              <w:spacing w:after="60" w:line="235" w:lineRule="auto"/>
            </w:pPr>
            <w:r>
              <w:rPr>
                <w:rFonts w:ascii="DejaVu Sans" w:hAnsi="DejaVu Sans"/>
                <w:sz w:val="18"/>
              </w:rPr>
              <w:t xml:space="preserve">Direct Binder transactions</w:t>
            </w:r>
          </w:p>
        </w:tc>
      </w:tr>
      <w:tr>
        <w:trPr>
          <w:cantSplit/>
        </w:trPr>
        <w:tc>
          <w:tcPr>
            <w:tcW w:w="2249" w:type="dxa"/>
            <w:shd w:fill="FFFFFF"/>
            <w:vAlign w:val="top"/>
          </w:tcPr>
          <w:p>
            <w:pPr>
              <w:spacing w:after="60" w:line="235" w:lineRule="auto"/>
            </w:pPr>
            <w:r>
              <w:rPr>
                <w:rFonts w:ascii="DejaVu Sans" w:hAnsi="DejaVu Sans"/>
                <w:sz w:val="18"/>
              </w:rPr>
              <w:t xml:space="preserve">Bridge.Protocol</w:t>
            </w:r>
          </w:p>
        </w:tc>
        <w:tc>
          <w:tcPr>
            <w:tcW w:w="3987" w:type="dxa"/>
            <w:shd w:fill="FFFFFF"/>
            <w:vAlign w:val="top"/>
          </w:tcPr>
          <w:p>
            <w:pPr>
              <w:spacing w:after="60" w:line="235" w:lineRule="auto"/>
            </w:pPr>
            <w:r>
              <w:rPr>
                <w:rFonts w:ascii="DejaVu Sans" w:hAnsi="DejaVu Sans"/>
                <w:sz w:val="18"/>
              </w:rPr>
              <w:t xml:space="preserve">MCP mapping, paginated catalog and transport independent session dispatch</w:t>
            </w:r>
          </w:p>
        </w:tc>
        <w:tc>
          <w:tcPr>
            <w:tcW w:w="3988" w:type="dxa"/>
            <w:shd w:fill="FFFFFF"/>
            <w:vAlign w:val="top"/>
          </w:tcPr>
          <w:p>
            <w:pPr>
              <w:spacing w:after="60" w:line="235" w:lineRule="auto"/>
            </w:pPr>
            <w:r>
              <w:rPr>
                <w:rFonts w:ascii="DejaVu Sans" w:hAnsi="DejaVu Sans"/>
                <w:sz w:val="18"/>
              </w:rPr>
              <w:t xml:space="preserve">Permission decisions hidden in handlers</w:t>
            </w:r>
          </w:p>
        </w:tc>
      </w:tr>
      <w:tr>
        <w:trPr>
          <w:cantSplit/>
        </w:trPr>
        <w:tc>
          <w:tcPr>
            <w:tcW w:w="2249" w:type="dxa"/>
            <w:shd w:fill="FFFFFF"/>
            <w:vAlign w:val="top"/>
          </w:tcPr>
          <w:p>
            <w:pPr>
              <w:spacing w:after="60" w:line="235" w:lineRule="auto"/>
            </w:pPr>
            <w:r>
              <w:rPr>
                <w:rFonts w:ascii="DejaVu Sans" w:hAnsi="DejaVu Sans"/>
                <w:sz w:val="18"/>
              </w:rPr>
              <w:t xml:space="preserve">Bridge.Bindings</w:t>
            </w:r>
          </w:p>
        </w:tc>
        <w:tc>
          <w:tcPr>
            <w:tcW w:w="3987" w:type="dxa"/>
            <w:shd w:fill="FFFFFF"/>
            <w:vAlign w:val="top"/>
          </w:tcPr>
          <w:p>
            <w:pPr>
              <w:spacing w:after="60" w:line="235" w:lineRule="auto"/>
            </w:pPr>
            <w:r>
              <w:rPr>
                <w:rFonts w:ascii="DejaVu Sans" w:hAnsi="DejaVu Sans"/>
                <w:sz w:val="18"/>
              </w:rPr>
              <w:t xml:space="preserve">SDK/AIDL metadata ingestion, versioned schemas, code generation and generic marshalling</w:t>
            </w:r>
          </w:p>
        </w:tc>
        <w:tc>
          <w:tcPr>
            <w:tcW w:w="3988" w:type="dxa"/>
            <w:shd w:fill="FFFFFF"/>
            <w:vAlign w:val="top"/>
          </w:tcPr>
          <w:p>
            <w:pPr>
              <w:spacing w:after="60" w:line="235" w:lineRule="auto"/>
            </w:pPr>
            <w:r>
              <w:rPr>
                <w:rFonts w:ascii="DejaVu Sans" w:hAnsi="DejaVu Sans"/>
                <w:sz w:val="18"/>
              </w:rPr>
              <w:t xml:space="preserve">Assumed schemas for unknown private services</w:t>
            </w:r>
          </w:p>
        </w:tc>
      </w:tr>
      <w:tr>
        <w:trPr>
          <w:cantSplit/>
        </w:trPr>
        <w:tc>
          <w:tcPr>
            <w:tcW w:w="2249" w:type="dxa"/>
            <w:shd w:fill="FFFFFF"/>
            <w:vAlign w:val="top"/>
          </w:tcPr>
          <w:p>
            <w:pPr>
              <w:spacing w:after="60" w:line="235" w:lineRule="auto"/>
            </w:pPr>
            <w:r>
              <w:rPr>
                <w:rFonts w:ascii="DejaVu Sans" w:hAnsi="DejaVu Sans"/>
                <w:sz w:val="18"/>
              </w:rPr>
              <w:t xml:space="preserve">Bridge.Storage.Sqlite</w:t>
            </w:r>
          </w:p>
        </w:tc>
        <w:tc>
          <w:tcPr>
            <w:tcW w:w="3987" w:type="dxa"/>
            <w:shd w:fill="FFFFFF"/>
            <w:vAlign w:val="top"/>
          </w:tcPr>
          <w:p>
            <w:pPr>
              <w:spacing w:after="60" w:line="235" w:lineRule="auto"/>
            </w:pPr>
            <w:r>
              <w:rPr>
                <w:rFonts w:ascii="DejaVu Sans" w:hAnsi="DejaVu Sans"/>
                <w:sz w:val="18"/>
              </w:rPr>
              <w:t xml:space="preserve">Repositories, migrations and transactional outbox</w:t>
            </w:r>
          </w:p>
        </w:tc>
        <w:tc>
          <w:tcPr>
            <w:tcW w:w="3988" w:type="dxa"/>
            <w:shd w:fill="FFFFFF"/>
            <w:vAlign w:val="top"/>
          </w:tcPr>
          <w:p>
            <w:pPr>
              <w:spacing w:after="60" w:line="235" w:lineRule="auto"/>
            </w:pPr>
            <w:r>
              <w:rPr>
                <w:rFonts w:ascii="DejaVu Sans" w:hAnsi="DejaVu Sans"/>
                <w:sz w:val="18"/>
              </w:rPr>
              <w:t xml:space="preserve">Raw bearer secrets</w:t>
            </w:r>
          </w:p>
        </w:tc>
      </w:tr>
      <w:tr>
        <w:trPr>
          <w:cantSplit/>
        </w:trPr>
        <w:tc>
          <w:tcPr>
            <w:tcW w:w="2249" w:type="dxa"/>
            <w:shd w:fill="FFFFFF"/>
            <w:vAlign w:val="top"/>
          </w:tcPr>
          <w:p>
            <w:pPr>
              <w:spacing w:after="60" w:line="235" w:lineRule="auto"/>
            </w:pPr>
            <w:r>
              <w:rPr>
                <w:rFonts w:ascii="DejaVu Sans" w:hAnsi="DejaVu Sans"/>
                <w:sz w:val="18"/>
              </w:rPr>
              <w:t xml:space="preserve">Bridge.Android</w:t>
            </w:r>
          </w:p>
        </w:tc>
        <w:tc>
          <w:tcPr>
            <w:tcW w:w="3987" w:type="dxa"/>
            <w:shd w:fill="FFFFFF"/>
            <w:vAlign w:val="top"/>
          </w:tcPr>
          <w:p>
            <w:pPr>
              <w:spacing w:after="60" w:line="235" w:lineRule="auto"/>
            </w:pPr>
            <w:r>
              <w:rPr>
                <w:rFonts w:ascii="DejaVu Sans" w:hAnsi="DejaVu Sans"/>
                <w:sz w:val="18"/>
              </w:rPr>
              <w:t xml:space="preserve">Android lifecycle, Keystore, capability probes and native, ADB and optional Avalonia remote adapters</w:t>
            </w:r>
          </w:p>
        </w:tc>
        <w:tc>
          <w:tcPr>
            <w:tcW w:w="3988" w:type="dxa"/>
            <w:shd w:fill="FFFFFF"/>
            <w:vAlign w:val="top"/>
          </w:tcPr>
          <w:p>
            <w:pPr>
              <w:spacing w:after="60" w:line="235" w:lineRule="auto"/>
            </w:pPr>
            <w:r>
              <w:rPr>
                <w:rFonts w:ascii="DejaVu Sans" w:hAnsi="DejaVu Sans"/>
                <w:sz w:val="18"/>
              </w:rPr>
              <w:t xml:space="preserve">Policy bypass through reflection or raw dispatch</w:t>
            </w:r>
          </w:p>
        </w:tc>
      </w:tr>
      <w:tr>
        <w:trPr>
          <w:cantSplit/>
        </w:trPr>
        <w:tc>
          <w:tcPr>
            <w:tcW w:w="2249" w:type="dxa"/>
            <w:shd w:fill="FFFFFF"/>
            <w:vAlign w:val="top"/>
          </w:tcPr>
          <w:p>
            <w:pPr>
              <w:spacing w:after="60" w:line="235" w:lineRule="auto"/>
            </w:pPr>
            <w:r>
              <w:rPr>
                <w:rFonts w:ascii="DejaVu Sans" w:hAnsi="DejaVu Sans"/>
                <w:sz w:val="18"/>
              </w:rPr>
              <w:t xml:space="preserve">Bridge.UI</w:t>
            </w:r>
          </w:p>
        </w:tc>
        <w:tc>
          <w:tcPr>
            <w:tcW w:w="3987" w:type="dxa"/>
            <w:shd w:fill="FFFFFF"/>
            <w:vAlign w:val="top"/>
          </w:tcPr>
          <w:p>
            <w:pPr>
              <w:spacing w:after="60" w:line="235" w:lineRule="auto"/>
            </w:pPr>
            <w:r>
              <w:rPr>
                <w:rFonts w:ascii="DejaVu Sans" w:hAnsi="DejaVu Sans"/>
                <w:sz w:val="18"/>
              </w:rPr>
              <w:t xml:space="preserve">Avalonia views, view models, local admin workflows</w:t>
            </w:r>
          </w:p>
        </w:tc>
        <w:tc>
          <w:tcPr>
            <w:tcW w:w="3988" w:type="dxa"/>
            <w:shd w:fill="FFFFFF"/>
            <w:vAlign w:val="top"/>
          </w:tcPr>
          <w:p>
            <w:pPr>
              <w:spacing w:after="60" w:line="235" w:lineRule="auto"/>
            </w:pPr>
            <w:r>
              <w:rPr>
                <w:rFonts w:ascii="DejaVu Sans" w:hAnsi="DejaVu Sans"/>
                <w:sz w:val="18"/>
              </w:rPr>
              <w:t xml:space="preserve">Direct SQL writes or implicit catalog-admin authority</w:t>
            </w:r>
          </w:p>
        </w:tc>
      </w:tr>
      <w:tr>
        <w:trPr>
          <w:cantSplit/>
        </w:trPr>
        <w:tc>
          <w:tcPr>
            <w:tcW w:w="2249" w:type="dxa"/>
            <w:shd w:fill="FFFFFF"/>
            <w:vAlign w:val="top"/>
          </w:tcPr>
          <w:p>
            <w:pPr>
              <w:spacing w:after="60" w:line="235" w:lineRule="auto"/>
            </w:pPr>
            <w:r>
              <w:rPr>
                <w:rFonts w:ascii="DejaVu Sans" w:hAnsi="DejaVu Sans"/>
                <w:sz w:val="18"/>
              </w:rPr>
              <w:t xml:space="preserve">Bridge.Tests</w:t>
            </w:r>
          </w:p>
        </w:tc>
        <w:tc>
          <w:tcPr>
            <w:tcW w:w="3987" w:type="dxa"/>
            <w:shd w:fill="FFFFFF"/>
            <w:vAlign w:val="top"/>
          </w:tcPr>
          <w:p>
            <w:pPr>
              <w:spacing w:after="60" w:line="235" w:lineRule="auto"/>
            </w:pPr>
            <w:r>
              <w:rPr>
                <w:rFonts w:ascii="DejaVu Sans" w:hAnsi="DejaVu Sans"/>
                <w:sz w:val="18"/>
              </w:rPr>
              <w:t xml:space="preserve">Pure policy tests, contract clients, fake adapters, Android instrumentation</w:t>
            </w:r>
          </w:p>
        </w:tc>
        <w:tc>
          <w:tcPr>
            <w:tcW w:w="3988" w:type="dxa"/>
            <w:shd w:fill="FFFFFF"/>
            <w:vAlign w:val="top"/>
          </w:tcPr>
          <w:p>
            <w:pPr>
              <w:spacing w:after="60" w:line="235" w:lineRule="auto"/>
            </w:pPr>
            <w:r>
              <w:rPr>
                <w:rFonts w:ascii="DejaVu Sans" w:hAnsi="DejaVu Sans"/>
                <w:sz w:val="18"/>
              </w:rPr>
              <w:t xml:space="preserve">Assumptions that mocks prove OS access</w:t>
            </w:r>
          </w:p>
        </w:tc>
      </w:tr>
    </w:tbl>
    <w:p>
      <w:pPr>
        <w:spacing w:after="90" w:line="260" w:lineRule="auto"/>
      </w:pPr>
    </w:p>
    <w:p>
      <w:pPr>
        <w:pStyle w:val="Heading2"/>
        <w:keepNext/>
        <w:spacing w:after="90" w:line="260" w:lineRule="auto"/>
      </w:pPr>
      <w:r>
        <w:rPr>
          <w:rFonts w:ascii="DejaVu Sans" w:hAnsi="DejaVu Sans"/>
          <w:b/>
          <w:sz w:val="25"/>
        </w:rPr>
        <w:t xml:space="preserve">Baseline and release gates</w:t>
      </w:r>
    </w:p>
    <w:p>
      <w:pPr>
        <w:spacing w:after="90" w:line="260" w:lineRule="auto"/>
      </w:pPr>
      <w:r>
        <w:rPr>
          <w:rFonts w:ascii="DejaVu Sans" w:hAnsi="DejaVu Sans"/>
          <w:sz w:val="21"/>
        </w:rPr>
        <w:t xml:space="preserve">Avalonia 12 supports Android on .NET 10; target net10.0-android and pin a tested, consistent 12.x package set. Select minimum Android API and supported devices from product needs and current support tiers, not from a generic old template. [S1]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Evidence required before choosing packages or shipping</w:t>
            </w:r>
          </w:p>
        </w:tc>
      </w:tr>
      <w:tr>
        <w:trPr>
          <w:cantSplit/>
        </w:trPr>
        <w:tc>
          <w:tcPr>
            <w:tcW w:w="2556" w:type="dxa"/>
            <w:shd w:fill="FFFFFF"/>
            <w:vAlign w:val="top"/>
          </w:tcPr>
          <w:p>
            <w:pPr>
              <w:spacing w:after="60" w:line="235" w:lineRule="auto"/>
            </w:pPr>
            <w:r>
              <w:rPr>
                <w:rFonts w:ascii="DejaVu Sans" w:hAnsi="DejaVu Sans"/>
                <w:sz w:val="18"/>
              </w:rPr>
              <w:t xml:space="preserve">Android hosting</w:t>
            </w:r>
          </w:p>
        </w:tc>
        <w:tc>
          <w:tcPr>
            <w:tcW w:w="7668" w:type="dxa"/>
            <w:shd w:fill="FFFFFF"/>
            <w:vAlign w:val="top"/>
          </w:tcPr>
          <w:p>
            <w:pPr>
              <w:spacing w:after="60" w:line="235" w:lineRule="auto"/>
            </w:pPr>
            <w:r>
              <w:rPr>
                <w:rFonts w:ascii="DejaVu Sans" w:hAnsi="DejaVu Sans"/>
                <w:sz w:val="18"/>
              </w:rPr>
              <w:t xml:space="preserve">Release build runs an Android compatible HTTP engine with the MCP protocol layer. Do not assume ASP.NET Core or Kestrel works on Android; hide the engine behind ILoopbackHost.</w:t>
            </w:r>
          </w:p>
        </w:tc>
      </w:tr>
      <w:tr>
        <w:trPr>
          <w:cantSplit/>
        </w:trPr>
        <w:tc>
          <w:tcPr>
            <w:tcW w:w="2556" w:type="dxa"/>
            <w:shd w:fill="FFFFFF"/>
            <w:vAlign w:val="top"/>
          </w:tcPr>
          <w:p>
            <w:pPr>
              <w:spacing w:after="60" w:line="235" w:lineRule="auto"/>
            </w:pPr>
            <w:r>
              <w:rPr>
                <w:rFonts w:ascii="DejaVu Sans" w:hAnsi="DejaVu Sans"/>
                <w:sz w:val="18"/>
              </w:rPr>
              <w:t xml:space="preserve">MCP compatibility</w:t>
            </w:r>
          </w:p>
        </w:tc>
        <w:tc>
          <w:tcPr>
            <w:tcW w:w="7668" w:type="dxa"/>
            <w:shd w:fill="FFFFFF"/>
            <w:vAlign w:val="top"/>
          </w:tcPr>
          <w:p>
            <w:pPr>
              <w:spacing w:after="60" w:line="235" w:lineRule="auto"/>
            </w:pPr>
            <w:r>
              <w:rPr>
                <w:rFonts w:ascii="DejaVu Sans" w:hAnsi="DejaVu Sans"/>
                <w:sz w:val="18"/>
              </w:rPr>
              <w:t xml:space="preserve">Pin the 2025-11-25 wire baseline and a compatible SDK release after a real client exchange. Later SDK protocol revisions require a separate review; never mix initialization or session semantics.</w:t>
            </w:r>
          </w:p>
        </w:tc>
      </w:tr>
      <w:tr>
        <w:trPr>
          <w:cantSplit/>
        </w:trPr>
        <w:tc>
          <w:tcPr>
            <w:tcW w:w="2556" w:type="dxa"/>
            <w:shd w:fill="FFFFFF"/>
            <w:vAlign w:val="top"/>
          </w:tcPr>
          <w:p>
            <w:pPr>
              <w:spacing w:after="60" w:line="235" w:lineRule="auto"/>
            </w:pPr>
            <w:r>
              <w:rPr>
                <w:rFonts w:ascii="DejaVu Sans" w:hAnsi="DejaVu Sans"/>
                <w:sz w:val="18"/>
              </w:rPr>
              <w:t xml:space="preserve">SQLite native load</w:t>
            </w:r>
          </w:p>
        </w:tc>
        <w:tc>
          <w:tcPr>
            <w:tcW w:w="7668" w:type="dxa"/>
            <w:shd w:fill="FFFFFF"/>
            <w:vAlign w:val="top"/>
          </w:tcPr>
          <w:p>
            <w:pPr>
              <w:spacing w:after="60" w:line="235" w:lineRule="auto"/>
            </w:pPr>
            <w:r>
              <w:rPr>
                <w:rFonts w:ascii="DejaVu Sans" w:hAnsi="DejaVu Sans"/>
                <w:sz w:val="18"/>
              </w:rPr>
              <w:t xml:space="preserve">Prove selected provider on each shipped ABI, trimmed release and chosen AOT mode. Microsoft.Data.Sqlite defaults to SQLitePCLRaw.bundle_e_sqlite3; this does not prove this app deployment works. [S2]</w:t>
            </w:r>
          </w:p>
        </w:tc>
      </w:tr>
      <w:tr>
        <w:trPr>
          <w:cantSplit/>
        </w:trPr>
        <w:tc>
          <w:tcPr>
            <w:tcW w:w="2556" w:type="dxa"/>
            <w:shd w:fill="FFFFFF"/>
            <w:vAlign w:val="top"/>
          </w:tcPr>
          <w:p>
            <w:pPr>
              <w:spacing w:after="60" w:line="235" w:lineRule="auto"/>
            </w:pPr>
            <w:r>
              <w:rPr>
                <w:rFonts w:ascii="DejaVu Sans" w:hAnsi="DejaVu Sans"/>
                <w:sz w:val="18"/>
              </w:rPr>
              <w:t xml:space="preserve">Persistent service</w:t>
            </w:r>
          </w:p>
        </w:tc>
        <w:tc>
          <w:tcPr>
            <w:tcW w:w="7668" w:type="dxa"/>
            <w:shd w:fill="FFFFFF"/>
            <w:vAlign w:val="top"/>
          </w:tcPr>
          <w:p>
            <w:pPr>
              <w:spacing w:after="60" w:line="235" w:lineRule="auto"/>
            </w:pPr>
            <w:r>
              <w:rPr>
                <w:rFonts w:ascii="DejaVu Sans" w:hAnsi="DejaVu Sans"/>
                <w:sz w:val="18"/>
              </w:rPr>
              <w:t xml:space="preserve">Prove truthful foreground service type, boot/start eligibility, notification behavior and restart recovery. Persistent hosting is required; an OS-blocked start is an explicit failure state, not a silent downgrade. [S3]</w:t>
            </w:r>
          </w:p>
        </w:tc>
      </w:tr>
      <w:tr>
        <w:trPr>
          <w:cantSplit/>
        </w:trPr>
        <w:tc>
          <w:tcPr>
            <w:tcW w:w="2556" w:type="dxa"/>
            <w:shd w:fill="FFFFFF"/>
            <w:vAlign w:val="top"/>
          </w:tcPr>
          <w:p>
            <w:pPr>
              <w:spacing w:after="60" w:line="235" w:lineRule="auto"/>
            </w:pPr>
            <w:r>
              <w:rPr>
                <w:rFonts w:ascii="DejaVu Sans" w:hAnsi="DejaVu Sans"/>
                <w:sz w:val="18"/>
              </w:rPr>
              <w:t xml:space="preserve">Trusted local endpoint</w:t>
            </w:r>
          </w:p>
        </w:tc>
        <w:tc>
          <w:tcPr>
            <w:tcW w:w="7668" w:type="dxa"/>
            <w:shd w:fill="FFFFFF"/>
            <w:vAlign w:val="top"/>
          </w:tcPr>
          <w:p>
            <w:pPr>
              <w:spacing w:after="60" w:line="235" w:lineRule="auto"/>
            </w:pPr>
            <w:r>
              <w:rPr>
                <w:rFonts w:ascii="DejaVu Sans" w:hAnsi="DejaVu Sans"/>
                <w:sz w:val="18"/>
              </w:rPr>
              <w:t xml:space="preserve">Prove paired server identity and credential setup in target MCP clients. TLS pinning and manual bearer support vary by client; do not silently downgrade.</w:t>
            </w:r>
          </w:p>
        </w:tc>
      </w:tr>
    </w:tbl>
    <w:p>
      <w:pPr>
        <w:spacing w:after="90" w:line="260" w:lineRule="auto"/>
      </w:pPr>
    </w:p>
    <w:p>
      <w:pPr>
        <w:pStyle w:val="Heading1"/>
        <w:keepNext/>
        <w:spacing w:after="90" w:line="260" w:lineRule="auto"/>
      </w:pPr>
      <w:r>
        <w:rPr>
          <w:rFonts w:ascii="DejaVu Sans" w:hAnsi="DejaVu Sans"/>
          <w:b/>
          <w:sz w:val="30"/>
        </w:rPr>
        <w:t xml:space="preserve">3 Transport and request lifecycle</w:t>
      </w:r>
    </w:p>
    <w:p>
      <w:pPr>
        <w:spacing w:after="90" w:line="260" w:lineRule="auto"/>
      </w:pPr>
      <w:r>
        <w:rPr>
          <w:rFonts w:ascii="DejaVu Sans" w:hAnsi="DejaVu Sans"/>
          <w:sz w:val="21"/>
        </w:rPr>
        <w:t xml:space="preserve">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keepNext/>
        <w:spacing w:after="90" w:line="260" w:lineRule="auto"/>
      </w:pPr>
      <w:r>
        <w:rPr>
          <w:rFonts w:ascii="DejaVu Sans" w:hAnsi="DejaVu Sans"/>
          <w:b/>
          <w:sz w:val="25"/>
        </w:rPr>
        <w:t xml:space="preserve">Endpoint protections</w:t>
      </w:r>
    </w:p>
    <w:p>
      <w:pPr>
        <w:numPr>
          <w:ilvl w:val="0"/>
          <w:numId w:val="1019"/>
        </w:numPr>
        <w:spacing w:after="90" w:line="260" w:lineRule="auto"/>
      </w:pPr>
      <w:r>
        <w:rPr>
          <w:rFonts w:ascii="DejaVu Sans" w:hAnsi="DejaVu Sans"/>
          <w:sz w:val="21"/>
        </w:rPr>
        <w:t xml:space="preserve">Bind explicitly to 127.0.0.1 and, only if tested, ::1. Never 0.0.0.0, public interfaces or automatic remote tunneling. Validate Host against the bound endpoint; reject unexpected Origin values and all browser origins by default. An absent Origin is not authentication.</w:t>
      </w:r>
    </w:p>
    <w:p>
      <w:pPr>
        <w:numPr>
          <w:ilvl w:val="0"/>
          <w:numId w:val="1019"/>
        </w:numPr>
        <w:spacing w:after="90" w:line="260" w:lineRule="auto"/>
      </w:pPr>
      <w:r>
        <w:rPr>
          <w:rFonts w:ascii="DejaVu Sans" w:hAnsi="DejaVu Sans"/>
          <w:sz w:val="21"/>
        </w:rPr>
        <w:t xml:space="preserve">Authenticate every POST, GET, DELETE and SSE reconnection. A session identifier is not a credential. Bind sessions and event cursors to client, credential epoch and server boot identifier. Reject cross client session reuse.</w:t>
      </w:r>
    </w:p>
    <w:p>
      <w:pPr>
        <w:numPr>
          <w:ilvl w:val="0"/>
          <w:numId w:val="1019"/>
        </w:numPr>
        <w:spacing w:after="90" w:line="260" w:lineRule="auto"/>
      </w:pPr>
      <w:r>
        <w:rPr>
          <w:rFonts w:ascii="DejaVu Sans" w:hAnsi="DejaVu Sans"/>
          <w:sz w:val="21"/>
        </w:rPr>
        <w:t xml:space="preserve">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numPr>
          <w:ilvl w:val="0"/>
          <w:numId w:val="1019"/>
        </w:numPr>
        <w:spacing w:after="90" w:line="260" w:lineRule="auto"/>
      </w:pPr>
      <w:r>
        <w:rPr>
          <w:rFonts w:ascii="DejaVu Sans" w:hAnsi="DejaVu Sans"/>
          <w:sz w:val="21"/>
        </w:rPr>
        <w:t xml:space="preserve">Suggested initial limits: 256 KiB request body, JSON nesting 32, 4 active calls per client, 64 globally, bounded SSE queues and per client rate limits. Tune with tests; fail with explicit overload rather than unbounded memory growth.</w:t>
      </w:r>
    </w:p>
    <w:p>
      <w:pPr>
        <w:pStyle w:val="Heading2"/>
        <w:keepNext/>
        <w:spacing w:after="90" w:line="260" w:lineRule="auto"/>
      </w:pPr>
      <w:r>
        <w:rPr>
          <w:rFonts w:ascii="DejaVu Sans" w:hAnsi="DejaVu Sans"/>
          <w:b/>
          <w:sz w:val="25"/>
        </w:rPr>
        <w:t xml:space="preserve">One tool call</w:t>
      </w:r>
    </w:p>
    <w:p>
      <w:pPr>
        <w:numPr>
          <w:ilvl w:val="0"/>
          <w:numId w:val="1020"/>
        </w:numPr>
        <w:spacing w:after="90" w:line="260" w:lineRule="auto"/>
      </w:pPr>
      <w:r>
        <w:rPr>
          <w:rFonts w:ascii="DejaVu Sans" w:hAnsi="DejaVu Sans"/>
          <w:sz w:val="21"/>
        </w:rPr>
        <w:t xml:space="preserve">Parse a bounded UTF-8 JSON-RPC message; authenticate the transport credential and resolve the internal client record. Validate session ownership and negotiated protocol.</w:t>
      </w:r>
    </w:p>
    <w:p>
      <w:pPr>
        <w:numPr>
          <w:ilvl w:val="0"/>
          <w:numId w:val="1020"/>
        </w:numPr>
        <w:spacing w:after="90" w:line="260" w:lineRule="auto"/>
      </w:pPr>
      <w:r>
        <w:rPr>
          <w:rFonts w:ascii="DejaVu Sans" w:hAnsi="DejaVu Sans"/>
          <w:sz w:val="21"/>
        </w:rPr>
        <w:t xml:space="preserve">Resolve the generated binding/tool ID and exact schema hash from the active versioned registry, or the explicitly scoped low-level transaction contract. Reject unknown fields, invalid types and out of range values. Materialize defaults before canonicalization.</w:t>
      </w:r>
    </w:p>
    <w:p>
      <w:pPr>
        <w:numPr>
          <w:ilvl w:val="0"/>
          <w:numId w:val="1020"/>
        </w:numPr>
        <w:spacing w:after="90" w:line="260" w:lineRule="auto"/>
      </w:pPr>
      <w:r>
        <w:rPr>
          <w:rFonts w:ascii="DejaVu Sans" w:hAnsi="DejaVu Sans"/>
          <w:sz w:val="21"/>
        </w:rPr>
        <w:t xml:space="preserve">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numPr>
          <w:ilvl w:val="0"/>
          <w:numId w:val="1020"/>
        </w:numPr>
        <w:spacing w:after="90" w:line="260" w:lineRule="auto"/>
      </w:pPr>
      <w:r>
        <w:rPr>
          <w:rFonts w:ascii="DejaVu Sans" w:hAnsi="DejaVu Sans"/>
          <w:sz w:val="21"/>
        </w:rPr>
        <w:t xml:space="preserve">Evaluate current policy and Android capability. If Ask applies, suspend without dispatch and request local approval. Timeout, dismissal or absence of UI means no execution.</w:t>
      </w:r>
    </w:p>
    <w:p>
      <w:pPr>
        <w:numPr>
          <w:ilvl w:val="0"/>
          <w:numId w:val="1020"/>
        </w:numPr>
        <w:spacing w:after="90" w:line="260" w:lineRule="auto"/>
      </w:pPr>
      <w:r>
        <w:rPr>
          <w:rFonts w:ascii="DejaVu Sans" w:hAnsi="DejaVu Sans"/>
          <w:sz w:val="21"/>
        </w:rPr>
        <w:t xml:space="preserve">Under the admission gate, recheck identity, revisions, scope, capability and approval; atomically consume one use approval and record execution admission. Dispatch outside the SQLite transaction.</w:t>
      </w:r>
    </w:p>
    <w:p>
      <w:pPr>
        <w:numPr>
          <w:ilvl w:val="0"/>
          <w:numId w:val="1020"/>
        </w:numPr>
        <w:spacing w:after="90" w:line="260" w:lineRule="auto"/>
      </w:pPr>
      <w:r>
        <w:rPr>
          <w:rFonts w:ascii="DejaVu Sans" w:hAnsi="DejaVu Sans"/>
          <w:sz w:val="21"/>
        </w:rPr>
        <w:t xml:space="preserve">Invoke the adapter off the UI thread. Recheck before every subsequent effect or result emission; sanitize and bound output. Record a minimal outcome and return a normal MCP result or a sanitized error.</w:t>
      </w:r>
    </w:p>
    <w:p>
      <w:pPr>
        <w:pStyle w:val="Heading2"/>
        <w:keepNext/>
        <w:spacing w:after="90" w:line="260" w:lineRule="auto"/>
      </w:pPr>
      <w:r>
        <w:rPr>
          <w:rFonts w:ascii="DejaVu Sans" w:hAnsi="DejaVu Sans"/>
          <w:b/>
          <w:sz w:val="25"/>
        </w:rPr>
        <w:t xml:space="preserve">Discovery and streams</w:t>
      </w:r>
    </w:p>
    <w:p>
      <w:pPr>
        <w:spacing w:after="90" w:line="260" w:lineRule="auto"/>
      </w:pPr>
      <w:r>
        <w:rPr>
          <w:rFonts w:ascii="DejaVu Sans" w:hAnsi="DejaVu Sans"/>
          <w:sz w:val="21"/>
        </w:rPr>
        <w:t xml:space="preserve">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keepNext/>
        <w:spacing w:after="90" w:line="260" w:lineRule="auto"/>
      </w:pPr>
      <w:r>
        <w:rPr>
          <w:rFonts w:ascii="DejaVu Sans" w:hAnsi="DejaVu Sans"/>
          <w:b/>
          <w:sz w:val="30"/>
        </w:rPr>
        <w:t xml:space="preserve">4 Pairing and client identity</w:t>
      </w:r>
    </w:p>
    <w:p>
      <w:pPr>
        <w:spacing w:after="90" w:line="260" w:lineRule="auto"/>
      </w:pPr>
      <w:r>
        <w:rPr>
          <w:rFonts w:ascii="DejaVu Sans" w:hAnsi="DejaVu Sans"/>
          <w:sz w:val="21"/>
        </w:rPr>
        <w:t xml:space="preserve">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keepNext/>
        <w:spacing w:after="90" w:line="260" w:lineRule="auto"/>
      </w:pPr>
      <w:r>
        <w:rPr>
          <w:rFonts w:ascii="DejaVu Sans" w:hAnsi="DejaVu Sans"/>
          <w:b/>
          <w:sz w:val="25"/>
        </w:rPr>
        <w:t xml:space="preserve">Manual pairing flow</w:t>
      </w:r>
    </w:p>
    <w:p>
      <w:pPr>
        <w:numPr>
          <w:ilvl w:val="0"/>
          <w:numId w:val="1021"/>
        </w:numPr>
        <w:spacing w:after="90" w:line="260" w:lineRule="auto"/>
      </w:pPr>
      <w:r>
        <w:rPr>
          <w:rFonts w:ascii="DejaVu Sans" w:hAnsi="DejaVu Sans"/>
          <w:sz w:val="21"/>
        </w:rPr>
        <w:t xml:space="preserve">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numPr>
          <w:ilvl w:val="0"/>
          <w:numId w:val="1021"/>
        </w:numPr>
        <w:spacing w:after="90" w:line="260" w:lineRule="auto"/>
      </w:pPr>
      <w:r>
        <w:rPr>
          <w:rFonts w:ascii="DejaVu Sans" w:hAnsi="DejaVu Sans"/>
          <w:sz w:val="21"/>
        </w:rPr>
        <w:t xml:space="preserve">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numPr>
          <w:ilvl w:val="0"/>
          <w:numId w:val="1021"/>
        </w:numPr>
        <w:spacing w:after="90" w:line="260" w:lineRule="auto"/>
      </w:pPr>
      <w:r>
        <w:rPr>
          <w:rFonts w:ascii="DejaVu Sans" w:hAnsi="DejaVu Sans"/>
          <w:sz w:val="21"/>
        </w:rPr>
        <w:t xml:space="preserve">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numPr>
          <w:ilvl w:val="0"/>
          <w:numId w:val="1021"/>
        </w:numPr>
        <w:spacing w:after="90" w:line="260" w:lineRule="auto"/>
      </w:pPr>
      <w:r>
        <w:rPr>
          <w:rFonts w:ascii="DejaVu Sans" w:hAnsi="DejaVu Sans"/>
          <w:sz w:val="21"/>
        </w:rPr>
        <w:t xml:space="preserve">Store only a verifier and nonsecret credential identifier. Consume the bootstrap secret on success; expire after a proposed two minute window or repeated failed attempts. If delivery fails, revoke the issued credential and pair again rather than redisplay it.</w:t>
      </w:r>
    </w:p>
    <w:p>
      <w:pPr>
        <w:spacing w:after="90" w:line="260" w:lineRule="auto"/>
      </w:pPr>
      <w:r>
        <w:rPr>
          <w:rFonts w:ascii="DejaVu Sans" w:hAnsi="DejaVu Sans"/>
          <w:sz w:val="21"/>
        </w:rPr>
        <w:t xml:space="preserve">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keepNext/>
        <w:spacing w:after="90" w:line="260" w:lineRule="auto"/>
      </w:pPr>
      <w:r>
        <w:rPr>
          <w:rFonts w:ascii="DejaVu Sans" w:hAnsi="DejaVu Sans"/>
          <w:b/>
          <w:sz w:val="25"/>
        </w:rPr>
        <w:t xml:space="preserve">Optional package aware pairing</w:t>
      </w:r>
    </w:p>
    <w:p>
      <w:pPr>
        <w:spacing w:after="90" w:line="260" w:lineRule="auto"/>
      </w:pPr>
      <w:r>
        <w:rPr>
          <w:rFonts w:ascii="DejaVu Sans" w:hAnsi="DejaVu Sans"/>
          <w:sz w:val="21"/>
        </w:rPr>
        <w:t xml:space="preserve">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keepNext/>
        <w:spacing w:after="90" w:line="260" w:lineRule="auto"/>
      </w:pPr>
      <w:r>
        <w:rPr>
          <w:rFonts w:ascii="DejaVu Sans" w:hAnsi="DejaVu Sans"/>
          <w:b/>
          <w:sz w:val="25"/>
        </w:rPr>
        <w:t xml:space="preserve">Credential lifecycle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Action</w:t>
            </w:r>
          </w:p>
        </w:tc>
        <w:tc>
          <w:tcPr>
            <w:tcW w:w="7668" w:type="dxa"/>
            <w:shd w:fill="E4EDF5"/>
            <w:vAlign w:val="top"/>
          </w:tcPr>
          <w:p>
            <w:pPr>
              <w:spacing w:after="60" w:line="235" w:lineRule="auto"/>
            </w:pPr>
            <w:r>
              <w:rPr>
                <w:rFonts w:ascii="DejaVu Sans" w:hAnsi="DejaVu Sans"/>
                <w:b/>
                <w:sz w:val="18"/>
              </w:rPr>
              <w:t xml:space="preserve">Required effect</w:t>
            </w:r>
          </w:p>
        </w:tc>
      </w:tr>
      <w:tr>
        <w:trPr>
          <w:cantSplit/>
        </w:trPr>
        <w:tc>
          <w:tcPr>
            <w:tcW w:w="2556" w:type="dxa"/>
            <w:shd w:fill="FFFFFF"/>
            <w:vAlign w:val="top"/>
          </w:tcPr>
          <w:p>
            <w:pPr>
              <w:spacing w:after="60" w:line="235" w:lineRule="auto"/>
            </w:pPr>
            <w:r>
              <w:rPr>
                <w:rFonts w:ascii="DejaVu Sans" w:hAnsi="DejaVu Sans"/>
                <w:sz w:val="18"/>
              </w:rPr>
              <w:t xml:space="preserve">Rotate</w:t>
            </w:r>
          </w:p>
        </w:tc>
        <w:tc>
          <w:tcPr>
            <w:tcW w:w="7668" w:type="dxa"/>
            <w:shd w:fill="FFFFFF"/>
            <w:vAlign w:val="top"/>
          </w:tcPr>
          <w:p>
            <w:pPr>
              <w:spacing w:after="60" w:line="235" w:lineRule="auto"/>
            </w:pPr>
            <w:r>
              <w:rPr>
                <w:rFonts w:ascii="DejaVu Sans" w:hAnsi="DejaVu Sans"/>
                <w:sz w:val="18"/>
              </w:rPr>
              <w:t xml:space="preserve">Create a new credential and show it once. Owner may permit a short overlap. At its end, atomically revoke old, increment client epoch and move retained replacement to that epoch. Invalidate all client sessions and approvals.</w:t>
            </w:r>
          </w:p>
        </w:tc>
      </w:tr>
      <w:tr>
        <w:trPr>
          <w:cantSplit/>
        </w:trPr>
        <w:tc>
          <w:tcPr>
            <w:tcW w:w="2556" w:type="dxa"/>
            <w:shd w:fill="FFFFFF"/>
            <w:vAlign w:val="top"/>
          </w:tcPr>
          <w:p>
            <w:pPr>
              <w:spacing w:after="60" w:line="235" w:lineRule="auto"/>
            </w:pPr>
            <w:r>
              <w:rPr>
                <w:rFonts w:ascii="DejaVu Sans" w:hAnsi="DejaVu Sans"/>
                <w:sz w:val="18"/>
              </w:rPr>
              <w:t xml:space="preserve">Disable client</w:t>
            </w:r>
          </w:p>
        </w:tc>
        <w:tc>
          <w:tcPr>
            <w:tcW w:w="7668" w:type="dxa"/>
            <w:shd w:fill="FFFFFF"/>
            <w:vAlign w:val="top"/>
          </w:tcPr>
          <w:p>
            <w:pPr>
              <w:spacing w:after="60" w:line="235" w:lineRule="auto"/>
            </w:pPr>
            <w:r>
              <w:rPr>
                <w:rFonts w:ascii="DejaVu Sans" w:hAnsi="DejaVu Sans"/>
                <w:sz w:val="18"/>
              </w:rPr>
              <w:t xml:space="preserve">Persist disabled state and revision, cancel approvals and reject new admissions. Preserve policy for review; reenable requires local owner action.</w:t>
            </w:r>
          </w:p>
        </w:tc>
      </w:tr>
      <w:tr>
        <w:trPr>
          <w:cantSplit/>
        </w:trPr>
        <w:tc>
          <w:tcPr>
            <w:tcW w:w="2556" w:type="dxa"/>
            <w:shd w:fill="FFFFFF"/>
            <w:vAlign w:val="top"/>
          </w:tcPr>
          <w:p>
            <w:pPr>
              <w:spacing w:after="60" w:line="235" w:lineRule="auto"/>
            </w:pPr>
            <w:r>
              <w:rPr>
                <w:rFonts w:ascii="DejaVu Sans" w:hAnsi="DejaVu Sans"/>
                <w:sz w:val="18"/>
              </w:rPr>
              <w:t xml:space="preserve">Revoke</w:t>
            </w:r>
          </w:p>
        </w:tc>
        <w:tc>
          <w:tcPr>
            <w:tcW w:w="7668" w:type="dxa"/>
            <w:shd w:fill="FFFFFF"/>
            <w:vAlign w:val="top"/>
          </w:tcPr>
          <w:p>
            <w:pPr>
              <w:spacing w:after="60" w:line="235" w:lineRule="auto"/>
            </w:pPr>
            <w:r>
              <w:rPr>
                <w:rFonts w:ascii="DejaVu Sans" w:hAnsi="DejaVu Sans"/>
                <w:sz w:val="18"/>
              </w:rPr>
              <w:t xml:space="preserve">Persist revocation, increment credential epoch and close affected streams. Reuse is permanently rejected even if a client session remains open.</w:t>
            </w:r>
          </w:p>
        </w:tc>
      </w:tr>
      <w:tr>
        <w:trPr>
          <w:cantSplit/>
        </w:trPr>
        <w:tc>
          <w:tcPr>
            <w:tcW w:w="2556" w:type="dxa"/>
            <w:shd w:fill="FFFFFF"/>
            <w:vAlign w:val="top"/>
          </w:tcPr>
          <w:p>
            <w:pPr>
              <w:spacing w:after="60" w:line="235" w:lineRule="auto"/>
            </w:pPr>
            <w:r>
              <w:rPr>
                <w:rFonts w:ascii="DejaVu Sans" w:hAnsi="DejaVu Sans"/>
                <w:sz w:val="18"/>
              </w:rPr>
              <w:t xml:space="preserve">Restore backup</w:t>
            </w:r>
          </w:p>
        </w:tc>
        <w:tc>
          <w:tcPr>
            <w:tcW w:w="7668" w:type="dxa"/>
            <w:shd w:fill="FFFFFF"/>
            <w:vAlign w:val="top"/>
          </w:tcPr>
          <w:p>
            <w:pPr>
              <w:spacing w:after="60" w:line="235" w:lineRule="auto"/>
            </w:pPr>
            <w:r>
              <w:rPr>
                <w:rFonts w:ascii="DejaVu Sans" w:hAnsi="DejaVu Sans"/>
                <w:sz w:val="18"/>
              </w:rPr>
              <w:t xml:space="preserve">Restore client labels and rules as disabled templates only. Never restore active credentials, sessions, approvals or server identity. Require fresh pairing.</w:t>
            </w:r>
          </w:p>
        </w:tc>
      </w:tr>
    </w:tbl>
    <w:p>
      <w:pPr>
        <w:spacing w:after="90" w:line="260" w:lineRule="auto"/>
      </w:pPr>
    </w:p>
    <w:p>
      <w:pPr>
        <w:pStyle w:val="Heading1"/>
        <w:keepNext/>
        <w:spacing w:after="90" w:line="260" w:lineRule="auto"/>
      </w:pPr>
      <w:r>
        <w:rPr>
          <w:rFonts w:ascii="DejaVu Sans" w:hAnsi="DejaVu Sans"/>
          <w:b/>
          <w:sz w:val="30"/>
        </w:rPr>
        <w:t xml:space="preserve">5 Permission model and evaluation</w:t>
      </w:r>
    </w:p>
    <w:p>
      <w:pPr>
        <w:spacing w:after="90" w:line="260" w:lineRule="auto"/>
      </w:pPr>
      <w:r>
        <w:rPr>
          <w:rFonts w:ascii="DejaVu Sans" w:hAnsi="DejaVu Sans"/>
          <w:sz w:val="21"/>
        </w:rPr>
        <w:t xml:space="preserve">Use one policy evaluator over canonical binding identities and exact schema hashes, with Deny, Ask or Allow plus typed constraints. A required entry-point tool rule can only restrict binding authority. No wildcard tools, rule priorities, inherited Allow or regular expression permission language. Presets only populate explicit rules after preview; newly registered tools remain denied.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Order</w:t>
            </w:r>
          </w:p>
        </w:tc>
        <w:tc>
          <w:tcPr>
            <w:tcW w:w="3987" w:type="dxa"/>
            <w:shd w:fill="E4EDF5"/>
            <w:vAlign w:val="top"/>
          </w:tcPr>
          <w:p>
            <w:pPr>
              <w:spacing w:after="60" w:line="235" w:lineRule="auto"/>
            </w:pPr>
            <w:r>
              <w:rPr>
                <w:rFonts w:ascii="DejaVu Sans" w:hAnsi="DejaVu Sans"/>
                <w:b/>
                <w:sz w:val="18"/>
              </w:rPr>
              <w:t xml:space="preserve">Check</w:t>
            </w:r>
          </w:p>
        </w:tc>
        <w:tc>
          <w:tcPr>
            <w:tcW w:w="3988" w:type="dxa"/>
            <w:shd w:fill="E4EDF5"/>
            <w:vAlign w:val="top"/>
          </w:tcPr>
          <w:p>
            <w:pPr>
              <w:spacing w:after="60" w:line="235" w:lineRule="auto"/>
            </w:pPr>
            <w:r>
              <w:rPr>
                <w:rFonts w:ascii="DejaVu Sans" w:hAnsi="DejaVu Sans"/>
                <w:b/>
                <w:sz w:val="18"/>
              </w:rPr>
              <w:t xml:space="preserve">Result when it fails</w:t>
            </w:r>
          </w:p>
        </w:tc>
      </w:tr>
      <w:tr>
        <w:trPr>
          <w:cantSplit/>
        </w:trPr>
        <w:tc>
          <w:tcPr>
            <w:tcW w:w="2249" w:type="dxa"/>
            <w:shd w:fill="FFFFFF"/>
            <w:vAlign w:val="top"/>
          </w:tcPr>
          <w:p>
            <w:pPr>
              <w:spacing w:after="60" w:line="235" w:lineRule="auto"/>
            </w:pPr>
            <w:r>
              <w:rPr>
                <w:rFonts w:ascii="DejaVu Sans" w:hAnsi="DejaVu Sans"/>
                <w:sz w:val="18"/>
              </w:rPr>
              <w:t xml:space="preserve">1</w:t>
            </w:r>
          </w:p>
        </w:tc>
        <w:tc>
          <w:tcPr>
            <w:tcW w:w="3987" w:type="dxa"/>
            <w:shd w:fill="FFFFFF"/>
            <w:vAlign w:val="top"/>
          </w:tcPr>
          <w:p>
            <w:pPr>
              <w:spacing w:after="60" w:line="235" w:lineRule="auto"/>
            </w:pPr>
            <w:r>
              <w:rPr>
                <w:rFonts w:ascii="DejaVu Sans" w:hAnsi="DejaVu Sans"/>
                <w:sz w:val="18"/>
              </w:rPr>
              <w:t xml:space="preserve">Valid credential, active client, bridge running</w:t>
            </w:r>
          </w:p>
        </w:tc>
        <w:tc>
          <w:tcPr>
            <w:tcW w:w="3988" w:type="dxa"/>
            <w:shd w:fill="FFFFFF"/>
            <w:vAlign w:val="top"/>
          </w:tcPr>
          <w:p>
            <w:pPr>
              <w:spacing w:after="60" w:line="235" w:lineRule="auto"/>
            </w:pPr>
            <w:r>
              <w:rPr>
                <w:rFonts w:ascii="DejaVu Sans" w:hAnsi="DejaVu Sans"/>
                <w:sz w:val="18"/>
              </w:rPr>
              <w:t xml:space="preserve">Reject; no capability or policy details to unauthenticated callers</w:t>
            </w:r>
          </w:p>
        </w:tc>
      </w:tr>
      <w:tr>
        <w:trPr>
          <w:cantSplit/>
        </w:trPr>
        <w:tc>
          <w:tcPr>
            <w:tcW w:w="2249" w:type="dxa"/>
            <w:shd w:fill="FFFFFF"/>
            <w:vAlign w:val="top"/>
          </w:tcPr>
          <w:p>
            <w:pPr>
              <w:spacing w:after="60" w:line="235" w:lineRule="auto"/>
            </w:pPr>
            <w:r>
              <w:rPr>
                <w:rFonts w:ascii="DejaVu Sans" w:hAnsi="DejaVu Sans"/>
                <w:sz w:val="18"/>
              </w:rPr>
              <w:t xml:space="preserve">2</w:t>
            </w:r>
          </w:p>
        </w:tc>
        <w:tc>
          <w:tcPr>
            <w:tcW w:w="3987" w:type="dxa"/>
            <w:shd w:fill="FFFFFF"/>
            <w:vAlign w:val="top"/>
          </w:tcPr>
          <w:p>
            <w:pPr>
              <w:spacing w:after="60" w:line="235" w:lineRule="auto"/>
            </w:pPr>
            <w:r>
              <w:rPr>
                <w:rFonts w:ascii="DejaVu Sans" w:hAnsi="DejaVu Sans"/>
                <w:sz w:val="18"/>
              </w:rPr>
              <w:t xml:space="preserve">Known binding or explicit low-level contract and accepted schema version</w:t>
            </w:r>
          </w:p>
        </w:tc>
        <w:tc>
          <w:tcPr>
            <w:tcW w:w="3988" w:type="dxa"/>
            <w:shd w:fill="FFFFFF"/>
            <w:vAlign w:val="top"/>
          </w:tcPr>
          <w:p>
            <w:pPr>
              <w:spacing w:after="60" w:line="235" w:lineRule="auto"/>
            </w:pPr>
            <w:r>
              <w:rPr>
                <w:rFonts w:ascii="DejaVu Sans" w:hAnsi="DejaVu Sans"/>
                <w:sz w:val="18"/>
              </w:rPr>
              <w:t xml:space="preserve">Unavailable or invalid tool</w:t>
            </w:r>
          </w:p>
        </w:tc>
      </w:tr>
      <w:tr>
        <w:trPr>
          <w:cantSplit/>
        </w:trPr>
        <w:tc>
          <w:tcPr>
            <w:tcW w:w="2249" w:type="dxa"/>
            <w:shd w:fill="FFFFFF"/>
            <w:vAlign w:val="top"/>
          </w:tcPr>
          <w:p>
            <w:pPr>
              <w:spacing w:after="60" w:line="235" w:lineRule="auto"/>
            </w:pPr>
            <w:r>
              <w:rPr>
                <w:rFonts w:ascii="DejaVu Sans" w:hAnsi="DejaVu Sans"/>
                <w:sz w:val="18"/>
              </w:rPr>
              <w:t xml:space="preserve">3</w:t>
            </w:r>
          </w:p>
        </w:tc>
        <w:tc>
          <w:tcPr>
            <w:tcW w:w="3987" w:type="dxa"/>
            <w:shd w:fill="FFFFFF"/>
            <w:vAlign w:val="top"/>
          </w:tcPr>
          <w:p>
            <w:pPr>
              <w:spacing w:after="60" w:line="235" w:lineRule="auto"/>
            </w:pPr>
            <w:r>
              <w:rPr>
                <w:rFonts w:ascii="DejaVu Sans" w:hAnsi="DejaVu Sans"/>
                <w:sz w:val="18"/>
              </w:rPr>
              <w:t xml:space="preserve">Global emergency deny or tool disabled</w:t>
            </w:r>
          </w:p>
        </w:tc>
        <w:tc>
          <w:tcPr>
            <w:tcW w:w="3988" w:type="dxa"/>
            <w:shd w:fill="FFFFFF"/>
            <w:vAlign w:val="top"/>
          </w:tcPr>
          <w:p>
            <w:pPr>
              <w:spacing w:after="60" w:line="235" w:lineRule="auto"/>
            </w:pPr>
            <w:r>
              <w:rPr>
                <w:rFonts w:ascii="DejaVu Sans" w:hAnsi="DejaVu Sans"/>
                <w:sz w:val="18"/>
              </w:rPr>
              <w:t xml:space="preserve">Deny, regardless of client choice</w:t>
            </w:r>
          </w:p>
        </w:tc>
      </w:tr>
      <w:tr>
        <w:trPr>
          <w:cantSplit/>
        </w:trPr>
        <w:tc>
          <w:tcPr>
            <w:tcW w:w="2249" w:type="dxa"/>
            <w:shd w:fill="FFFFFF"/>
            <w:vAlign w:val="top"/>
          </w:tcPr>
          <w:p>
            <w:pPr>
              <w:spacing w:after="60" w:line="235" w:lineRule="auto"/>
            </w:pPr>
            <w:r>
              <w:rPr>
                <w:rFonts w:ascii="DejaVu Sans" w:hAnsi="DejaVu Sans"/>
                <w:sz w:val="18"/>
              </w:rPr>
              <w:t xml:space="preserve">4</w:t>
            </w:r>
          </w:p>
        </w:tc>
        <w:tc>
          <w:tcPr>
            <w:tcW w:w="3987" w:type="dxa"/>
            <w:shd w:fill="FFFFFF"/>
            <w:vAlign w:val="top"/>
          </w:tcPr>
          <w:p>
            <w:pPr>
              <w:spacing w:after="60" w:line="235" w:lineRule="auto"/>
            </w:pPr>
            <w:r>
              <w:rPr>
                <w:rFonts w:ascii="DejaVu Sans" w:hAnsi="DejaVu Sans"/>
                <w:sz w:val="18"/>
              </w:rPr>
              <w:t xml:space="preserve">Every canonical binding has an exact schema-bound client rule and the entry-point rule exists; no rule denies</w:t>
            </w:r>
          </w:p>
        </w:tc>
        <w:tc>
          <w:tcPr>
            <w:tcW w:w="3988" w:type="dxa"/>
            <w:shd w:fill="FFFFFF"/>
            <w:vAlign w:val="top"/>
          </w:tcPr>
          <w:p>
            <w:pPr>
              <w:spacing w:after="60" w:line="235" w:lineRule="auto"/>
            </w:pPr>
            <w:r>
              <w:rPr>
                <w:rFonts w:ascii="DejaVu Sans" w:hAnsi="DejaVu Sans"/>
                <w:sz w:val="18"/>
              </w:rPr>
              <w:t xml:space="preserve">Deny by default</w:t>
            </w:r>
          </w:p>
        </w:tc>
      </w:tr>
      <w:tr>
        <w:trPr>
          <w:cantSplit/>
        </w:trPr>
        <w:tc>
          <w:tcPr>
            <w:tcW w:w="2249" w:type="dxa"/>
            <w:shd w:fill="FFFFFF"/>
            <w:vAlign w:val="top"/>
          </w:tcPr>
          <w:p>
            <w:pPr>
              <w:spacing w:after="60" w:line="235" w:lineRule="auto"/>
            </w:pPr>
            <w:r>
              <w:rPr>
                <w:rFonts w:ascii="DejaVu Sans" w:hAnsi="DejaVu Sans"/>
                <w:sz w:val="18"/>
              </w:rPr>
              <w:t xml:space="preserve">5</w:t>
            </w:r>
          </w:p>
        </w:tc>
        <w:tc>
          <w:tcPr>
            <w:tcW w:w="3987" w:type="dxa"/>
            <w:shd w:fill="FFFFFF"/>
            <w:vAlign w:val="top"/>
          </w:tcPr>
          <w:p>
            <w:pPr>
              <w:spacing w:after="60" w:line="235" w:lineRule="auto"/>
            </w:pPr>
            <w:r>
              <w:rPr>
                <w:rFonts w:ascii="DejaVu Sans" w:hAnsi="DejaVu Sans"/>
                <w:sz w:val="18"/>
              </w:rPr>
              <w:t xml:space="preserve">Arguments and requested output fit all scope constraints</w:t>
            </w:r>
          </w:p>
        </w:tc>
        <w:tc>
          <w:tcPr>
            <w:tcW w:w="3988" w:type="dxa"/>
            <w:shd w:fill="FFFFFF"/>
            <w:vAlign w:val="top"/>
          </w:tcPr>
          <w:p>
            <w:pPr>
              <w:spacing w:after="60" w:line="235" w:lineRule="auto"/>
            </w:pPr>
            <w:r>
              <w:rPr>
                <w:rFonts w:ascii="DejaVu Sans" w:hAnsi="DejaVu Sans"/>
                <w:sz w:val="18"/>
              </w:rPr>
              <w:t xml:space="preserve">Deny; Ask cannot expand the scope</w:t>
            </w:r>
          </w:p>
        </w:tc>
      </w:tr>
      <w:tr>
        <w:trPr>
          <w:cantSplit/>
        </w:trPr>
        <w:tc>
          <w:tcPr>
            <w:tcW w:w="2249" w:type="dxa"/>
            <w:shd w:fill="FFFFFF"/>
            <w:vAlign w:val="top"/>
          </w:tcPr>
          <w:p>
            <w:pPr>
              <w:spacing w:after="60" w:line="235" w:lineRule="auto"/>
            </w:pPr>
            <w:r>
              <w:rPr>
                <w:rFonts w:ascii="DejaVu Sans" w:hAnsi="DejaVu Sans"/>
                <w:sz w:val="18"/>
              </w:rPr>
              <w:t xml:space="preserve">6</w:t>
            </w:r>
          </w:p>
        </w:tc>
        <w:tc>
          <w:tcPr>
            <w:tcW w:w="3987" w:type="dxa"/>
            <w:shd w:fill="FFFFFF"/>
            <w:vAlign w:val="top"/>
          </w:tcPr>
          <w:p>
            <w:pPr>
              <w:spacing w:after="60" w:line="235" w:lineRule="auto"/>
            </w:pPr>
            <w:r>
              <w:rPr>
                <w:rFonts w:ascii="DejaVu Sans" w:hAnsi="DejaVu Sans"/>
                <w:sz w:val="18"/>
              </w:rPr>
              <w:t xml:space="preserve">Current backend authority, device state and target availability</w:t>
            </w:r>
          </w:p>
        </w:tc>
        <w:tc>
          <w:tcPr>
            <w:tcW w:w="3988" w:type="dxa"/>
            <w:shd w:fill="FFFFFF"/>
            <w:vAlign w:val="top"/>
          </w:tcPr>
          <w:p>
            <w:pPr>
              <w:spacing w:after="60" w:line="235" w:lineRule="auto"/>
            </w:pPr>
            <w:r>
              <w:rPr>
                <w:rFonts w:ascii="DejaVu Sans" w:hAnsi="DejaVu Sans"/>
                <w:sz w:val="18"/>
              </w:rPr>
              <w:t xml:space="preserve">OS unavailable; never treat Allow as an OS grant</w:t>
            </w:r>
          </w:p>
        </w:tc>
      </w:tr>
      <w:tr>
        <w:trPr>
          <w:cantSplit/>
        </w:trPr>
        <w:tc>
          <w:tcPr>
            <w:tcW w:w="2249" w:type="dxa"/>
            <w:shd w:fill="FFFFFF"/>
            <w:vAlign w:val="top"/>
          </w:tcPr>
          <w:p>
            <w:pPr>
              <w:spacing w:after="60" w:line="235" w:lineRule="auto"/>
            </w:pPr>
            <w:r>
              <w:rPr>
                <w:rFonts w:ascii="DejaVu Sans" w:hAnsi="DejaVu Sans"/>
                <w:sz w:val="18"/>
              </w:rPr>
              <w:t xml:space="preserve">7</w:t>
            </w:r>
          </w:p>
        </w:tc>
        <w:tc>
          <w:tcPr>
            <w:tcW w:w="3987" w:type="dxa"/>
            <w:shd w:fill="FFFFFF"/>
            <w:vAlign w:val="top"/>
          </w:tcPr>
          <w:p>
            <w:pPr>
              <w:spacing w:after="60" w:line="235" w:lineRule="auto"/>
            </w:pPr>
            <w:r>
              <w:rPr>
                <w:rFonts w:ascii="DejaVu Sans" w:hAnsi="DejaVu Sans"/>
                <w:sz w:val="18"/>
              </w:rPr>
              <w:t xml:space="preserve">Rule is Ask or global tool floor requires Ask</w:t>
            </w:r>
          </w:p>
        </w:tc>
        <w:tc>
          <w:tcPr>
            <w:tcW w:w="3988" w:type="dxa"/>
            <w:shd w:fill="FFFFFF"/>
            <w:vAlign w:val="top"/>
          </w:tcPr>
          <w:p>
            <w:pPr>
              <w:spacing w:after="60" w:line="235" w:lineRule="auto"/>
            </w:pPr>
            <w:r>
              <w:rPr>
                <w:rFonts w:ascii="DejaVu Sans" w:hAnsi="DejaVu Sans"/>
                <w:sz w:val="18"/>
              </w:rPr>
              <w:t xml:space="preserve">Require a valid one use request bound approval</w:t>
            </w:r>
          </w:p>
        </w:tc>
      </w:tr>
      <w:tr>
        <w:trPr>
          <w:cantSplit/>
        </w:trPr>
        <w:tc>
          <w:tcPr>
            <w:tcW w:w="2249" w:type="dxa"/>
            <w:shd w:fill="FFFFFF"/>
            <w:vAlign w:val="top"/>
          </w:tcPr>
          <w:p>
            <w:pPr>
              <w:spacing w:after="60" w:line="235" w:lineRule="auto"/>
            </w:pPr>
            <w:r>
              <w:rPr>
                <w:rFonts w:ascii="DejaVu Sans" w:hAnsi="DejaVu Sans"/>
                <w:sz w:val="18"/>
              </w:rPr>
              <w:t xml:space="preserve">8</w:t>
            </w:r>
          </w:p>
        </w:tc>
        <w:tc>
          <w:tcPr>
            <w:tcW w:w="3987" w:type="dxa"/>
            <w:shd w:fill="FFFFFF"/>
            <w:vAlign w:val="top"/>
          </w:tcPr>
          <w:p>
            <w:pPr>
              <w:spacing w:after="60" w:line="235" w:lineRule="auto"/>
            </w:pPr>
            <w:r>
              <w:rPr>
                <w:rFonts w:ascii="DejaVu Sans" w:hAnsi="DejaVu Sans"/>
                <w:sz w:val="18"/>
              </w:rPr>
              <w:t xml:space="preserve">Versions and capability still valid at admission</w:t>
            </w:r>
          </w:p>
        </w:tc>
        <w:tc>
          <w:tcPr>
            <w:tcW w:w="3988" w:type="dxa"/>
            <w:shd w:fill="FFFFFF"/>
            <w:vAlign w:val="top"/>
          </w:tcPr>
          <w:p>
            <w:pPr>
              <w:spacing w:after="60" w:line="235" w:lineRule="auto"/>
            </w:pPr>
            <w:r>
              <w:rPr>
                <w:rFonts w:ascii="DejaVu Sans" w:hAnsi="DejaVu Sans"/>
                <w:sz w:val="18"/>
              </w:rPr>
              <w:t xml:space="preserve">Admit, otherwise reevaluate or reject</w:t>
            </w:r>
          </w:p>
        </w:tc>
      </w:tr>
    </w:tbl>
    <w:p>
      <w:pPr>
        <w:spacing w:after="90" w:line="260" w:lineRule="auto"/>
      </w:pPr>
    </w:p>
    <w:p>
      <w:pPr>
        <w:pStyle w:val="Heading2"/>
        <w:keepNext/>
        <w:spacing w:after="90" w:line="260" w:lineRule="auto"/>
      </w:pPr>
      <w:r>
        <w:rPr>
          <w:rFonts w:ascii="DejaVu Sans" w:hAnsi="DejaVu Sans"/>
          <w:b/>
          <w:sz w:val="25"/>
        </w:rPr>
        <w:t xml:space="preserve">Scope semantics</w:t>
      </w:r>
    </w:p>
    <w:p>
      <w:pPr>
        <w:spacing w:after="90" w:line="260" w:lineRule="auto"/>
      </w:pPr>
      <w:r>
        <w:rPr>
          <w:rFonts w:ascii="DejaVu Sans" w:hAnsi="DejaVu Sans"/>
          <w:sz w:val="21"/>
        </w:rPr>
        <w:t xml:space="preserve">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pPr>
        <w:spacing w:after="90" w:line="260" w:lineRule="auto"/>
      </w:pPr>
      <w:r>
        <w:rPr>
          <w:rFonts w:ascii="DejaVu Sans" w:hAnsi="DejaVu Sans"/>
          <w:sz w:val="21"/>
        </w:rPr>
        <w:t xml:space="preserve">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shd w:fill="F2F6FA"/>
        <w:spacing w:after="0" w:line="220" w:lineRule="auto"/>
      </w:pPr>
      <w:r>
        <w:rPr>
          <w:rFonts w:ascii="DejaVu Sans Mono" w:hAnsi="DejaVu Sans Mono"/>
          <w:sz w:val="18"/>
        </w:rPr>
        <w:t xml:space="preserve">evaluate(principal, plan, snapshot):</w:t>
      </w:r>
    </w:p>
    <w:p>
      <w:pPr>
        <w:shd w:fill="F2F6FA"/>
        <w:spacing w:after="0" w:line="220" w:lineRule="auto"/>
      </w:pPr>
      <w:r>
        <w:rPr>
          <w:rFonts w:ascii="DejaVu Sans Mono" w:hAnsi="DejaVu Sans Mono"/>
          <w:sz w:val="18"/>
        </w:rPr>
        <w:t xml:space="preserve">  require active(principal) and currentCredential(principal)</w:t>
      </w:r>
    </w:p>
    <w:p>
      <w:pPr>
        <w:shd w:fill="F2F6FA"/>
        <w:spacing w:after="0" w:line="220" w:lineRule="auto"/>
      </w:pPr>
      <w:r>
        <w:rPr>
          <w:rFonts w:ascii="DejaVu Sans Mono" w:hAnsi="DejaVu Sans Mono"/>
          <w:sz w:val="18"/>
        </w:rPr>
        <w:t xml:space="preserve">  resolve generated, generic and known raw calls to identical canonical bindings</w:t>
      </w:r>
    </w:p>
    <w:p>
      <w:pPr>
        <w:shd w:fill="F2F6FA"/>
        <w:spacing w:after="0" w:line="220" w:lineRule="auto"/>
      </w:pPr>
      <w:r>
        <w:rPr>
          <w:rFonts w:ascii="DejaVu Sans Mono" w:hAnsi="DejaVu Sans Mono"/>
          <w:sz w:val="18"/>
        </w:rPr>
        <w:t xml:space="preserve">  reject known raw calls that cannot decode and validate the canonical arguments</w:t>
      </w:r>
    </w:p>
    <w:p>
      <w:pPr>
        <w:shd w:fill="F2F6FA"/>
        <w:spacing w:after="0" w:line="220" w:lineRule="auto"/>
      </w:pPr>
      <w:r>
        <w:rPr>
          <w:rFonts w:ascii="DejaVu Sans Mono" w:hAnsi="DejaVu Sans Mono"/>
          <w:sz w:val="18"/>
        </w:rPr>
        <w:t xml:space="preserve">  require a schema-bound binding rule for EVERY binding; absence or stale hash denies</w:t>
      </w:r>
    </w:p>
    <w:p>
      <w:pPr>
        <w:shd w:fill="F2F6FA"/>
        <w:spacing w:after="0" w:line="220" w:lineRule="auto"/>
      </w:pPr>
      <w:r>
        <w:rPr>
          <w:rFonts w:ascii="DejaVu Sans Mono" w:hAnsi="DejaVu Sans Mono"/>
          <w:sz w:val="18"/>
        </w:rPr>
        <w:t xml:space="preserve">  unknown raw calls require an explicit broad raw backend/service grant and tool rule</w:t>
      </w:r>
    </w:p>
    <w:p>
      <w:pPr>
        <w:shd w:fill="F2F6FA"/>
        <w:spacing w:after="0" w:line="220" w:lineRule="auto"/>
      </w:pPr>
      <w:r>
        <w:rPr>
          <w:rFonts w:ascii="DejaVu Sans Mono" w:hAnsi="DejaVu Sans Mono"/>
          <w:sz w:val="18"/>
        </w:rPr>
        <w:t xml:space="preserve">  collect binding rules, required entry-point rule and global/adapter guardrails</w:t>
      </w:r>
    </w:p>
    <w:p>
      <w:pPr>
        <w:shd w:fill="F2F6FA"/>
        <w:spacing w:after="0" w:line="220" w:lineRule="auto"/>
      </w:pPr>
      <w:r>
        <w:rPr>
          <w:rFonts w:ascii="DejaVu Sans Mono" w:hAnsi="DejaVu Sans Mono"/>
          <w:sz w:val="18"/>
        </w:rPr>
        <w:t xml:space="preserve">  if any deny or unknown semantics or arguments outside ANY constraint: DENY</w:t>
      </w:r>
    </w:p>
    <w:p>
      <w:pPr>
        <w:shd w:fill="F2F6FA"/>
        <w:spacing w:after="0" w:line="220" w:lineRule="auto"/>
      </w:pPr>
      <w:r>
        <w:rPr>
          <w:rFonts w:ascii="DejaVu Sans Mono" w:hAnsi="DejaVu Sans Mono"/>
          <w:sz w:val="18"/>
        </w:rPr>
        <w:t xml:space="preserve">  if not capabilityAvailableNow(plan): OS_UNAVAILABLE</w:t>
      </w:r>
    </w:p>
    <w:p>
      <w:pPr>
        <w:shd w:fill="F2F6FA"/>
        <w:spacing w:after="0" w:line="220" w:lineRule="auto"/>
      </w:pPr>
      <w:r>
        <w:rPr>
          <w:rFonts w:ascii="DejaVu Sans Mono" w:hAnsi="DejaVu Sans Mono"/>
          <w:sz w:val="18"/>
        </w:rPr>
        <w:t xml:space="preserve">  if any ask or globalAskFloor(plan): require validOneUseApproval(principal, plan, snapshot)</w:t>
      </w:r>
    </w:p>
    <w:p>
      <w:pPr>
        <w:shd w:fill="F2F6FA"/>
        <w:spacing w:after="0" w:line="220" w:lineRule="auto"/>
      </w:pPr>
      <w:r>
        <w:rPr>
          <w:rFonts w:ascii="DejaVu Sans Mono" w:hAnsi="DejaVu Sans Mono"/>
          <w:sz w:val="18"/>
        </w:rPr>
        <w:t xml:space="preserve">  recheck credential, registry/schema/target/policy versions at admission</w:t>
      </w:r>
    </w:p>
    <w:p>
      <w:pPr>
        <w:shd w:fill="F2F6FA"/>
        <w:spacing w:after="0" w:line="220" w:lineRule="auto"/>
      </w:pPr>
      <w:r>
        <w:rPr>
          <w:rFonts w:ascii="DejaVu Sans Mono" w:hAnsi="DejaVu Sans Mono"/>
          <w:sz w:val="18"/>
        </w:rPr>
        <w:t xml:space="preserve">  return ADMIT_CANDIDATE  // commit admission before dispatch</w:t>
      </w:r>
    </w:p>
    <w:p>
      <w:pPr>
        <w:pStyle w:val="Heading2"/>
        <w:keepNext/>
        <w:spacing w:after="90" w:line="260" w:lineRule="auto"/>
      </w:pPr>
      <w:r>
        <w:rPr>
          <w:rFonts w:ascii="DejaVu Sans" w:hAnsi="DejaVu Sans"/>
          <w:b/>
          <w:sz w:val="25"/>
        </w:rPr>
        <w:t xml:space="preserve">Why capability inventory is separate</w:t>
      </w:r>
    </w:p>
    <w:p>
      <w:pPr>
        <w:spacing w:after="90" w:line="260" w:lineRule="auto"/>
      </w:pPr>
      <w:r>
        <w:rPr>
          <w:rFonts w:ascii="DejaVu Sans" w:hAnsi="DejaVu Sans"/>
          <w:sz w:val="21"/>
        </w:rPr>
        <w:t xml:space="preserve">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keepNext/>
        <w:spacing w:after="90" w:line="260" w:lineRule="auto"/>
      </w:pPr>
      <w:r>
        <w:rPr>
          <w:rFonts w:ascii="DejaVu Sans" w:hAnsi="DejaVu Sans"/>
          <w:b/>
          <w:sz w:val="30"/>
        </w:rPr>
        <w:t xml:space="preserve">6 Request specific approval</w:t>
      </w:r>
    </w:p>
    <w:p>
      <w:pPr>
        <w:spacing w:after="90" w:line="260" w:lineRule="auto"/>
      </w:pPr>
      <w:r>
        <w:rPr>
          <w:rFonts w:ascii="DejaVu Sans" w:hAnsi="DejaVu Sans"/>
          <w:sz w:val="21"/>
        </w:rPr>
        <w:t xml:space="preserve">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keepNext/>
        <w:spacing w:after="90" w:line="260" w:lineRule="auto"/>
      </w:pPr>
      <w:r>
        <w:rPr>
          <w:rFonts w:ascii="DejaVu Sans" w:hAnsi="DejaVu Sans"/>
          <w:b/>
          <w:sz w:val="25"/>
        </w:rPr>
        <w:t xml:space="preserve">Approval binding</w:t>
      </w:r>
    </w:p>
    <w:p>
      <w:pPr>
        <w:spacing w:after="90" w:line="260" w:lineRule="auto"/>
      </w:pPr>
      <w:r>
        <w:rPr>
          <w:rFonts w:ascii="DejaVu Sans" w:hAnsi="DejaVu Sans"/>
          <w:sz w:val="21"/>
        </w:rPr>
        <w:t xml:space="preserve">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shd w:fill="F2F6FA"/>
        <w:spacing w:after="0" w:line="220" w:lineRule="auto"/>
      </w:pPr>
      <w:r>
        <w:rPr>
          <w:rFonts w:ascii="DejaVu Sans Mono" w:hAnsi="DejaVu Sans Mono"/>
          <w:sz w:val="18"/>
        </w:rPr>
        <w:t xml:space="preserve">approvalBinding = Hash(</w:t>
      </w:r>
    </w:p>
    <w:p>
      <w:pPr>
        <w:shd w:fill="F2F6FA"/>
        <w:spacing w:after="0" w:line="220" w:lineRule="auto"/>
      </w:pPr>
      <w:r>
        <w:rPr>
          <w:rFonts w:ascii="DejaVu Sans Mono" w:hAnsi="DejaVu Sans Mono"/>
          <w:sz w:val="18"/>
        </w:rPr>
        <w:t xml:space="preserve">  canonicalizationVersion, serverBootId, requestNonce,</w:t>
      </w:r>
    </w:p>
    <w:p>
      <w:pPr>
        <w:shd w:fill="F2F6FA"/>
        <w:spacing w:after="0" w:line="220" w:lineRule="auto"/>
      </w:pPr>
      <w:r>
        <w:rPr>
          <w:rFonts w:ascii="DejaVu Sans Mono" w:hAnsi="DejaVu Sans Mono"/>
          <w:sz w:val="18"/>
        </w:rPr>
        <w:t xml:space="preserve">  clientId, credentialEpoch, toolId, adapterSchemaVersion,</w:t>
      </w:r>
    </w:p>
    <w:p>
      <w:pPr>
        <w:shd w:fill="F2F6FA"/>
        <w:spacing w:after="0" w:line="220" w:lineRule="auto"/>
      </w:pPr>
      <w:r>
        <w:rPr>
          <w:rFonts w:ascii="DejaVu Sans Mono" w:hAnsi="DejaVu Sans Mono"/>
          <w:sz w:val="18"/>
        </w:rPr>
        <w:t xml:space="preserve">  canonicalArguments, resolvedResourceIds, targetIdentity,</w:t>
      </w:r>
    </w:p>
    <w:p>
      <w:pPr>
        <w:shd w:fill="F2F6FA"/>
        <w:spacing w:after="0" w:line="220" w:lineRule="auto"/>
      </w:pPr>
      <w:r>
        <w:rPr>
          <w:rFonts w:ascii="DejaVu Sans Mono" w:hAnsi="DejaVu Sans Mono"/>
          <w:sz w:val="18"/>
        </w:rPr>
        <w:t xml:space="preserve">  expectedResourceVersion, policyRevision, registryRevision,</w:t>
      </w:r>
    </w:p>
    <w:p>
      <w:pPr>
        <w:shd w:fill="F2F6FA"/>
        <w:spacing w:after="0" w:line="220" w:lineRule="auto"/>
      </w:pPr>
      <w:r>
        <w:rPr>
          <w:rFonts w:ascii="DejaVu Sans Mono" w:hAnsi="DejaVu Sans Mono"/>
          <w:sz w:val="18"/>
        </w:rPr>
        <w:t xml:space="preserve">  capabilityGeneration, monotonicExpiry</w:t>
      </w:r>
    </w:p>
    <w:p>
      <w:pPr>
        <w:shd w:fill="F2F6FA"/>
        <w:spacing w:after="0" w:line="220" w:lineRule="auto"/>
      </w:pPr>
      <w:r>
        <w:rPr>
          <w:rFonts w:ascii="DejaVu Sans Mono" w:hAnsi="DejaVu Sans Mono"/>
          <w:sz w:val="18"/>
        </w:rPr>
        <w:t xml:space="preserve">)</w:t>
      </w:r>
    </w:p>
    <w:p>
      <w:pPr>
        <w:spacing w:after="90" w:line="260" w:lineRule="auto"/>
      </w:pPr>
      <w:r>
        <w:rPr>
          <w:rFonts w:ascii="DejaVu Sans" w:hAnsi="DejaVu Sans"/>
          <w:sz w:val="21"/>
        </w:rPr>
        <w:t xml:space="preserve">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State</w:t>
            </w:r>
          </w:p>
        </w:tc>
        <w:tc>
          <w:tcPr>
            <w:tcW w:w="7668" w:type="dxa"/>
            <w:shd w:fill="E4EDF5"/>
            <w:vAlign w:val="top"/>
          </w:tcPr>
          <w:p>
            <w:pPr>
              <w:spacing w:after="60" w:line="235" w:lineRule="auto"/>
            </w:pPr>
            <w:r>
              <w:rPr>
                <w:rFonts w:ascii="DejaVu Sans" w:hAnsi="DejaVu Sans"/>
                <w:b/>
                <w:sz w:val="18"/>
              </w:rPr>
              <w:t xml:space="preserve">Allowed transition</w:t>
            </w:r>
          </w:p>
        </w:tc>
      </w:tr>
      <w:tr>
        <w:trPr>
          <w:cantSplit/>
        </w:trPr>
        <w:tc>
          <w:tcPr>
            <w:tcW w:w="2556" w:type="dxa"/>
            <w:shd w:fill="FFFFFF"/>
            <w:vAlign w:val="top"/>
          </w:tcPr>
          <w:p>
            <w:pPr>
              <w:spacing w:after="60" w:line="235" w:lineRule="auto"/>
            </w:pPr>
            <w:r>
              <w:rPr>
                <w:rFonts w:ascii="DejaVu Sans" w:hAnsi="DejaVu Sans"/>
                <w:sz w:val="18"/>
              </w:rPr>
              <w:t xml:space="preserve">Pending</w:t>
            </w:r>
          </w:p>
        </w:tc>
        <w:tc>
          <w:tcPr>
            <w:tcW w:w="7668" w:type="dxa"/>
            <w:shd w:fill="FFFFFF"/>
            <w:vAlign w:val="top"/>
          </w:tcPr>
          <w:p>
            <w:pPr>
              <w:spacing w:after="60" w:line="235" w:lineRule="auto"/>
            </w:pPr>
            <w:r>
              <w:rPr>
                <w:rFonts w:ascii="DejaVu Sans" w:hAnsi="DejaVu Sans"/>
                <w:sz w:val="18"/>
              </w:rPr>
              <w:t xml:space="preserve">Approved, denied, expired, canceled or invalidated; no adapter call</w:t>
            </w:r>
          </w:p>
        </w:tc>
      </w:tr>
      <w:tr>
        <w:trPr>
          <w:cantSplit/>
        </w:trPr>
        <w:tc>
          <w:tcPr>
            <w:tcW w:w="2556" w:type="dxa"/>
            <w:shd w:fill="FFFFFF"/>
            <w:vAlign w:val="top"/>
          </w:tcPr>
          <w:p>
            <w:pPr>
              <w:spacing w:after="60" w:line="235" w:lineRule="auto"/>
            </w:pPr>
            <w:r>
              <w:rPr>
                <w:rFonts w:ascii="DejaVu Sans" w:hAnsi="DejaVu Sans"/>
                <w:sz w:val="18"/>
              </w:rPr>
              <w:t xml:space="preserve">Approved</w:t>
            </w:r>
          </w:p>
        </w:tc>
        <w:tc>
          <w:tcPr>
            <w:tcW w:w="7668" w:type="dxa"/>
            <w:shd w:fill="FFFFFF"/>
            <w:vAlign w:val="top"/>
          </w:tcPr>
          <w:p>
            <w:pPr>
              <w:spacing w:after="60" w:line="235" w:lineRule="auto"/>
            </w:pPr>
            <w:r>
              <w:rPr>
                <w:rFonts w:ascii="DejaVu Sans" w:hAnsi="DejaVu Sans"/>
                <w:sz w:val="18"/>
              </w:rPr>
              <w:t xml:space="preserve">Consumed once at admission if every binding still matches; otherwise invalidated</w:t>
            </w:r>
          </w:p>
        </w:tc>
      </w:tr>
      <w:tr>
        <w:trPr>
          <w:cantSplit/>
        </w:trPr>
        <w:tc>
          <w:tcPr>
            <w:tcW w:w="2556" w:type="dxa"/>
            <w:shd w:fill="FFFFFF"/>
            <w:vAlign w:val="top"/>
          </w:tcPr>
          <w:p>
            <w:pPr>
              <w:spacing w:after="60" w:line="235" w:lineRule="auto"/>
            </w:pPr>
            <w:r>
              <w:rPr>
                <w:rFonts w:ascii="DejaVu Sans" w:hAnsi="DejaVu Sans"/>
                <w:sz w:val="18"/>
              </w:rPr>
              <w:t xml:space="preserve">Consumed</w:t>
            </w:r>
          </w:p>
        </w:tc>
        <w:tc>
          <w:tcPr>
            <w:tcW w:w="7668" w:type="dxa"/>
            <w:shd w:fill="FFFFFF"/>
            <w:vAlign w:val="top"/>
          </w:tcPr>
          <w:p>
            <w:pPr>
              <w:spacing w:after="60" w:line="235" w:lineRule="auto"/>
            </w:pPr>
            <w:r>
              <w:rPr>
                <w:rFonts w:ascii="DejaVu Sans" w:hAnsi="DejaVu Sans"/>
                <w:sz w:val="18"/>
              </w:rPr>
              <w:t xml:space="preserve">Execution may begin; a retry cannot reuse this approval</w:t>
            </w:r>
          </w:p>
        </w:tc>
      </w:tr>
      <w:tr>
        <w:trPr>
          <w:cantSplit/>
        </w:trPr>
        <w:tc>
          <w:tcPr>
            <w:tcW w:w="2556" w:type="dxa"/>
            <w:shd w:fill="FFFFFF"/>
            <w:vAlign w:val="top"/>
          </w:tcPr>
          <w:p>
            <w:pPr>
              <w:spacing w:after="60" w:line="235" w:lineRule="auto"/>
            </w:pPr>
            <w:r>
              <w:rPr>
                <w:rFonts w:ascii="DejaVu Sans" w:hAnsi="DejaVu Sans"/>
                <w:sz w:val="18"/>
              </w:rPr>
              <w:t xml:space="preserve">Terminal</w:t>
            </w:r>
          </w:p>
        </w:tc>
        <w:tc>
          <w:tcPr>
            <w:tcW w:w="7668" w:type="dxa"/>
            <w:shd w:fill="FFFFFF"/>
            <w:vAlign w:val="top"/>
          </w:tcPr>
          <w:p>
            <w:pPr>
              <w:spacing w:after="60" w:line="235" w:lineRule="auto"/>
            </w:pPr>
            <w:r>
              <w:rPr>
                <w:rFonts w:ascii="DejaVu Sans" w:hAnsi="DejaVu Sans"/>
                <w:sz w:val="18"/>
              </w:rPr>
              <w:t xml:space="preserve">Denied, expired, canceled or invalidated cannot return to Approved</w:t>
            </w:r>
          </w:p>
        </w:tc>
      </w:tr>
    </w:tbl>
    <w:p>
      <w:pPr>
        <w:spacing w:after="90" w:line="260" w:lineRule="auto"/>
      </w:pPr>
    </w:p>
    <w:p>
      <w:pPr>
        <w:pStyle w:val="Heading2"/>
        <w:keepNext/>
        <w:spacing w:after="90" w:line="260" w:lineRule="auto"/>
      </w:pPr>
      <w:r>
        <w:rPr>
          <w:rFonts w:ascii="DejaVu Sans" w:hAnsi="DejaVu Sans"/>
          <w:b/>
          <w:sz w:val="25"/>
        </w:rPr>
        <w:t xml:space="preserve">Interaction and race handling</w:t>
      </w:r>
    </w:p>
    <w:p>
      <w:pPr>
        <w:numPr>
          <w:ilvl w:val="0"/>
          <w:numId w:val="1019"/>
        </w:numPr>
        <w:spacing w:after="90" w:line="260" w:lineRule="auto"/>
      </w:pPr>
      <w:r>
        <w:rPr>
          <w:rFonts w:ascii="DejaVu Sans" w:hAnsi="DejaVu Sans"/>
          <w:sz w:val="21"/>
        </w:rPr>
        <w:t xml:space="preserve">Show client identity/fingerprint, exact action, recipient or resource, relevant values, requested output, side effect warning and expiry. Default focus is Deny. Allow once is separate from Edit policy; persistent permission changes use the normal Apply flow.</w:t>
      </w:r>
    </w:p>
    <w:p>
      <w:pPr>
        <w:numPr>
          <w:ilvl w:val="0"/>
          <w:numId w:val="1019"/>
        </w:numPr>
        <w:spacing w:after="90" w:line="260" w:lineRule="auto"/>
      </w:pPr>
      <w:r>
        <w:rPr>
          <w:rFonts w:ascii="DejaVu Sans" w:hAnsi="DejaVu Sans"/>
          <w:sz w:val="21"/>
        </w:rPr>
        <w:t xml:space="preserve">If the app is not in the foreground, use a privacy preserving notification that opens the app, subject to Android permission and background launch restrictions. Do not launch arbitrary activities silently. No available approval UI means expiry, not auto approval.</w:t>
      </w:r>
    </w:p>
    <w:p>
      <w:pPr>
        <w:numPr>
          <w:ilvl w:val="0"/>
          <w:numId w:val="1019"/>
        </w:numPr>
        <w:spacing w:after="90" w:line="260" w:lineRule="auto"/>
      </w:pPr>
      <w:r>
        <w:rPr>
          <w:rFonts w:ascii="DejaVu Sans" w:hAnsi="DejaVu Sans"/>
          <w:sz w:val="21"/>
        </w:rPr>
        <w:t xml:space="preserve">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numPr>
          <w:ilvl w:val="0"/>
          <w:numId w:val="1019"/>
        </w:numPr>
        <w:spacing w:after="90" w:line="260" w:lineRule="auto"/>
      </w:pPr>
      <w:r>
        <w:rPr>
          <w:rFonts w:ascii="DejaVu Sans" w:hAnsi="DejaVu Sans"/>
          <w:sz w:val="21"/>
        </w:rPr>
        <w:t xml:space="preserve">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keepNext/>
        <w:spacing w:after="90" w:line="260" w:lineRule="auto"/>
      </w:pPr>
      <w:r>
        <w:rPr>
          <w:rFonts w:ascii="DejaVu Sans" w:hAnsi="DejaVu Sans"/>
          <w:b/>
          <w:sz w:val="30"/>
        </w:rPr>
        <w:t xml:space="preserve">7 Revocation and Android lifecycle</w:t>
      </w:r>
    </w:p>
    <w:p>
      <w:pPr>
        <w:pStyle w:val="Heading2"/>
        <w:keepNext/>
        <w:spacing w:after="90" w:line="260" w:lineRule="auto"/>
      </w:pPr>
      <w:r>
        <w:rPr>
          <w:rFonts w:ascii="DejaVu Sans" w:hAnsi="DejaVu Sans"/>
          <w:b/>
          <w:sz w:val="25"/>
        </w:rPr>
        <w:t xml:space="preserve">A precise execution boundary</w:t>
      </w:r>
    </w:p>
    <w:p>
      <w:pPr>
        <w:spacing w:after="90" w:line="260" w:lineRule="auto"/>
      </w:pPr>
      <w:r>
        <w:rPr>
          <w:rFonts w:ascii="DejaVu Sans" w:hAnsi="DejaVu Sans"/>
          <w:sz w:val="21"/>
        </w:rPr>
        <w:t xml:space="preserve">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pPr>
        <w:spacing w:after="90" w:line="260" w:lineRule="auto"/>
      </w:pPr>
      <w:r>
        <w:rPr>
          <w:rFonts w:ascii="DejaVu Sans" w:hAnsi="DejaVu Sans"/>
          <w:sz w:val="21"/>
        </w:rPr>
        <w:t xml:space="preserve">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Situation</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Policy becomes narrower</w:t>
            </w:r>
          </w:p>
        </w:tc>
        <w:tc>
          <w:tcPr>
            <w:tcW w:w="7668" w:type="dxa"/>
            <w:shd w:fill="FFFFFF"/>
            <w:vAlign w:val="top"/>
          </w:tcPr>
          <w:p>
            <w:pPr>
              <w:spacing w:after="60" w:line="235" w:lineRule="auto"/>
            </w:pPr>
            <w:r>
              <w:rPr>
                <w:rFonts w:ascii="DejaVu Sans" w:hAnsi="DejaVu Sans"/>
                <w:sz w:val="18"/>
              </w:rPr>
              <w:t xml:space="preserve">Invalidate pending approvals; reevaluate queued calls and active output. Stop future disallowed effects and disclosures. Do not reuse cached discovery as authority.</w:t>
            </w:r>
          </w:p>
        </w:tc>
      </w:tr>
      <w:tr>
        <w:trPr>
          <w:cantSplit/>
        </w:trPr>
        <w:tc>
          <w:tcPr>
            <w:tcW w:w="2556" w:type="dxa"/>
            <w:shd w:fill="FFFFFF"/>
            <w:vAlign w:val="top"/>
          </w:tcPr>
          <w:p>
            <w:pPr>
              <w:spacing w:after="60" w:line="235" w:lineRule="auto"/>
            </w:pPr>
            <w:r>
              <w:rPr>
                <w:rFonts w:ascii="DejaVu Sans" w:hAnsi="DejaVu Sans"/>
                <w:sz w:val="18"/>
              </w:rPr>
              <w:t xml:space="preserve">Client revoked</w:t>
            </w:r>
          </w:p>
        </w:tc>
        <w:tc>
          <w:tcPr>
            <w:tcW w:w="7668" w:type="dxa"/>
            <w:shd w:fill="FFFFFF"/>
            <w:vAlign w:val="top"/>
          </w:tcPr>
          <w:p>
            <w:pPr>
              <w:spacing w:after="60" w:line="235" w:lineRule="auto"/>
            </w:pPr>
            <w:r>
              <w:rPr>
                <w:rFonts w:ascii="DejaVu Sans" w:hAnsi="DejaVu Sans"/>
                <w:sz w:val="18"/>
              </w:rPr>
              <w:t xml:space="preserve">Reject new requests and admission; cancel cooperatively, drop queued events, close its streams and prevent replay to the old principal.</w:t>
            </w:r>
          </w:p>
        </w:tc>
      </w:tr>
      <w:tr>
        <w:trPr>
          <w:cantSplit/>
        </w:trPr>
        <w:tc>
          <w:tcPr>
            <w:tcW w:w="2556" w:type="dxa"/>
            <w:shd w:fill="FFFFFF"/>
            <w:vAlign w:val="top"/>
          </w:tcPr>
          <w:p>
            <w:pPr>
              <w:spacing w:after="60" w:line="235" w:lineRule="auto"/>
            </w:pPr>
            <w:r>
              <w:rPr>
                <w:rFonts w:ascii="DejaVu Sans" w:hAnsi="DejaVu Sans"/>
                <w:sz w:val="18"/>
              </w:rPr>
              <w:t xml:space="preserve">Effect already dispatched</w:t>
            </w:r>
          </w:p>
        </w:tc>
        <w:tc>
          <w:tcPr>
            <w:tcW w:w="7668" w:type="dxa"/>
            <w:shd w:fill="FFFFFF"/>
            <w:vAlign w:val="top"/>
          </w:tcPr>
          <w:p>
            <w:pPr>
              <w:spacing w:after="60" w:line="235" w:lineRule="auto"/>
            </w:pPr>
            <w:r>
              <w:rPr>
                <w:rFonts w:ascii="DejaVu Sans" w:hAnsi="DejaVu Sans"/>
                <w:sz w:val="18"/>
              </w:rPr>
              <w:t xml:space="preserve">Attempt documented cancellation if safe. Record completed, canceled or outcome unknown honestly. Revocation is not rollback.</w:t>
            </w:r>
          </w:p>
        </w:tc>
      </w:tr>
      <w:tr>
        <w:trPr>
          <w:cantSplit/>
        </w:trPr>
        <w:tc>
          <w:tcPr>
            <w:tcW w:w="2556" w:type="dxa"/>
            <w:shd w:fill="FFFFFF"/>
            <w:vAlign w:val="top"/>
          </w:tcPr>
          <w:p>
            <w:pPr>
              <w:spacing w:after="60" w:line="235" w:lineRule="auto"/>
            </w:pPr>
            <w:r>
              <w:rPr>
                <w:rFonts w:ascii="DejaVu Sans" w:hAnsi="DejaVu Sans"/>
                <w:sz w:val="18"/>
              </w:rPr>
              <w:t xml:space="preserve">Connection reconnects</w:t>
            </w:r>
          </w:p>
        </w:tc>
        <w:tc>
          <w:tcPr>
            <w:tcW w:w="7668" w:type="dxa"/>
            <w:shd w:fill="FFFFFF"/>
            <w:vAlign w:val="top"/>
          </w:tcPr>
          <w:p>
            <w:pPr>
              <w:spacing w:after="60" w:line="235" w:lineRule="auto"/>
            </w:pPr>
            <w:r>
              <w:rPr>
                <w:rFonts w:ascii="DejaVu Sans" w:hAnsi="DejaVu Sans"/>
                <w:sz w:val="18"/>
              </w:rPr>
              <w:t xml:space="preserve">Authenticate again and validate ownership and revisions. Default v1 has no durable event replay; client retries cannot recreate an approval.</w:t>
            </w:r>
          </w:p>
        </w:tc>
      </w:tr>
    </w:tbl>
    <w:p>
      <w:pPr>
        <w:spacing w:after="90" w:line="260" w:lineRule="auto"/>
      </w:pPr>
    </w:p>
    <w:p>
      <w:pPr>
        <w:pStyle w:val="Heading2"/>
        <w:keepNext/>
        <w:spacing w:after="90" w:line="260" w:lineRule="auto"/>
      </w:pPr>
      <w:r>
        <w:rPr>
          <w:rFonts w:ascii="DejaVu Sans" w:hAnsi="DejaVu Sans"/>
          <w:b/>
          <w:sz w:val="25"/>
        </w:rPr>
        <w:t xml:space="preserve">Persistent server requirement</w:t>
      </w:r>
    </w:p>
    <w:p>
      <w:pPr>
        <w:spacing w:after="90" w:line="260" w:lineRule="auto"/>
      </w:pPr>
      <w:r>
        <w:rPr>
          <w:rFonts w:ascii="DejaVu Sans" w:hAnsi="DejaVu Sans"/>
          <w:sz w:val="21"/>
        </w:rPr>
        <w:t xml:space="preserve">The MCP server must remain running independently of the Avalonia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pPr>
        <w:spacing w:after="90" w:line="260" w:lineRule="auto"/>
      </w:pPr>
      <w:r>
        <w:rPr>
          <w:rFonts w:ascii="DejaVu Sans" w:hAnsi="DejaVu Sans"/>
          <w:sz w:val="21"/>
        </w:rPr>
        <w:t xml:space="preserve">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pPr>
        <w:spacing w:after="90" w:line="260" w:lineRule="auto"/>
      </w:pPr>
      <w:r>
        <w:rPr>
          <w:rFonts w:ascii="DejaVu Sans" w:hAnsi="DejaVu Sans"/>
          <w:sz w:val="21"/>
        </w:rPr>
        <w:t xml:space="preserve">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keepNext/>
        <w:spacing w:after="90" w:line="260" w:lineRule="auto"/>
      </w:pPr>
      <w:r>
        <w:rPr>
          <w:rFonts w:ascii="DejaVu Sans" w:hAnsi="DejaVu Sans"/>
          <w:b/>
          <w:sz w:val="30"/>
        </w:rPr>
        <w:t xml:space="preserve">Service boot recovery and status indicators</w:t>
      </w:r>
    </w:p>
    <w:p>
      <w:pPr>
        <w:pStyle w:val="Heading2"/>
        <w:keepNext/>
        <w:spacing w:after="90" w:line="260" w:lineRule="auto"/>
      </w:pPr>
      <w:r>
        <w:rPr>
          <w:rFonts w:ascii="DejaVu Sans" w:hAnsi="DejaVu Sans"/>
          <w:b/>
          <w:sz w:val="25"/>
        </w:rPr>
        <w:t xml:space="preserve">Optional boot start</w:t>
      </w:r>
    </w:p>
    <w:p>
      <w:pPr>
        <w:spacing w:after="90" w:line="260" w:lineRule="auto"/>
      </w:pPr>
      <w:r>
        <w:rPr>
          <w:rFonts w:ascii="DejaVu Sans" w:hAnsi="DejaVu Sans"/>
          <w:sz w:val="21"/>
        </w:rPr>
        <w:t xml:space="preserve">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pPr>
        <w:spacing w:after="90" w:line="260" w:lineRule="auto"/>
      </w:pPr>
      <w:r>
        <w:rPr>
          <w:rFonts w:ascii="DejaVu Sans" w:hAnsi="DejaVu Sans"/>
          <w:sz w:val="21"/>
        </w:rPr>
        <w:t xml:space="preserve">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[S26]</w:t>
      </w:r>
    </w:p>
    <w:p>
      <w:pPr>
        <w:pStyle w:val="Heading2"/>
        <w:keepNext/>
        <w:spacing w:after="90" w:line="260" w:lineRule="auto"/>
      </w:pPr>
      <w:r>
        <w:rPr>
          <w:rFonts w:ascii="DejaVu Sans" w:hAnsi="DejaVu Sans"/>
          <w:b/>
          <w:sz w:val="25"/>
        </w:rPr>
        <w:t xml:space="preserve">Independent server and backend health</w:t>
      </w:r>
    </w:p>
    <w:p>
      <w:pPr>
        <w:spacing w:after="90" w:line="260" w:lineRule="auto"/>
      </w:pPr>
      <w:r>
        <w:rPr>
          <w:rFonts w:ascii="DejaVu Sans" w:hAnsi="DejaVu Sans"/>
          <w:sz w:val="21"/>
        </w:rPr>
        <w:t xml:space="preserve">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pPr>
        <w:spacing w:after="90" w:line="260" w:lineRule="auto"/>
      </w:pPr>
      <w:r>
        <w:rPr>
          <w:rFonts w:ascii="DejaVu Sans" w:hAnsi="DejaVu Sans"/>
          <w:sz w:val="21"/>
        </w:rPr>
        <w:t xml:space="preserve">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keepNext/>
        <w:spacing w:after="90" w:line="260" w:lineRule="auto"/>
      </w:pPr>
      <w:r>
        <w:rPr>
          <w:rFonts w:ascii="DejaVu Sans" w:hAnsi="DejaVu Sans"/>
          <w:b/>
          <w:sz w:val="25"/>
        </w:rPr>
        <w:t xml:space="preserve">AppBar and Android status icon</w:t>
      </w:r>
    </w:p>
    <w:p>
      <w:pPr>
        <w:spacing w:after="90" w:line="260" w:lineRule="auto"/>
      </w:pPr>
      <w:r>
        <w:rPr>
          <w:rFonts w:ascii="DejaVu Sans" w:hAnsi="DejaVu Sans"/>
          <w:sz w:val="21"/>
        </w:rPr>
        <w:t xml:space="preserve">Show a matching MCP server icon in the Avalonia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pPr>
        <w:spacing w:after="90" w:line="260" w:lineRule="auto"/>
      </w:pPr>
      <w:r>
        <w:rPr>
          <w:rFonts w:ascii="DejaVu Sans" w:hAnsi="DejaVu Sans"/>
          <w:sz w:val="21"/>
        </w:rPr>
        <w:t xml:space="preserve">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[S27]</w:t>
      </w:r>
    </w:p>
    <w:p>
      <w:pPr>
        <w:spacing w:after="90" w:line="260" w:lineRule="auto"/>
      </w:pPr>
      <w:r>
        <w:rPr>
          <w:rFonts w:ascii="DejaVu Sans" w:hAnsi="DejaVu Sans"/>
          <w:sz w:val="21"/>
        </w:rPr>
        <w:t xml:space="preserve">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keepNext/>
        <w:spacing w:after="90" w:line="260" w:lineRule="auto"/>
      </w:pPr>
      <w:r>
        <w:rPr>
          <w:rFonts w:ascii="DejaVu Sans" w:hAnsi="DejaVu Sans"/>
          <w:b/>
          <w:sz w:val="30"/>
        </w:rPr>
        <w:t xml:space="preserve">8 Avalonia management interface</w:t>
      </w:r>
    </w:p>
    <w:p>
      <w:pPr>
        <w:spacing w:after="90" w:line="260" w:lineRule="auto"/>
      </w:pPr>
      <w:r>
        <w:rPr>
          <w:rFonts w:ascii="DejaVu Sans" w:hAnsi="DejaVu Sans"/>
          <w:sz w:val="21"/>
        </w:rPr>
        <w:t xml:space="preserve">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keepNext/>
        <w:spacing w:after="90" w:line="260" w:lineRule="auto"/>
      </w:pPr>
      <w:r>
        <w:rPr>
          <w:rFonts w:ascii="DejaVu Sans" w:hAnsi="DejaVu Sans"/>
          <w:b/>
          <w:sz w:val="25"/>
        </w:rPr>
        <w:t xml:space="preserve">Wide layout permission editor</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Clients</w:t>
            </w:r>
          </w:p>
        </w:tc>
        <w:tc>
          <w:tcPr>
            <w:tcW w:w="7668" w:type="dxa"/>
            <w:shd w:fill="E4EDF5"/>
            <w:vAlign w:val="top"/>
          </w:tcPr>
          <w:p>
            <w:pPr>
              <w:spacing w:after="60" w:line="235" w:lineRule="auto"/>
            </w:pPr>
            <w:r>
              <w:rPr>
                <w:rFonts w:ascii="DejaVu Sans" w:hAnsi="DejaVu Sans"/>
                <w:b/>
                <w:sz w:val="18"/>
              </w:rPr>
              <w:t xml:space="preserve">Client permissions for Research agent</w:t>
            </w:r>
          </w:p>
        </w:tc>
      </w:tr>
      <w:tr>
        <w:trPr>
          <w:cantSplit/>
        </w:trPr>
        <w:tc>
          <w:tcPr>
            <w:tcW w:w="2556" w:type="dxa"/>
            <w:shd w:fill="FFFFFF"/>
            <w:vAlign w:val="top"/>
          </w:tcPr>
          <w:p>
            <w:pPr>
              <w:spacing w:after="60" w:line="235" w:lineRule="auto"/>
            </w:pPr>
            <w:r>
              <w:rPr>
                <w:rFonts w:ascii="DejaVu Sans" w:hAnsi="DejaVu Sans"/>
                <w:sz w:val="18"/>
              </w:rPr>
              <w:t xml:space="preserve">Search clients</w:t>
            </w:r>
          </w:p>
        </w:tc>
        <w:tc>
          <w:tcPr>
            <w:tcW w:w="7668" w:type="dxa"/>
            <w:shd w:fill="FFFFFF"/>
            <w:vAlign w:val="top"/>
          </w:tcPr>
          <w:p>
            <w:pPr>
              <w:spacing w:after="60" w:line="235" w:lineRule="auto"/>
            </w:pPr>
            <w:r>
              <w:rPr>
                <w:rFonts w:ascii="DejaVu Sans" w:hAnsi="DejaVu Sans"/>
                <w:sz w:val="18"/>
              </w:rPr>
              <w:t xml:space="preserve">Active  •  fingerprint 6F2A  •  policy revision 18</w:t>
            </w:r>
          </w:p>
        </w:tc>
      </w:tr>
      <w:tr>
        <w:trPr>
          <w:cantSplit/>
        </w:trPr>
        <w:tc>
          <w:tcPr>
            <w:tcW w:w="2556" w:type="dxa"/>
            <w:shd w:fill="FFFFFF"/>
            <w:vAlign w:val="top"/>
          </w:tcPr>
          <w:p>
            <w:pPr>
              <w:spacing w:after="60" w:line="235" w:lineRule="auto"/>
            </w:pPr>
            <w:r>
              <w:rPr>
                <w:rFonts w:ascii="DejaVu Sans" w:hAnsi="DejaVu Sans"/>
                <w:sz w:val="18"/>
              </w:rPr>
              <w:t xml:space="preserve">Research agent / Personal assistant / Test client</w:t>
            </w:r>
          </w:p>
        </w:tc>
        <w:tc>
          <w:tcPr>
            <w:tcW w:w="7668" w:type="dxa"/>
            <w:shd w:fill="FFFFFF"/>
            <w:vAlign w:val="top"/>
          </w:tcPr>
          <w:p>
            <w:pPr>
              <w:spacing w:after="60" w:line="235" w:lineRule="auto"/>
            </w:pPr>
            <w:r>
              <w:rPr>
                <w:rFonts w:ascii="DejaVu Sans" w:hAnsi="DejaVu Sans"/>
                <w:sz w:val="18"/>
              </w:rPr>
              <w:t xml:space="preserve">Permissions   Logging   Approvals   Connection</w:t>
            </w:r>
          </w:p>
        </w:tc>
      </w:tr>
      <w:tr>
        <w:trPr>
          <w:cantSplit/>
        </w:trPr>
        <w:tc>
          <w:tcPr>
            <w:tcW w:w="2556" w:type="dxa"/>
            <w:shd w:fill="FFFFFF"/>
            <w:vAlign w:val="top"/>
          </w:tcPr>
          <w:p>
            <w:pPr>
              <w:spacing w:after="60" w:line="235" w:lineRule="auto"/>
            </w:pPr>
            <w:r>
              <w:rPr>
                <w:rFonts w:ascii="DejaVu Sans" w:hAnsi="DejaVu Sans"/>
                <w:sz w:val="18"/>
              </w:rPr>
              <w:t xml:space="preserve">Add client / Disable client / Revoke credentials</w:t>
            </w:r>
          </w:p>
        </w:tc>
        <w:tc>
          <w:tcPr>
            <w:tcW w:w="7668" w:type="dxa"/>
            <w:shd w:fill="FFFFFF"/>
            <w:vAlign w:val="top"/>
          </w:tcPr>
          <w:p>
            <w:pPr>
              <w:spacing w:after="60" w:line="235" w:lineRule="auto"/>
            </w:pPr>
            <w:r>
              <w:rPr>
                <w:rFonts w:ascii="DejaVu Sans" w:hAnsi="DejaVu Sans"/>
                <w:sz w:val="18"/>
              </w:rPr>
              <w:t xml:space="preserve">Search all bindings  |  Policy  |  Mapping status</w:t>
            </w:r>
          </w:p>
        </w:tc>
      </w:tr>
    </w:tbl>
    <w:p>
      <w:pPr>
        <w:spacing w:after="90" w:line="260" w:lineRule="auto"/>
      </w:pP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2556"/>
        <w:gridCol w:w="2556"/>
        <w:gridCol w:w="2556"/>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2556" w:type="dxa"/>
            <w:shd w:fill="E4EDF5"/>
            <w:vAlign w:val="top"/>
          </w:tcPr>
          <w:p>
            <w:pPr>
              <w:spacing w:after="60" w:line="235" w:lineRule="auto"/>
            </w:pPr>
            <w:r>
              <w:rPr>
                <w:rFonts w:ascii="DejaVu Sans" w:hAnsi="DejaVu Sans"/>
                <w:b/>
                <w:sz w:val="18"/>
              </w:rPr>
              <w:t xml:space="preserve">Policy choice</w:t>
            </w:r>
          </w:p>
        </w:tc>
        <w:tc>
          <w:tcPr>
            <w:tcW w:w="2556" w:type="dxa"/>
            <w:shd w:fill="E4EDF5"/>
            <w:vAlign w:val="top"/>
          </w:tcPr>
          <w:p>
            <w:pPr>
              <w:spacing w:after="60" w:line="235" w:lineRule="auto"/>
            </w:pPr>
            <w:r>
              <w:rPr>
                <w:rFonts w:ascii="DejaVu Sans" w:hAnsi="DejaVu Sans"/>
                <w:b/>
                <w:sz w:val="18"/>
              </w:rPr>
              <w:t xml:space="preserve">Scope</w:t>
            </w:r>
          </w:p>
        </w:tc>
        <w:tc>
          <w:tcPr>
            <w:tcW w:w="2556" w:type="dxa"/>
            <w:shd w:fill="E4EDF5"/>
            <w:vAlign w:val="top"/>
          </w:tcPr>
          <w:p>
            <w:pPr>
              <w:spacing w:after="60" w:line="235" w:lineRule="auto"/>
            </w:pPr>
            <w:r>
              <w:rPr>
                <w:rFonts w:ascii="DejaVu Sans" w:hAnsi="DejaVu Sans"/>
                <w:b/>
                <w:sz w:val="18"/>
              </w:rPr>
              <w:t xml:space="preserve">Android status</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Whole display</w:t>
            </w:r>
          </w:p>
        </w:tc>
        <w:tc>
          <w:tcPr>
            <w:tcW w:w="2556" w:type="dxa"/>
            <w:shd w:fill="FFFFFF"/>
            <w:vAlign w:val="top"/>
          </w:tcPr>
          <w:p>
            <w:pPr>
              <w:spacing w:after="60" w:line="235" w:lineRule="auto"/>
            </w:pPr>
            <w:r>
              <w:rPr>
                <w:rFonts w:ascii="DejaVu Sans" w:hAnsi="DejaVu Sans"/>
                <w:sz w:val="18"/>
              </w:rPr>
              <w:t xml:space="preserve">ADB connected</w:t>
            </w:r>
          </w:p>
        </w:tc>
      </w:tr>
      <w:tr>
        <w:trPr>
          <w:cantSplit/>
        </w:trPr>
        <w:tc>
          <w:tcPr>
            <w:tcW w:w="2556" w:type="dxa"/>
            <w:shd w:fill="FFFFFF"/>
            <w:vAlign w:val="top"/>
          </w:tcPr>
          <w:p>
            <w:pPr>
              <w:spacing w:after="60" w:line="235" w:lineRule="auto"/>
            </w:pPr>
            <w:r>
              <w:rPr>
                <w:rFonts w:ascii="DejaVu Sans" w:hAnsi="DejaVu Sans"/>
                <w:sz w:val="18"/>
              </w:rPr>
              <w:t xml:space="preserve">settings.brightness.set</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Raw range 16 to 240 / Manual mode only</w:t>
            </w:r>
          </w:p>
        </w:tc>
        <w:tc>
          <w:tcPr>
            <w:tcW w:w="2556" w:type="dxa"/>
            <w:shd w:fill="FFFFFF"/>
            <w:vAlign w:val="top"/>
          </w:tcPr>
          <w:p>
            <w:pPr>
              <w:spacing w:after="60" w:line="235" w:lineRule="auto"/>
            </w:pPr>
            <w:r>
              <w:rPr>
                <w:rFonts w:ascii="DejaVu Sans" w:hAnsi="DejaVu Sans"/>
                <w:sz w:val="18"/>
              </w:rPr>
              <w:t xml:space="preserve">Special access missing</w:t>
            </w:r>
          </w:p>
        </w:tc>
      </w:tr>
      <w:tr>
        <w:trPr>
          <w:cantSplit/>
        </w:trPr>
        <w:tc>
          <w:tcPr>
            <w:tcW w:w="2556" w:type="dxa"/>
            <w:shd w:fill="FFFFFF"/>
            <w:vAlign w:val="top"/>
          </w:tcPr>
          <w:p>
            <w:pPr>
              <w:spacing w:after="60" w:line="235" w:lineRule="auto"/>
            </w:pPr>
            <w:r>
              <w:rPr>
                <w:rFonts w:ascii="DejaVu Sans" w:hAnsi="DejaVu Sans"/>
                <w:sz w:val="18"/>
              </w:rPr>
              <w:t xml:space="preserve">document.read</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No document handles</w:t>
            </w:r>
          </w:p>
        </w:tc>
        <w:tc>
          <w:tcPr>
            <w:tcW w:w="2556" w:type="dxa"/>
            <w:shd w:fill="FFFFFF"/>
            <w:vAlign w:val="top"/>
          </w:tcPr>
          <w:p>
            <w:pPr>
              <w:spacing w:after="60" w:line="235" w:lineRule="auto"/>
            </w:pPr>
            <w:r>
              <w:rPr>
                <w:rFonts w:ascii="DejaVu Sans" w:hAnsi="DejaVu Sans"/>
                <w:sz w:val="18"/>
              </w:rPr>
              <w:t xml:space="preserve">No selection</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Device wide input</w:t>
            </w:r>
          </w:p>
        </w:tc>
        <w:tc>
          <w:tcPr>
            <w:tcW w:w="2556" w:type="dxa"/>
            <w:shd w:fill="FFFFFF"/>
            <w:vAlign w:val="top"/>
          </w:tcPr>
          <w:p>
            <w:pPr>
              <w:spacing w:after="60" w:line="235" w:lineRule="auto"/>
            </w:pPr>
            <w:r>
              <w:rPr>
                <w:rFonts w:ascii="DejaVu Sans" w:hAnsi="DejaVu Sans"/>
                <w:sz w:val="18"/>
              </w:rPr>
              <w:t xml:space="preserve">ADB connected</w:t>
            </w:r>
          </w:p>
        </w:tc>
      </w:tr>
    </w:tbl>
    <w:p>
      <w:pPr>
        <w:spacing w:after="90" w:line="260" w:lineRule="auto"/>
      </w:pPr>
    </w:p>
    <w:p>
      <w:pPr>
        <w:spacing w:after="90" w:line="260" w:lineRule="auto"/>
      </w:pPr>
      <w:r>
        <w:rPr>
          <w:rFonts w:ascii="DejaVu Sans" w:hAnsi="DejaVu Sans"/>
          <w:sz w:val="21"/>
        </w:rPr>
        <w:t xml:space="preserve">Draft changes 2    Discard    Review and apply</w:t>
      </w:r>
    </w:p>
    <w:p>
      <w:pPr>
        <w:pStyle w:val="Heading2"/>
        <w:keepNext/>
        <w:spacing w:after="90" w:line="260" w:lineRule="auto"/>
      </w:pPr>
      <w:r>
        <w:rPr>
          <w:rFonts w:ascii="DejaVu Sans" w:hAnsi="DejaVu Sans"/>
          <w:b/>
          <w:sz w:val="25"/>
        </w:rPr>
        <w:t xml:space="preserve">Phone layout without a compressed grid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Research agent</w:t>
            </w:r>
          </w:p>
        </w:tc>
        <w:tc>
          <w:tcPr>
            <w:tcW w:w="7668" w:type="dxa"/>
            <w:shd w:fill="E4EDF5"/>
            <w:vAlign w:val="top"/>
          </w:tcPr>
          <w:p>
            <w:pPr>
              <w:spacing w:after="60" w:line="235" w:lineRule="auto"/>
            </w:pPr>
            <w:r>
              <w:rPr>
                <w:rFonts w:ascii="DejaVu Sans" w:hAnsi="DejaVu Sans"/>
                <w:b/>
                <w:sz w:val="18"/>
              </w:rPr>
              <w:t xml:space="preserve">Permission detail</w:t>
            </w:r>
          </w:p>
        </w:tc>
      </w:tr>
      <w:tr>
        <w:trPr>
          <w:cantSplit/>
        </w:trPr>
        <w:tc>
          <w:tcPr>
            <w:tcW w:w="2556" w:type="dxa"/>
            <w:shd w:fill="FFFFFF"/>
            <w:vAlign w:val="top"/>
          </w:tcPr>
          <w:p>
            <w:pPr>
              <w:spacing w:after="60" w:line="235" w:lineRule="auto"/>
            </w:pPr>
            <w:r>
              <w:rPr>
                <w:rFonts w:ascii="DejaVu Sans" w:hAnsi="DejaVu Sans"/>
                <w:sz w:val="18"/>
              </w:rPr>
              <w:t xml:space="preserve">Search tools / Brightness write / Ask  •  OS access missing</w:t>
            </w:r>
          </w:p>
        </w:tc>
        <w:tc>
          <w:tcPr>
            <w:tcW w:w="7668" w:type="dxa"/>
            <w:shd w:fill="FFFFFF"/>
            <w:vAlign w:val="top"/>
          </w:tcPr>
          <w:p>
            <w:pPr>
              <w:spacing w:after="60" w:line="235" w:lineRule="auto"/>
            </w:pPr>
            <w:r>
              <w:rPr>
                <w:rFonts w:ascii="DejaVu Sans" w:hAnsi="DejaVu Sans"/>
                <w:sz w:val="18"/>
              </w:rPr>
              <w:t xml:space="preserve">Policy / Deny    [Ask]    Allow / Scope / Raw range 16 to 240    Edit</w:t>
            </w:r>
          </w:p>
        </w:tc>
      </w:tr>
      <w:tr>
        <w:trPr>
          <w:cantSplit/>
        </w:trPr>
        <w:tc>
          <w:tcPr>
            <w:tcW w:w="2556" w:type="dxa"/>
            <w:shd w:fill="FFFFFF"/>
            <w:vAlign w:val="top"/>
          </w:tcPr>
          <w:p>
            <w:pPr>
              <w:spacing w:after="60" w:line="235" w:lineRule="auto"/>
            </w:pPr>
            <w:r>
              <w:rPr>
                <w:rFonts w:ascii="DejaVu Sans" w:hAnsi="DejaVu Sans"/>
                <w:sz w:val="18"/>
              </w:rPr>
              <w:t xml:space="preserve">Device battery / Allow  •  Available</w:t>
            </w:r>
          </w:p>
        </w:tc>
        <w:tc>
          <w:tcPr>
            <w:tcW w:w="7668" w:type="dxa"/>
            <w:shd w:fill="FFFFFF"/>
            <w:vAlign w:val="top"/>
          </w:tcPr>
          <w:p>
            <w:pPr>
              <w:spacing w:after="60" w:line="235" w:lineRule="auto"/>
            </w:pPr>
            <w:r>
              <w:rPr>
                <w:rFonts w:ascii="DejaVu Sans" w:hAnsi="DejaVu Sans"/>
                <w:sz w:val="18"/>
              </w:rPr>
              <w:t xml:space="preserve">Android access / WRITE_SETTINGS not granted / Manage Android access</w:t>
            </w:r>
          </w:p>
        </w:tc>
      </w:tr>
      <w:tr>
        <w:trPr>
          <w:cantSplit/>
        </w:trPr>
        <w:tc>
          <w:tcPr>
            <w:tcW w:w="2556" w:type="dxa"/>
            <w:shd w:fill="FFFFFF"/>
            <w:vAlign w:val="top"/>
          </w:tcPr>
          <w:p>
            <w:pPr>
              <w:spacing w:after="60" w:line="235" w:lineRule="auto"/>
            </w:pPr>
            <w:r>
              <w:rPr>
                <w:rFonts w:ascii="DejaVu Sans" w:hAnsi="DejaVu Sans"/>
                <w:sz w:val="18"/>
              </w:rPr>
              <w:t xml:space="preserve">2 draft changes</w:t>
            </w:r>
          </w:p>
        </w:tc>
        <w:tc>
          <w:tcPr>
            <w:tcW w:w="7668" w:type="dxa"/>
            <w:shd w:fill="FFFFFF"/>
            <w:vAlign w:val="top"/>
          </w:tcPr>
          <w:p>
            <w:pPr>
              <w:spacing w:after="60" w:line="235" w:lineRule="auto"/>
            </w:pPr>
            <w:r>
              <w:rPr>
                <w:rFonts w:ascii="DejaVu Sans" w:hAnsi="DejaVu Sans"/>
                <w:sz w:val="18"/>
              </w:rPr>
              <w:t xml:space="preserve">Discard    Review and apply</w:t>
            </w:r>
          </w:p>
        </w:tc>
      </w:tr>
    </w:tbl>
    <w:p>
      <w:pPr>
        <w:spacing w:after="90" w:line="260" w:lineRule="auto"/>
      </w:pPr>
    </w:p>
    <w:p>
      <w:pPr>
        <w:spacing w:after="90" w:line="260" w:lineRule="auto"/>
      </w:pPr>
      <w:r>
        <w:rPr>
          <w:rFonts w:ascii="DejaVu Sans" w:hAnsi="DejaVu Sans"/>
          <w:sz w:val="21"/>
        </w:rPr>
        <w:t xml:space="preserve">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pPr>
        <w:spacing w:after="90" w:line="260" w:lineRule="auto"/>
      </w:pPr>
      <w:r>
        <w:rPr>
          <w:rFonts w:ascii="DejaVu Sans" w:hAnsi="DejaVu Sans"/>
          <w:sz w:val="21"/>
        </w:rPr>
        <w:t xml:space="preserve">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keepNext/>
        <w:spacing w:after="90" w:line="260" w:lineRule="auto"/>
      </w:pPr>
      <w:r>
        <w:rPr>
          <w:rFonts w:ascii="DejaVu Sans" w:hAnsi="DejaVu Sans"/>
          <w:b/>
          <w:sz w:val="30"/>
        </w:rPr>
        <w:t xml:space="preserve">9 Editing and approval workflows</w:t>
      </w:r>
    </w:p>
    <w:p>
      <w:pPr>
        <w:pStyle w:val="Heading2"/>
        <w:keepNext/>
        <w:spacing w:after="90" w:line="260" w:lineRule="auto"/>
      </w:pPr>
      <w:r>
        <w:rPr>
          <w:rFonts w:ascii="DejaVu Sans" w:hAnsi="DejaVu Sans"/>
          <w:b/>
          <w:sz w:val="25"/>
        </w:rPr>
        <w:t xml:space="preserve">Navigation and screen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Screen</w:t>
            </w:r>
          </w:p>
        </w:tc>
        <w:tc>
          <w:tcPr>
            <w:tcW w:w="7668" w:type="dxa"/>
            <w:shd w:fill="E4EDF5"/>
            <w:vAlign w:val="top"/>
          </w:tcPr>
          <w:p>
            <w:pPr>
              <w:spacing w:after="60" w:line="235" w:lineRule="auto"/>
            </w:pPr>
            <w:r>
              <w:rPr>
                <w:rFonts w:ascii="DejaVu Sans" w:hAnsi="DejaVu Sans"/>
                <w:b/>
                <w:sz w:val="18"/>
              </w:rPr>
              <w:t xml:space="preserve">Primary content and actions</w:t>
            </w:r>
          </w:p>
        </w:tc>
      </w:tr>
      <w:tr>
        <w:trPr>
          <w:cantSplit/>
        </w:trPr>
        <w:tc>
          <w:tcPr>
            <w:tcW w:w="2556" w:type="dxa"/>
            <w:shd w:fill="FFFFFF"/>
            <w:vAlign w:val="top"/>
          </w:tcPr>
          <w:p>
            <w:pPr>
              <w:spacing w:after="60" w:line="235" w:lineRule="auto"/>
            </w:pPr>
            <w:r>
              <w:rPr>
                <w:rFonts w:ascii="DejaVu Sans" w:hAnsi="DejaVu Sans"/>
                <w:sz w:val="18"/>
              </w:rPr>
              <w:t xml:space="preserve">Overview</w:t>
            </w:r>
          </w:p>
        </w:tc>
        <w:tc>
          <w:tcPr>
            <w:tcW w:w="7668" w:type="dxa"/>
            <w:shd w:fill="FFFFFF"/>
            <w:vAlign w:val="top"/>
          </w:tcPr>
          <w:p>
            <w:pPr>
              <w:spacing w:after="60" w:line="235" w:lineRule="auto"/>
            </w:pPr>
            <w:r>
              <w:rPr>
                <w:rFonts w:ascii="DejaVu Sans" w:hAnsi="DejaVu Sans"/>
                <w:sz w:val="18"/>
              </w:rPr>
              <w:t xml:space="preserve">Runtime mode, endpoint identity, active sessions, approval count, capability issues and explicit Start or Stop.</w:t>
            </w:r>
          </w:p>
        </w:tc>
      </w:tr>
      <w:tr>
        <w:trPr>
          <w:cantSplit/>
        </w:trPr>
        <w:tc>
          <w:tcPr>
            <w:tcW w:w="2556" w:type="dxa"/>
            <w:shd w:fill="FFFFFF"/>
            <w:vAlign w:val="top"/>
          </w:tcPr>
          <w:p>
            <w:pPr>
              <w:spacing w:after="60" w:line="235" w:lineRule="auto"/>
            </w:pPr>
            <w:r>
              <w:rPr>
                <w:rFonts w:ascii="DejaVu Sans" w:hAnsi="DejaVu Sans"/>
                <w:sz w:val="18"/>
              </w:rPr>
              <w:t xml:space="preserve">Clients</w:t>
            </w:r>
          </w:p>
        </w:tc>
        <w:tc>
          <w:tcPr>
            <w:tcW w:w="7668" w:type="dxa"/>
            <w:shd w:fill="FFFFFF"/>
            <w:vAlign w:val="top"/>
          </w:tcPr>
          <w:p>
            <w:pPr>
              <w:spacing w:after="60" w:line="235" w:lineRule="auto"/>
            </w:pPr>
            <w:r>
              <w:rPr>
                <w:rFonts w:ascii="DejaVu Sans" w:hAnsi="DejaVu Sans"/>
                <w:sz w:val="18"/>
              </w:rPr>
              <w:t xml:space="preserve">Labels, credential fingerprints, active or disabled status, last seen metadata. Add, rotate, disable and revoke with clear consequences.</w:t>
            </w:r>
          </w:p>
        </w:tc>
      </w:tr>
      <w:tr>
        <w:trPr>
          <w:cantSplit/>
        </w:trPr>
        <w:tc>
          <w:tcPr>
            <w:tcW w:w="2556" w:type="dxa"/>
            <w:shd w:fill="FFFFFF"/>
            <w:vAlign w:val="top"/>
          </w:tcPr>
          <w:p>
            <w:pPr>
              <w:spacing w:after="60" w:line="235" w:lineRule="auto"/>
            </w:pPr>
            <w:r>
              <w:rPr>
                <w:rFonts w:ascii="DejaVu Sans" w:hAnsi="DejaVu Sans"/>
                <w:sz w:val="18"/>
              </w:rPr>
              <w:t xml:space="preserve">Permissions</w:t>
            </w:r>
          </w:p>
        </w:tc>
        <w:tc>
          <w:tcPr>
            <w:tcW w:w="7668" w:type="dxa"/>
            <w:shd w:fill="FFFFFF"/>
            <w:vAlign w:val="top"/>
          </w:tcPr>
          <w:p>
            <w:pPr>
              <w:spacing w:after="60" w:line="235" w:lineRule="auto"/>
            </w:pPr>
            <w:r>
              <w:rPr>
                <w:rFonts w:ascii="DejaVu Sans" w:hAnsi="DejaVu Sans"/>
                <w:sz w:val="18"/>
              </w:rPr>
              <w:t xml:space="preserve">Tool catalog, Deny Ask Allow controls, scope editor, effective policy explanation and separate OS capability state.</w:t>
            </w:r>
          </w:p>
        </w:tc>
      </w:tr>
      <w:tr>
        <w:trPr>
          <w:cantSplit/>
        </w:trPr>
        <w:tc>
          <w:tcPr>
            <w:tcW w:w="2556" w:type="dxa"/>
            <w:shd w:fill="FFFFFF"/>
            <w:vAlign w:val="top"/>
          </w:tcPr>
          <w:p>
            <w:pPr>
              <w:spacing w:after="60" w:line="235" w:lineRule="auto"/>
            </w:pPr>
            <w:r>
              <w:rPr>
                <w:rFonts w:ascii="DejaVu Sans" w:hAnsi="DejaVu Sans"/>
                <w:sz w:val="18"/>
              </w:rPr>
              <w:t xml:space="preserve">Approvals</w:t>
            </w:r>
          </w:p>
        </w:tc>
        <w:tc>
          <w:tcPr>
            <w:tcW w:w="7668" w:type="dxa"/>
            <w:shd w:fill="FFFFFF"/>
            <w:vAlign w:val="top"/>
          </w:tcPr>
          <w:p>
            <w:pPr>
              <w:spacing w:after="60" w:line="235" w:lineRule="auto"/>
            </w:pPr>
            <w:r>
              <w:rPr>
                <w:rFonts w:ascii="DejaVu Sans" w:hAnsi="DejaVu Sans"/>
                <w:sz w:val="18"/>
              </w:rPr>
              <w:t xml:space="preserve">Pending requests ordered by expiry. Open detail, review exact effect, Deny or Allow once; no bulk approval.</w:t>
            </w:r>
          </w:p>
        </w:tc>
      </w:tr>
      <w:tr>
        <w:trPr>
          <w:cantSplit/>
        </w:trPr>
        <w:tc>
          <w:tcPr>
            <w:tcW w:w="2556" w:type="dxa"/>
            <w:shd w:fill="FFFFFF"/>
            <w:vAlign w:val="top"/>
          </w:tcPr>
          <w:p>
            <w:pPr>
              <w:spacing w:after="60" w:line="235" w:lineRule="auto"/>
            </w:pPr>
            <w:r>
              <w:rPr>
                <w:rFonts w:ascii="DejaVu Sans" w:hAnsi="DejaVu Sans"/>
                <w:sz w:val="18"/>
              </w:rPr>
              <w:t xml:space="preserve">Logging and activity</w:t>
            </w:r>
          </w:p>
        </w:tc>
        <w:tc>
          <w:tcPr>
            <w:tcW w:w="7668" w:type="dxa"/>
            <w:shd w:fill="FFFFFF"/>
            <w:vAlign w:val="top"/>
          </w:tcPr>
          <w:p>
            <w:pPr>
              <w:spacing w:after="60" w:line="235" w:lineRule="auto"/>
            </w:pPr>
            <w:r>
              <w:rPr>
                <w:rFonts w:ascii="DejaVu Sans" w:hAnsi="DejaVu Sans"/>
                <w:sz w:val="18"/>
              </w:rPr>
              <w:t xml:space="preserve">Per-client Off/Metadata/Redacted diagnostic mode, expiry, quotas, purge/export and minimal audit. No raw payload inspection.</w:t>
            </w:r>
          </w:p>
        </w:tc>
      </w:tr>
      <w:tr>
        <w:trPr>
          <w:cantSplit/>
        </w:trPr>
        <w:tc>
          <w:tcPr>
            <w:tcW w:w="2556" w:type="dxa"/>
            <w:shd w:fill="FFFFFF"/>
            <w:vAlign w:val="top"/>
          </w:tcPr>
          <w:p>
            <w:pPr>
              <w:spacing w:after="60" w:line="235" w:lineRule="auto"/>
            </w:pPr>
            <w:r>
              <w:rPr>
                <w:rFonts w:ascii="DejaVu Sans" w:hAnsi="DejaVu Sans"/>
                <w:sz w:val="18"/>
              </w:rPr>
              <w:t xml:space="preserve">Settings</w:t>
            </w:r>
          </w:p>
        </w:tc>
        <w:tc>
          <w:tcPr>
            <w:tcW w:w="7668" w:type="dxa"/>
            <w:shd w:fill="FFFFFF"/>
            <w:vAlign w:val="top"/>
          </w:tcPr>
          <w:p>
            <w:pPr>
              <w:spacing w:after="60" w:line="235" w:lineRule="auto"/>
            </w:pPr>
            <w:r>
              <w:rPr>
                <w:rFonts w:ascii="DejaVu Sans" w:hAnsi="DejaVu Sans"/>
                <w:sz w:val="18"/>
              </w:rPr>
              <w:t xml:space="preserve">Persistent server health and AppBar icon, Start on boot, connections, notification settings, retention, export/restore and diagnostics.</w:t>
            </w:r>
          </w:p>
        </w:tc>
      </w:tr>
    </w:tbl>
    <w:p>
      <w:pPr>
        <w:spacing w:after="90" w:line="260" w:lineRule="auto"/>
      </w:pPr>
    </w:p>
    <w:p>
      <w:pPr>
        <w:pStyle w:val="Heading2"/>
        <w:keepNext/>
        <w:spacing w:after="90" w:line="260" w:lineRule="auto"/>
      </w:pPr>
      <w:r>
        <w:rPr>
          <w:rFonts w:ascii="DejaVu Sans" w:hAnsi="DejaVu Sans"/>
          <w:b/>
          <w:sz w:val="25"/>
        </w:rPr>
        <w:t xml:space="preserve">Draft then apply</w:t>
      </w:r>
    </w:p>
    <w:p>
      <w:pPr>
        <w:numPr>
          <w:ilvl w:val="0"/>
          <w:numId w:val="1022"/>
        </w:numPr>
        <w:spacing w:after="90" w:line="260" w:lineRule="auto"/>
      </w:pPr>
      <w:r>
        <w:rPr>
          <w:rFonts w:ascii="DejaVu Sans" w:hAnsi="DejaVu Sans"/>
          <w:sz w:val="21"/>
        </w:rPr>
        <w:t xml:space="preserve">Load client config with row_version and global policy_revision. Edits only change a local draft. Show a dirty indicator and warn before leaving. Inline scope validation uses the adapter schema.</w:t>
      </w:r>
    </w:p>
    <w:p>
      <w:pPr>
        <w:numPr>
          <w:ilvl w:val="0"/>
          <w:numId w:val="1022"/>
        </w:numPr>
        <w:spacing w:after="90" w:line="260" w:lineRule="auto"/>
      </w:pPr>
      <w:r>
        <w:rPr>
          <w:rFonts w:ascii="DejaVu Sans" w:hAnsi="DejaVu Sans"/>
          <w:sz w:val="21"/>
        </w:rPr>
        <w:t xml:space="preserve">Review shows old and new decisions and scope deltas, especially widened resource sets, output fields and limits. Bulk changes require a per tool preview and cannot include future tools. Never bulk convert unavailable tools to Allow silently.</w:t>
      </w:r>
    </w:p>
    <w:p>
      <w:pPr>
        <w:numPr>
          <w:ilvl w:val="0"/>
          <w:numId w:val="1022"/>
        </w:numPr>
        <w:spacing w:after="90" w:line="260" w:lineRule="auto"/>
      </w:pPr>
      <w:r>
        <w:rPr>
          <w:rFonts w:ascii="DejaVu Sans" w:hAnsi="DejaVu Sans"/>
          <w:sz w:val="21"/>
        </w:rPr>
        <w:t xml:space="preserve">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numPr>
          <w:ilvl w:val="0"/>
          <w:numId w:val="1022"/>
        </w:numPr>
        <w:spacing w:after="90" w:line="260" w:lineRule="auto"/>
      </w:pPr>
      <w:r>
        <w:rPr>
          <w:rFonts w:ascii="DejaVu Sans" w:hAnsi="DejaVu Sans"/>
          <w:sz w:val="21"/>
        </w:rPr>
        <w:t xml:space="preserve">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keepNext/>
        <w:spacing w:after="90" w:line="260" w:lineRule="auto"/>
      </w:pPr>
      <w:r>
        <w:rPr>
          <w:rFonts w:ascii="DejaVu Sans" w:hAnsi="DejaVu Sans"/>
          <w:b/>
          <w:sz w:val="25"/>
        </w:rPr>
        <w:t xml:space="preserve">Approval detail</w:t>
      </w:r>
    </w:p>
    <w:p>
      <w:pPr>
        <w:spacing w:after="90" w:line="260" w:lineRule="auto"/>
      </w:pPr>
      <w:r>
        <w:rPr>
          <w:rFonts w:ascii="DejaVu Sans" w:hAnsi="DejaVu Sans"/>
          <w:sz w:val="21"/>
        </w:rPr>
        <w:t xml:space="preserve">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pPr>
        <w:spacing w:after="90" w:line="260" w:lineRule="auto"/>
      </w:pPr>
      <w:r>
        <w:rPr>
          <w:rFonts w:ascii="DejaVu Sans" w:hAnsi="DejaVu Sans"/>
          <w:sz w:val="21"/>
        </w:rPr>
        <w:t xml:space="preserve">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keepNext/>
        <w:spacing w:after="90" w:line="260" w:lineRule="auto"/>
      </w:pPr>
      <w:r>
        <w:rPr>
          <w:rFonts w:ascii="DejaVu Sans" w:hAnsi="DejaVu Sans"/>
          <w:b/>
          <w:sz w:val="25"/>
        </w:rPr>
        <w:t xml:space="preserve">Android access and recovery</w:t>
      </w:r>
    </w:p>
    <w:p>
      <w:pPr>
        <w:spacing w:after="90" w:line="260" w:lineRule="auto"/>
      </w:pPr>
      <w:r>
        <w:rPr>
          <w:rFonts w:ascii="DejaVu Sans" w:hAnsi="DejaVu Sans"/>
          <w:sz w:val="21"/>
        </w:rPr>
        <w:t xml:space="preserve">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keepNext/>
        <w:spacing w:after="90" w:line="260" w:lineRule="auto"/>
      </w:pPr>
      <w:r>
        <w:rPr>
          <w:rFonts w:ascii="DejaVu Sans" w:hAnsi="DejaVu Sans"/>
          <w:b/>
          <w:sz w:val="30"/>
        </w:rPr>
        <w:t xml:space="preserve">10 SQLite schema and invariants</w:t>
      </w:r>
    </w:p>
    <w:p>
      <w:pPr>
        <w:spacing w:after="90" w:line="260" w:lineRule="auto"/>
      </w:pPr>
      <w:r>
        <w:rPr>
          <w:rFonts w:ascii="DejaVu Sans" w:hAnsi="DejaVu Sans"/>
          <w:sz w:val="21"/>
        </w:rPr>
        <w:t xml:space="preserve">Use one app private SQLite database for configuration and minimal durable state. Client, credential, execution and audit IDs are opaque random TEXT values; binding_id and entry_id are the same SHA-256 canonical source-signature identity defined in catalog/README.md, independent of source occurrence;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clients / PK client_id</w:t>
            </w:r>
          </w:p>
        </w:tc>
        <w:tc>
          <w:tcPr>
            <w:tcW w:w="7668" w:type="dxa"/>
            <w:shd w:fill="FFFFFF"/>
            <w:vAlign w:val="top"/>
          </w:tcPr>
          <w:p>
            <w:pPr>
              <w:spacing w:after="60" w:line="235" w:lineRule="auto"/>
            </w:pPr>
            <w:r>
              <w:rPr>
                <w:rFonts w:ascii="DejaVu Sans" w:hAnsi="DejaVu Sans"/>
                <w:sz w:val="18"/>
              </w:rPr>
              <w:t xml:space="preserve">display_name; state CHECK active/disabled/revoked; credential_epoch &gt;= 0; row_version &gt;= 1; created_at; updated_at; last_seen_at nullable. Names are not unique identities.</w:t>
            </w:r>
          </w:p>
        </w:tc>
      </w:tr>
      <w:tr>
        <w:trPr>
          <w:cantSplit/>
        </w:trPr>
        <w:tc>
          <w:tcPr>
            <w:tcW w:w="2556" w:type="dxa"/>
            <w:shd w:fill="FFFFFF"/>
            <w:vAlign w:val="top"/>
          </w:tcPr>
          <w:p>
            <w:pPr>
              <w:spacing w:after="60" w:line="235" w:lineRule="auto"/>
            </w:pPr>
            <w:r>
              <w:rPr>
                <w:rFonts w:ascii="DejaVu Sans" w:hAnsi="DejaVu Sans"/>
                <w:sz w:val="18"/>
              </w:rPr>
              <w:t xml:space="preserve">credentials / PK credential_id</w:t>
            </w:r>
          </w:p>
        </w:tc>
        <w:tc>
          <w:tcPr>
            <w:tcW w:w="7668" w:type="dxa"/>
            <w:shd w:fill="FFFFFF"/>
            <w:vAlign w:val="top"/>
          </w:tcPr>
          <w:p>
            <w:pPr>
              <w:spacing w:after="60" w:line="235" w:lineRule="auto"/>
            </w:pPr>
            <w:r>
              <w:rPr>
                <w:rFonts w:ascii="DejaVu Sans" w:hAnsi="DejaVu Sans"/>
                <w:sz w:val="18"/>
              </w:rPr>
              <w:t xml:space="preserve">client_id FK clients RESTRICT; verifier BLOB length 32; key_alias; state CHECK active/revoked; created_at; expires_at nullable; revoked_at nullable; epoch &gt;= 0. UNIQUE(verifier). No raw tokens.</w:t>
            </w:r>
          </w:p>
        </w:tc>
      </w:tr>
      <w:tr>
        <w:trPr>
          <w:cantSplit/>
        </w:trPr>
        <w:tc>
          <w:tcPr>
            <w:tcW w:w="2556" w:type="dxa"/>
            <w:shd w:fill="FFFFFF"/>
            <w:vAlign w:val="top"/>
          </w:tcPr>
          <w:p>
            <w:pPr>
              <w:spacing w:after="60" w:line="235" w:lineRule="auto"/>
            </w:pPr>
            <w:r>
              <w:rPr>
                <w:rFonts w:ascii="DejaVu Sans" w:hAnsi="DejaVu Sans"/>
                <w:sz w:val="18"/>
              </w:rPr>
              <w:t xml:space="preserve">tools / PK tool_id</w:t>
            </w:r>
          </w:p>
        </w:tc>
        <w:tc>
          <w:tcPr>
            <w:tcW w:w="7668" w:type="dxa"/>
            <w:shd w:fill="FFFFFF"/>
            <w:vAlign w:val="top"/>
          </w:tcPr>
          <w:p>
            <w:pPr>
              <w:spacing w:after="60" w:line="235" w:lineRule="auto"/>
            </w:pPr>
            <w:r>
              <w:rPr>
                <w:rFonts w:ascii="DejaVu Sans" w:hAnsi="DejaVu Sans"/>
                <w:sz w:val="18"/>
              </w:rPr>
              <w:t xml:space="preserve">schema_version; adapter_version; capability_key; scope_schema_version; risk_class; registry_revision. binding associations through tool_binding_aliases; registry is generated from versioned sources. This table is a reconciled catalog, not executable imported code.</w:t>
            </w:r>
          </w:p>
        </w:tc>
      </w:tr>
      <w:tr>
        <w:trPr>
          <w:cantSplit/>
        </w:trPr>
        <w:tc>
          <w:tcPr>
            <w:tcW w:w="2556" w:type="dxa"/>
            <w:shd w:fill="FFFFFF"/>
            <w:vAlign w:val="top"/>
          </w:tcPr>
          <w:p>
            <w:pPr>
              <w:spacing w:after="60" w:line="235" w:lineRule="auto"/>
            </w:pPr>
            <w:r>
              <w:rPr>
                <w:rFonts w:ascii="DejaVu Sans" w:hAnsi="DejaVu Sans"/>
                <w:sz w:val="18"/>
              </w:rPr>
              <w:t xml:space="preserve">client_tool_rules / PK client_id, tool_id</w:t>
            </w:r>
          </w:p>
        </w:tc>
        <w:tc>
          <w:tcPr>
            <w:tcW w:w="7668" w:type="dxa"/>
            <w:shd w:fill="FFFFFF"/>
            <w:vAlign w:val="top"/>
          </w:tcPr>
          <w:p>
            <w:pPr>
              <w:spacing w:after="60" w:line="235" w:lineRule="auto"/>
            </w:pPr>
            <w:r>
              <w:rPr>
                <w:rFonts w:ascii="DejaVu Sans" w:hAnsi="DejaVu Sans"/>
                <w:sz w:val="18"/>
              </w:rPr>
              <w:t xml:space="preserve">client_id FK clients CASCADE; tool_id FK tools RESTRICT; tool_schema_version; effect CHECK deny/ask/allow; scope_json; scope_schema_version; updated_at. One exact rule per client/tool; schema mismatch is denied.</w:t>
            </w:r>
          </w:p>
        </w:tc>
      </w:tr>
      <w:tr>
        <w:trPr>
          <w:cantSplit/>
        </w:trPr>
        <w:tc>
          <w:tcPr>
            <w:tcW w:w="2556" w:type="dxa"/>
            <w:shd w:fill="FFFFFF"/>
            <w:vAlign w:val="top"/>
          </w:tcPr>
          <w:p>
            <w:pPr>
              <w:spacing w:after="60" w:line="235" w:lineRule="auto"/>
            </w:pPr>
            <w:r>
              <w:rPr>
                <w:rFonts w:ascii="DejaVu Sans" w:hAnsi="DejaVu Sans"/>
                <w:sz w:val="18"/>
              </w:rPr>
              <w:t xml:space="preserve">policy_state / PK singleton_id = 1</w:t>
            </w:r>
          </w:p>
        </w:tc>
        <w:tc>
          <w:tcPr>
            <w:tcW w:w="7668" w:type="dxa"/>
            <w:shd w:fill="FFFFFF"/>
            <w:vAlign w:val="top"/>
          </w:tcPr>
          <w:p>
            <w:pPr>
              <w:spacing w:after="60" w:line="235" w:lineRule="auto"/>
            </w:pPr>
            <w:r>
              <w:rPr>
                <w:rFonts w:ascii="DejaVu Sans" w:hAnsi="DejaVu Sans"/>
                <w:sz w:val="18"/>
              </w:rPr>
              <w:t xml:space="preserve">policy_revision &gt;= 1; registry_revision &gt;= 1; emergency_deny CHECK 0/1; updated_at. Monotonic increments on every authorization relevant mutation.</w:t>
            </w:r>
          </w:p>
        </w:tc>
      </w:tr>
      <w:tr>
        <w:trPr>
          <w:cantSplit/>
        </w:trPr>
        <w:tc>
          <w:tcPr>
            <w:tcW w:w="2556" w:type="dxa"/>
            <w:shd w:fill="FFFFFF"/>
            <w:vAlign w:val="top"/>
          </w:tcPr>
          <w:p>
            <w:pPr>
              <w:spacing w:after="60" w:line="235" w:lineRule="auto"/>
            </w:pPr>
            <w:r>
              <w:rPr>
                <w:rFonts w:ascii="DejaVu Sans" w:hAnsi="DejaVu Sans"/>
                <w:sz w:val="18"/>
              </w:rPr>
              <w:t xml:space="preserve">tool_guardrails / PK tool_id</w:t>
            </w:r>
          </w:p>
        </w:tc>
        <w:tc>
          <w:tcPr>
            <w:tcW w:w="7668" w:type="dxa"/>
            <w:shd w:fill="FFFFFF"/>
            <w:vAlign w:val="top"/>
          </w:tcPr>
          <w:p>
            <w:pPr>
              <w:spacing w:after="60" w:line="235" w:lineRule="auto"/>
            </w:pPr>
            <w:r>
              <w:rPr>
                <w:rFonts w:ascii="DejaVu Sans" w:hAnsi="DejaVu Sans"/>
                <w:sz w:val="18"/>
              </w:rPr>
              <w:t xml:space="preserve">tool_id FK tools RESTRICT; disabled CHECK 0/1; require_ask CHECK 0/1; scope_json; scope_schema_version. These restrictions intersect client rules and cannot grant access.</w:t>
            </w:r>
          </w:p>
        </w:tc>
      </w:tr>
      <w:tr>
        <w:trPr>
          <w:cantSplit/>
        </w:trPr>
        <w:tc>
          <w:tcPr>
            <w:tcW w:w="2556" w:type="dxa"/>
            <w:shd w:fill="FFFFFF"/>
            <w:vAlign w:val="top"/>
          </w:tcPr>
          <w:p>
            <w:pPr>
              <w:spacing w:after="60" w:line="235" w:lineRule="auto"/>
            </w:pPr>
            <w:r>
              <w:rPr>
                <w:rFonts w:ascii="DejaVu Sans" w:hAnsi="DejaVu Sans"/>
                <w:sz w:val="18"/>
              </w:rPr>
              <w:t xml:space="preserve">executions / PK execution_id</w:t>
            </w:r>
          </w:p>
        </w:tc>
        <w:tc>
          <w:tcPr>
            <w:tcW w:w="7668" w:type="dxa"/>
            <w:shd w:fill="FFFFFF"/>
            <w:vAlign w:val="top"/>
          </w:tcPr>
          <w:p>
            <w:pPr>
              <w:spacing w:after="60" w:line="235" w:lineRule="auto"/>
            </w:pPr>
            <w:r>
              <w:rPr>
                <w:rFonts w:ascii="DejaVu Sans" w:hAnsi="DejaVu Sans"/>
                <w:sz w:val="18"/>
              </w:rPr>
              <w:t xml:space="preserve">client_id FK clients RESTRICT; credential_id FK credentials RESTRICT; tool_id FK tools RESTRICT; request_digest BLOB; boot_id; policy_revision; state CHECK admitted/dispatched/completed/failed/canceled/unknown; admitted_at; completed_at nullable; idempotency_key nullable.</w:t>
            </w:r>
          </w:p>
        </w:tc>
      </w:tr>
      <w:tr>
        <w:trPr>
          <w:cantSplit/>
        </w:trPr>
        <w:tc>
          <w:tcPr>
            <w:tcW w:w="2556" w:type="dxa"/>
            <w:shd w:fill="FFFFFF"/>
            <w:vAlign w:val="top"/>
          </w:tcPr>
          <w:p>
            <w:pPr>
              <w:spacing w:after="60" w:line="235" w:lineRule="auto"/>
            </w:pPr>
            <w:r>
              <w:rPr>
                <w:rFonts w:ascii="DejaVu Sans" w:hAnsi="DejaVu Sans"/>
                <w:sz w:val="18"/>
              </w:rPr>
              <w:t xml:space="preserve">audit_events / PK event_id</w:t>
            </w:r>
          </w:p>
        </w:tc>
        <w:tc>
          <w:tcPr>
            <w:tcW w:w="7668" w:type="dxa"/>
            <w:shd w:fill="FFFFFF"/>
            <w:vAlign w:val="top"/>
          </w:tcPr>
          <w:p>
            <w:pPr>
              <w:spacing w:after="60" w:line="235" w:lineRule="auto"/>
            </w:pPr>
            <w:r>
              <w:rPr>
                <w:rFonts w:ascii="DejaVu Sans" w:hAnsi="DejaVu Sans"/>
                <w:sz w:val="18"/>
              </w:rPr>
              <w:t xml:space="preserve">occurred_at; client_id nullable; tool_id nullable; operation; decision; reason_code; policy_revision; execution_id nullable; duration_ms nullable. No raw arguments, tokens, contacts or result text.</w:t>
            </w:r>
          </w:p>
        </w:tc>
      </w:tr>
      <w:tr>
        <w:trPr>
          <w:cantSplit/>
        </w:trPr>
        <w:tc>
          <w:tcPr>
            <w:tcW w:w="2556" w:type="dxa"/>
            <w:shd w:fill="FFFFFF"/>
            <w:vAlign w:val="top"/>
          </w:tcPr>
          <w:p>
            <w:pPr>
              <w:spacing w:after="60" w:line="235" w:lineRule="auto"/>
            </w:pPr>
            <w:r>
              <w:rPr>
                <w:rFonts w:ascii="DejaVu Sans" w:hAnsi="DejaVu Sans"/>
                <w:sz w:val="18"/>
              </w:rPr>
              <w:t xml:space="preserve">change_outbox / PK change_id</w:t>
            </w:r>
          </w:p>
        </w:tc>
        <w:tc>
          <w:tcPr>
            <w:tcW w:w="7668" w:type="dxa"/>
            <w:shd w:fill="FFFFFF"/>
            <w:vAlign w:val="top"/>
          </w:tcPr>
          <w:p>
            <w:pPr>
              <w:spacing w:after="60" w:line="235" w:lineRule="auto"/>
            </w:pPr>
            <w:r>
              <w:rPr>
                <w:rFonts w:ascii="DejaVu Sans" w:hAnsi="DejaVu Sans"/>
                <w:sz w:val="18"/>
              </w:rPr>
              <w:t xml:space="preserve">policy_revision; change_kind; affected_client_id nullable; created_at; delivered_at nullable. Written in the same transaction as policy changes; delivery is idempotent.</w:t>
            </w:r>
          </w:p>
        </w:tc>
      </w:tr>
      <w:tr>
        <w:trPr>
          <w:cantSplit/>
        </w:trPr>
        <w:tc>
          <w:tcPr>
            <w:tcW w:w="2556" w:type="dxa"/>
            <w:shd w:fill="FFFFFF"/>
            <w:vAlign w:val="top"/>
          </w:tcPr>
          <w:p>
            <w:pPr>
              <w:spacing w:after="60" w:line="235" w:lineRule="auto"/>
            </w:pPr>
            <w:r>
              <w:rPr>
                <w:rFonts w:ascii="DejaVu Sans" w:hAnsi="DejaVu Sans"/>
                <w:sz w:val="18"/>
              </w:rPr>
              <w:t xml:space="preserve">schema_migrations / PK version</w:t>
            </w:r>
          </w:p>
        </w:tc>
        <w:tc>
          <w:tcPr>
            <w:tcW w:w="7668" w:type="dxa"/>
            <w:shd w:fill="FFFFFF"/>
            <w:vAlign w:val="top"/>
          </w:tcPr>
          <w:p>
            <w:pPr>
              <w:spacing w:after="60" w:line="235" w:lineRule="auto"/>
            </w:pPr>
            <w:r>
              <w:rPr>
                <w:rFonts w:ascii="DejaVu Sans" w:hAnsi="DejaVu Sans"/>
                <w:sz w:val="18"/>
              </w:rPr>
              <w:t xml:space="preserve">checksum; applied_at. Exactly ordered migrations; app also checks PRAGMA user_version before opening the runtime.</w:t>
            </w:r>
          </w:p>
        </w:tc>
      </w:tr>
    </w:tbl>
    <w:p>
      <w:pPr>
        <w:spacing w:after="90" w:line="260" w:lineRule="auto"/>
      </w:pPr>
    </w:p>
    <w:p>
      <w:pPr>
        <w:spacing w:after="90" w:line="260" w:lineRule="auto"/>
      </w:pPr>
      <w:r>
        <w:rPr>
          <w:rFonts w:ascii="DejaVu Sans" w:hAnsi="DejaVu Sans"/>
          <w:sz w:val="21"/>
        </w:rPr>
        <w:t xml:space="preserve">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keepNext/>
        <w:spacing w:after="90" w:line="260" w:lineRule="auto"/>
      </w:pPr>
      <w:r>
        <w:rPr>
          <w:rFonts w:ascii="DejaVu Sans" w:hAnsi="DejaVu Sans"/>
          <w:b/>
          <w:sz w:val="30"/>
        </w:rPr>
        <w:t xml:space="preserve">11 Storage transactions and secret protection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Additional configuration records</w:t>
            </w:r>
          </w:p>
        </w:tc>
      </w:tr>
      <w:tr>
        <w:trPr>
          <w:cantSplit/>
        </w:trPr>
        <w:tc>
          <w:tcPr>
            <w:tcW w:w="2556" w:type="dxa"/>
            <w:shd w:fill="FFFFFF"/>
            <w:vAlign w:val="top"/>
          </w:tcPr>
          <w:p>
            <w:pPr>
              <w:spacing w:after="60" w:line="235" w:lineRule="auto"/>
            </w:pPr>
            <w:r>
              <w:rPr>
                <w:rFonts w:ascii="DejaVu Sans" w:hAnsi="DejaVu Sans"/>
                <w:sz w:val="18"/>
              </w:rPr>
              <w:t xml:space="preserve">resource_grants / PK handle_id</w:t>
            </w:r>
          </w:p>
        </w:tc>
        <w:tc>
          <w:tcPr>
            <w:tcW w:w="7668" w:type="dxa"/>
            <w:shd w:fill="FFFFFF"/>
            <w:vAlign w:val="top"/>
          </w:tcPr>
          <w:p>
            <w:pPr>
              <w:spacing w:after="60" w:line="235" w:lineRule="auto"/>
            </w:pPr>
            <w:r>
              <w:rPr>
                <w:rFonts w:ascii="DejaVu Sans" w:hAnsi="DejaVu Sans"/>
                <w:sz w:val="18"/>
              </w:rPr>
              <w:t xml:space="preserve">client_id FK clients CASCADE; exact_uri_ciphertext; key_alias; modes CHECK read/write/read_write; enabled CHECK 0/1; revision &gt;= 1; created_at. Index(client_id, enabled). Opaque per client handle; never a caller supplied URI.</w:t>
            </w:r>
          </w:p>
        </w:tc>
      </w:tr>
      <w:tr>
        <w:trPr>
          <w:cantSplit/>
        </w:trPr>
        <w:tc>
          <w:tcPr>
            <w:tcW w:w="2556" w:type="dxa"/>
            <w:shd w:fill="FFFFFF"/>
            <w:vAlign w:val="top"/>
          </w:tcPr>
          <w:p>
            <w:pPr>
              <w:spacing w:after="60" w:line="235" w:lineRule="auto"/>
            </w:pPr>
            <w:r>
              <w:rPr>
                <w:rFonts w:ascii="DejaVu Sans" w:hAnsi="DejaVu Sans"/>
                <w:sz w:val="18"/>
              </w:rPr>
              <w:t xml:space="preserve">bridge_config / PK singleton_id = 1</w:t>
            </w:r>
          </w:p>
        </w:tc>
        <w:tc>
          <w:tcPr>
            <w:tcW w:w="7668" w:type="dxa"/>
            <w:shd w:fill="FFFFFF"/>
            <w:vAlign w:val="top"/>
          </w:tcPr>
          <w:p>
            <w:pPr>
              <w:spacing w:after="60" w:line="235" w:lineRule="auto"/>
            </w:pPr>
            <w:r>
              <w:rPr>
                <w:rFonts w:ascii="DejaVu Sans" w:hAnsi="DejaVu Sans"/>
                <w:sz w:val="18"/>
              </w:rPr>
              <w:t xml:space="preserve">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90" w:line="260" w:lineRule="auto"/>
      </w:pPr>
    </w:p>
    <w:p>
      <w:pPr>
        <w:spacing w:after="90" w:line="260" w:lineRule="auto"/>
      </w:pPr>
      <w:r>
        <w:rPr>
          <w:rFonts w:ascii="DejaVu Sans" w:hAnsi="DejaVu Sans"/>
          <w:sz w:val="21"/>
        </w:rPr>
        <w:t xml:space="preserve">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keepNext/>
        <w:spacing w:after="90" w:line="260" w:lineRule="auto"/>
      </w:pPr>
      <w:r>
        <w:rPr>
          <w:rFonts w:ascii="DejaVu Sans" w:hAnsi="DejaVu Sans"/>
          <w:b/>
          <w:sz w:val="25"/>
        </w:rPr>
        <w:t xml:space="preserve">Indexes and connection policy</w:t>
      </w:r>
    </w:p>
    <w:p>
      <w:pPr>
        <w:spacing w:after="90" w:line="260" w:lineRule="auto"/>
      </w:pPr>
      <w:r>
        <w:rPr>
          <w:rFonts w:ascii="DejaVu Sans" w:hAnsi="DejaVu Sans"/>
          <w:sz w:val="21"/>
        </w:rPr>
        <w:t xml:space="preserve">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pPr>
        <w:spacing w:after="90" w:line="260" w:lineRule="auto"/>
      </w:pPr>
      <w:r>
        <w:rPr>
          <w:rFonts w:ascii="DejaVu Sans" w:hAnsi="DejaVu Sans"/>
          <w:sz w:val="21"/>
        </w:rPr>
        <w:t xml:space="preserve">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keepNext/>
        <w:spacing w:after="90" w:line="260" w:lineRule="auto"/>
      </w:pPr>
      <w:r>
        <w:rPr>
          <w:rFonts w:ascii="DejaVu Sans" w:hAnsi="DejaVu Sans"/>
          <w:b/>
          <w:sz w:val="25"/>
        </w:rPr>
        <w:t xml:space="preserve">Permission commit and execution admission</w:t>
      </w:r>
    </w:p>
    <w:p>
      <w:pPr>
        <w:shd w:fill="F2F6FA"/>
        <w:spacing w:after="0" w:line="220" w:lineRule="auto"/>
      </w:pPr>
      <w:r>
        <w:rPr>
          <w:rFonts w:ascii="DejaVu Sans Mono" w:hAnsi="DejaVu Sans Mono"/>
          <w:sz w:val="18"/>
        </w:rPr>
        <w:t xml:space="preserve">with admissionGate:</w:t>
      </w:r>
    </w:p>
    <w:p>
      <w:pPr>
        <w:shd w:fill="F2F6FA"/>
        <w:spacing w:after="0" w:line="220" w:lineRule="auto"/>
      </w:pPr>
      <w:r>
        <w:rPr>
          <w:rFonts w:ascii="DejaVu Sans Mono" w:hAnsi="DejaVu Sans Mono"/>
          <w:sz w:val="18"/>
        </w:rPr>
        <w:t xml:space="preserve">  BEGIN IMMEDIATE</w:t>
      </w:r>
    </w:p>
    <w:p>
      <w:pPr>
        <w:shd w:fill="F2F6FA"/>
        <w:spacing w:after="0" w:line="220" w:lineRule="auto"/>
      </w:pPr>
      <w:r>
        <w:rPr>
          <w:rFonts w:ascii="DejaVu Sans Mono" w:hAnsi="DejaVu Sans Mono"/>
          <w:sz w:val="18"/>
        </w:rPr>
        <w:t xml:space="preserve">  assert client.row_version == expectedClientVersion</w:t>
      </w:r>
    </w:p>
    <w:p>
      <w:pPr>
        <w:shd w:fill="F2F6FA"/>
        <w:spacing w:after="0" w:line="220" w:lineRule="auto"/>
      </w:pPr>
      <w:r>
        <w:rPr>
          <w:rFonts w:ascii="DejaVu Sans Mono" w:hAnsi="DejaVu Sans Mono"/>
          <w:sz w:val="18"/>
        </w:rPr>
        <w:t xml:space="preserve">  assert policy_state.policy_revision == expectedPolicyRevision</w:t>
      </w:r>
    </w:p>
    <w:p>
      <w:pPr>
        <w:shd w:fill="F2F6FA"/>
        <w:spacing w:after="0" w:line="220" w:lineRule="auto"/>
      </w:pPr>
      <w:r>
        <w:rPr>
          <w:rFonts w:ascii="DejaVu Sans Mono" w:hAnsi="DejaVu Sans Mono"/>
          <w:sz w:val="18"/>
        </w:rPr>
        <w:t xml:space="preserve">  validate entire proposed rule set</w:t>
      </w:r>
    </w:p>
    <w:p>
      <w:pPr>
        <w:shd w:fill="F2F6FA"/>
        <w:spacing w:after="0" w:line="220" w:lineRule="auto"/>
      </w:pPr>
      <w:r>
        <w:rPr>
          <w:rFonts w:ascii="DejaVu Sans Mono" w:hAnsi="DejaVu Sans Mono"/>
          <w:sz w:val="18"/>
        </w:rPr>
        <w:t xml:space="preserve">  write rules; increment client.row_version and policy_revision</w:t>
      </w:r>
    </w:p>
    <w:p>
      <w:pPr>
        <w:shd w:fill="F2F6FA"/>
        <w:spacing w:after="0" w:line="220" w:lineRule="auto"/>
      </w:pPr>
      <w:r>
        <w:rPr>
          <w:rFonts w:ascii="DejaVu Sans Mono" w:hAnsi="DejaVu Sans Mono"/>
          <w:sz w:val="18"/>
        </w:rPr>
        <w:t xml:space="preserve">  append audit_event and change_outbox</w:t>
      </w:r>
    </w:p>
    <w:p>
      <w:pPr>
        <w:shd w:fill="F2F6FA"/>
        <w:spacing w:after="0" w:line="220" w:lineRule="auto"/>
      </w:pPr>
      <w:r>
        <w:rPr>
          <w:rFonts w:ascii="DejaVu Sans Mono" w:hAnsi="DejaVu Sans Mono"/>
          <w:sz w:val="18"/>
        </w:rPr>
        <w:t xml:space="preserve">  COMMIT</w:t>
      </w:r>
    </w:p>
    <w:p>
      <w:pPr>
        <w:shd w:fill="F2F6FA"/>
        <w:spacing w:after="0" w:line="220" w:lineRule="auto"/>
      </w:pPr>
      <w:r>
        <w:rPr>
          <w:rFonts w:ascii="DejaVu Sans Mono" w:hAnsi="DejaVu Sans Mono"/>
          <w:sz w:val="18"/>
        </w:rPr>
        <w:t xml:space="preserve">  install new immutable snapshot; invalidate old approvals</w:t>
      </w:r>
    </w:p>
    <w:p>
      <w:pPr>
        <w:shd w:fill="F2F6FA"/>
        <w:spacing w:after="0" w:line="220" w:lineRule="auto"/>
      </w:pPr>
      <w:r>
        <w:rPr>
          <w:rFonts w:ascii="DejaVu Sans Mono" w:hAnsi="DejaVu Sans Mono"/>
          <w:sz w:val="18"/>
        </w:rPr>
        <w:t xml:space="preserve">  signal affected calls and streams</w:t>
      </w:r>
    </w:p>
    <w:p>
      <w:pPr>
        <w:shd w:fill="F2F6FA"/>
        <w:spacing w:after="0" w:line="220" w:lineRule="auto"/>
      </w:pPr>
      <w:r>
        <w:rPr>
          <w:rFonts w:ascii="DejaVu Sans Mono" w:hAnsi="DejaVu Sans Mono"/>
          <w:sz w:val="18"/>
        </w:rPr>
        <w:t xml:space="preserve">// Acknowledge Apply only after the gate has published the commit</w:t>
      </w:r>
    </w:p>
    <w:p>
      <w:pPr>
        <w:spacing w:after="90" w:line="260" w:lineRule="auto"/>
      </w:pPr>
      <w:r>
        <w:rPr>
          <w:rFonts w:ascii="DejaVu Sans" w:hAnsi="DejaVu Sans"/>
          <w:sz w:val="21"/>
        </w:rPr>
        <w:t xml:space="preserve">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keepNext/>
        <w:spacing w:after="90" w:line="260" w:lineRule="auto"/>
      </w:pPr>
      <w:r>
        <w:rPr>
          <w:rFonts w:ascii="DejaVu Sans" w:hAnsi="DejaVu Sans"/>
          <w:b/>
          <w:sz w:val="30"/>
        </w:rPr>
        <w:t xml:space="preserve">Secret protection and storage recovery</w:t>
      </w:r>
    </w:p>
    <w:p>
      <w:pPr>
        <w:pStyle w:val="Heading2"/>
        <w:keepNext/>
        <w:spacing w:after="90" w:line="260" w:lineRule="auto"/>
      </w:pPr>
      <w:r>
        <w:rPr>
          <w:rFonts w:ascii="DejaVu Sans" w:hAnsi="DejaVu Sans"/>
          <w:b/>
          <w:sz w:val="25"/>
        </w:rPr>
        <w:t xml:space="preserve">Secrets and privacy</w:t>
      </w:r>
    </w:p>
    <w:p>
      <w:pPr>
        <w:spacing w:after="90" w:line="260" w:lineRule="auto"/>
      </w:pPr>
      <w:r>
        <w:rPr>
          <w:rFonts w:ascii="DejaVu Sans" w:hAnsi="DejaVu Sans"/>
          <w:sz w:val="21"/>
        </w:rPr>
        <w:t xml:space="preserve">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pPr>
        <w:spacing w:after="90" w:line="260" w:lineRule="auto"/>
      </w:pPr>
      <w:r>
        <w:rPr>
          <w:rFonts w:ascii="DejaVu Sans" w:hAnsi="DejaVu Sans"/>
          <w:sz w:val="21"/>
        </w:rPr>
        <w:t xml:space="preserve">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keepNext/>
        <w:spacing w:after="90" w:line="260" w:lineRule="auto"/>
      </w:pPr>
      <w:r>
        <w:rPr>
          <w:rFonts w:ascii="DejaVu Sans" w:hAnsi="DejaVu Sans"/>
          <w:b/>
          <w:sz w:val="25"/>
        </w:rPr>
        <w:t xml:space="preserve">Migrations and backup</w:t>
      </w:r>
    </w:p>
    <w:p>
      <w:pPr>
        <w:spacing w:after="90" w:line="260" w:lineRule="auto"/>
      </w:pPr>
      <w:r>
        <w:rPr>
          <w:rFonts w:ascii="DejaVu Sans" w:hAnsi="DejaVu Sans"/>
          <w:sz w:val="21"/>
        </w:rPr>
        <w:t xml:space="preserve">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pPr>
        <w:spacing w:after="90" w:line="260" w:lineRule="auto"/>
      </w:pPr>
      <w:r>
        <w:rPr>
          <w:rFonts w:ascii="DejaVu Sans" w:hAnsi="DejaVu Sans"/>
          <w:sz w:val="21"/>
        </w:rPr>
        <w:t xml:space="preserve">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keepNext/>
        <w:spacing w:after="90" w:line="260" w:lineRule="auto"/>
      </w:pPr>
      <w:r>
        <w:rPr>
          <w:rFonts w:ascii="DejaVu Sans" w:hAnsi="DejaVu Sans"/>
          <w:b/>
          <w:sz w:val="30"/>
        </w:rPr>
        <w:t xml:space="preserve">12 Convenience tool contracts</w:t>
      </w:r>
    </w:p>
    <w:p>
      <w:pPr>
        <w:spacing w:after="90" w:line="260" w:lineRule="auto"/>
      </w:pPr>
      <w:r>
        <w:rPr>
          <w:rFonts w:ascii="DejaVu Sans" w:hAnsi="DejaVu Sans"/>
          <w:sz w:val="21"/>
        </w:rPr>
        <w:t xml:space="preserve">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Tool</w:t>
            </w:r>
          </w:p>
        </w:tc>
        <w:tc>
          <w:tcPr>
            <w:tcW w:w="3987" w:type="dxa"/>
            <w:shd w:fill="E4EDF5"/>
            <w:vAlign w:val="top"/>
          </w:tcPr>
          <w:p>
            <w:pPr>
              <w:spacing w:after="60" w:line="235" w:lineRule="auto"/>
            </w:pPr>
            <w:r>
              <w:rPr>
                <w:rFonts w:ascii="DejaVu Sans" w:hAnsi="DejaVu Sans"/>
                <w:b/>
                <w:sz w:val="18"/>
              </w:rPr>
              <w:t xml:space="preserve">Input and output</w:t>
            </w:r>
          </w:p>
        </w:tc>
        <w:tc>
          <w:tcPr>
            <w:tcW w:w="3988" w:type="dxa"/>
            <w:shd w:fill="E4EDF5"/>
            <w:vAlign w:val="top"/>
          </w:tcPr>
          <w:p>
            <w:pPr>
              <w:spacing w:after="60" w:line="235" w:lineRule="auto"/>
            </w:pPr>
            <w:r>
              <w:rPr>
                <w:rFonts w:ascii="DejaVu Sans" w:hAnsi="DejaVu Sans"/>
                <w:b/>
                <w:sz w:val="18"/>
              </w:rPr>
              <w:t xml:space="preserve">Adapter and policy</w:t>
            </w:r>
          </w:p>
        </w:tc>
      </w:tr>
      <w:tr>
        <w:trPr>
          <w:cantSplit/>
        </w:trPr>
        <w:tc>
          <w:tcPr>
            <w:tcW w:w="2249" w:type="dxa"/>
            <w:shd w:fill="FFFFFF"/>
            <w:vAlign w:val="top"/>
          </w:tcPr>
          <w:p>
            <w:pPr>
              <w:spacing w:after="60" w:line="235" w:lineRule="auto"/>
            </w:pPr>
            <w:r>
              <w:rPr>
                <w:rFonts w:ascii="DejaVu Sans" w:hAnsi="DejaVu Sans"/>
                <w:sz w:val="18"/>
              </w:rPr>
              <w:t xml:space="preserve">settings.brightness.get</w:t>
            </w:r>
          </w:p>
        </w:tc>
        <w:tc>
          <w:tcPr>
            <w:tcW w:w="3987" w:type="dxa"/>
            <w:shd w:fill="FFFFFF"/>
            <w:vAlign w:val="top"/>
          </w:tcPr>
          <w:p>
            <w:pPr>
              <w:spacing w:after="60" w:line="235" w:lineRule="auto"/>
            </w:pPr>
            <w:r>
              <w:rPr>
                <w:rFonts w:ascii="DejaVu Sans" w:hAnsi="DejaVu Sans"/>
                <w:sz w:val="18"/>
              </w:rPr>
              <w:t xml:space="preserve">Input {}. Output rawValue observed int32 plus withinDocumentedRange; documented range1..255, mode manual/automatic and observedAt.</w:t>
            </w:r>
          </w:p>
        </w:tc>
        <w:tc>
          <w:tcPr>
            <w:tcW w:w="3988" w:type="dxa"/>
            <w:shd w:fill="FFFFFF"/>
            <w:vAlign w:val="top"/>
          </w:tcPr>
          <w:p>
            <w:pPr>
              <w:spacing w:after="60" w:line="235" w:lineRule="auto"/>
            </w:pPr>
            <w:r>
              <w:rPr>
                <w:rFonts w:ascii="DejaVu Sans" w:hAnsi="DejaVu Sans"/>
                <w:sz w:val="18"/>
              </w:rPr>
              <w:t xml:space="preserve">Settings.System wrapper. Read current value and mode; do not promise physical luminance or device independent perceived brightness. [S15]</w:t>
            </w:r>
          </w:p>
        </w:tc>
      </w:tr>
      <w:tr>
        <w:trPr>
          <w:cantSplit/>
        </w:trPr>
        <w:tc>
          <w:tcPr>
            <w:tcW w:w="2249" w:type="dxa"/>
            <w:shd w:fill="FFFFFF"/>
            <w:vAlign w:val="top"/>
          </w:tcPr>
          <w:p>
            <w:pPr>
              <w:spacing w:after="60" w:line="235" w:lineRule="auto"/>
            </w:pPr>
            <w:r>
              <w:rPr>
                <w:rFonts w:ascii="DejaVu Sans" w:hAnsi="DejaVu Sans"/>
                <w:sz w:val="18"/>
              </w:rPr>
              <w:t xml:space="preserve">settings.brightness.set</w:t>
            </w:r>
          </w:p>
        </w:tc>
        <w:tc>
          <w:tcPr>
            <w:tcW w:w="3987" w:type="dxa"/>
            <w:shd w:fill="FFFFFF"/>
            <w:vAlign w:val="top"/>
          </w:tcPr>
          <w:p>
            <w:pPr>
              <w:spacing w:after="60" w:line="235" w:lineRule="auto"/>
            </w:pPr>
            <w:r>
              <w:rPr>
                <w:rFonts w:ascii="DejaVu Sans" w:hAnsi="DejaVu Sans"/>
                <w:sz w:val="18"/>
              </w:rPr>
              <w:t xml:space="preserve">Input rawValue integer 1..255 and expectedMode manual. Output observed value or conflict.</w:t>
            </w:r>
          </w:p>
        </w:tc>
        <w:tc>
          <w:tcPr>
            <w:tcW w:w="3988" w:type="dxa"/>
            <w:shd w:fill="FFFFFF"/>
            <w:vAlign w:val="top"/>
          </w:tcPr>
          <w:p>
            <w:pPr>
              <w:spacing w:after="60" w:line="235" w:lineRule="auto"/>
            </w:pPr>
            <w:r>
              <w:rPr>
                <w:rFonts w:ascii="DejaVu Sans" w:hAnsi="DejaVu Sans"/>
                <w:sz w:val="18"/>
              </w:rPr>
              <w:t xml:space="preserve">Require Settings.System.canWrite special access (WRITE_SETTINGS), plus policy/Ask. Refuse automatic mode rather than silently changing it; no arbitrary setting keys. [S15]</w:t>
            </w:r>
          </w:p>
        </w:tc>
      </w:tr>
      <w:tr>
        <w:trPr>
          <w:cantSplit/>
        </w:trPr>
        <w:tc>
          <w:tcPr>
            <w:tcW w:w="2249" w:type="dxa"/>
            <w:shd w:fill="FFFFFF"/>
            <w:vAlign w:val="top"/>
          </w:tcPr>
          <w:p>
            <w:pPr>
              <w:spacing w:after="60" w:line="235" w:lineRule="auto"/>
            </w:pPr>
            <w:r>
              <w:rPr>
                <w:rFonts w:ascii="DejaVu Sans" w:hAnsi="DejaVu Sans"/>
                <w:sz w:val="18"/>
              </w:rPr>
              <w:t xml:space="preserve">sensors.list / sensors.read</w:t>
            </w:r>
          </w:p>
        </w:tc>
        <w:tc>
          <w:tcPr>
            <w:tcW w:w="3987" w:type="dxa"/>
            <w:shd w:fill="FFFFFF"/>
            <w:vAlign w:val="top"/>
          </w:tcPr>
          <w:p>
            <w:pPr>
              <w:spacing w:after="60" w:line="235" w:lineRule="auto"/>
            </w:pPr>
            <w:r>
              <w:rPr>
                <w:rFonts w:ascii="DejaVu Sans" w:hAnsi="DejaVu Sans"/>
                <w:sz w:val="18"/>
              </w:rPr>
              <w:t xml:space="preserve">List allowed sensor types only. Read: sensorHandle, rateHz and durationMs. Return bounded samples with units, timestamps and accuracy.</w:t>
            </w:r>
          </w:p>
        </w:tc>
        <w:tc>
          <w:tcPr>
            <w:tcW w:w="3988" w:type="dxa"/>
            <w:shd w:fill="FFFFFF"/>
            <w:vAlign w:val="top"/>
          </w:tcPr>
          <w:p>
            <w:pPr>
              <w:spacing w:after="60" w:line="235" w:lineRule="auto"/>
            </w:pPr>
            <w:r>
              <w:rPr>
                <w:rFonts w:ascii="DejaVu Sans" w:hAnsi="DejaVu Sans"/>
                <w:sz w:val="18"/>
              </w:rPr>
              <w:t xml:space="preserve">SensorManager wrapper; exact sensor allowlist, proposed cap 20 Hz and 5 seconds. Respect runtime permissions, foreground restrictions and device limits; unregister on finish, cancellation, revocation or failure. [S16]</w:t>
            </w:r>
          </w:p>
        </w:tc>
      </w:tr>
      <w:tr>
        <w:trPr>
          <w:cantSplit/>
        </w:trPr>
        <w:tc>
          <w:tcPr>
            <w:tcW w:w="2249" w:type="dxa"/>
            <w:shd w:fill="FFFFFF"/>
            <w:vAlign w:val="top"/>
          </w:tcPr>
          <w:p>
            <w:pPr>
              <w:spacing w:after="60" w:line="235" w:lineRule="auto"/>
            </w:pPr>
            <w:r>
              <w:rPr>
                <w:rFonts w:ascii="DejaVu Sans" w:hAnsi="DejaVu Sans"/>
                <w:sz w:val="18"/>
              </w:rPr>
              <w:t xml:space="preserve">device.battery.read</w:t>
            </w:r>
          </w:p>
        </w:tc>
        <w:tc>
          <w:tcPr>
            <w:tcW w:w="3987" w:type="dxa"/>
            <w:shd w:fill="FFFFFF"/>
            <w:vAlign w:val="top"/>
          </w:tcPr>
          <w:p>
            <w:pPr>
              <w:spacing w:after="60" w:line="235" w:lineRule="auto"/>
            </w:pPr>
            <w:r>
              <w:rPr>
                <w:rFonts w:ascii="DejaVu Sans" w:hAnsi="DejaVu Sans"/>
                <w:sz w:val="18"/>
              </w:rPr>
              <w:t xml:space="preserve">Input {}. Output levelPercent, isCharging and observedAt; omit fields not permitted by policy.</w:t>
            </w:r>
          </w:p>
        </w:tc>
        <w:tc>
          <w:tcPr>
            <w:tcW w:w="3988" w:type="dxa"/>
            <w:shd w:fill="FFFFFF"/>
            <w:vAlign w:val="top"/>
          </w:tcPr>
          <w:p>
            <w:pPr>
              <w:spacing w:after="60" w:line="235" w:lineRule="auto"/>
            </w:pPr>
            <w:r>
              <w:rPr>
                <w:rFonts w:ascii="DejaVu Sans" w:hAnsi="DejaVu Sans"/>
                <w:sz w:val="18"/>
              </w:rPr>
              <w:t xml:space="preserve">Public Android battery API wrapper. Read only; no custom AIDL needed. Available data depends on platform state.</w:t>
            </w:r>
          </w:p>
        </w:tc>
      </w:tr>
      <w:tr>
        <w:trPr>
          <w:cantSplit/>
        </w:trPr>
        <w:tc>
          <w:tcPr>
            <w:tcW w:w="2249" w:type="dxa"/>
            <w:shd w:fill="FFFFFF"/>
            <w:vAlign w:val="top"/>
          </w:tcPr>
          <w:p>
            <w:pPr>
              <w:spacing w:after="60" w:line="235" w:lineRule="auto"/>
            </w:pPr>
            <w:r>
              <w:rPr>
                <w:rFonts w:ascii="DejaVu Sans" w:hAnsi="DejaVu Sans"/>
                <w:sz w:val="18"/>
              </w:rPr>
              <w:t xml:space="preserve">contacts.list</w:t>
            </w:r>
          </w:p>
        </w:tc>
        <w:tc>
          <w:tcPr>
            <w:tcW w:w="3987" w:type="dxa"/>
            <w:shd w:fill="FFFFFF"/>
            <w:vAlign w:val="top"/>
          </w:tcPr>
          <w:p>
            <w:pPr>
              <w:spacing w:after="60" w:line="235" w:lineRule="auto"/>
            </w:pPr>
            <w:r>
              <w:rPr>
                <w:rFonts w:ascii="DejaVu Sans" w:hAnsi="DejaVu Sans"/>
                <w:sz w:val="18"/>
              </w:rPr>
              <w:t xml:space="preserve">Input contactIds[], fields[], limit 1..100. Output bounded records plus an opaque scoped cursor.</w:t>
            </w:r>
          </w:p>
        </w:tc>
        <w:tc>
          <w:tcPr>
            <w:tcW w:w="3988" w:type="dxa"/>
            <w:shd w:fill="FFFFFF"/>
            <w:vAlign w:val="top"/>
          </w:tcPr>
          <w:p>
            <w:pPr>
              <w:spacing w:after="60" w:line="235" w:lineRule="auto"/>
            </w:pPr>
            <w:r>
              <w:rPr>
                <w:rFonts w:ascii="DejaVu Sans" w:hAnsi="DejaVu Sans"/>
                <w:sz w:val="18"/>
              </w:rPr>
              <w:t xml:space="preserve">ContactsContract / ContentResolver wrapper; READ_CONTACTS plus selected ID/field scope. No raw query, projection or selection string. [S12]</w:t>
            </w:r>
          </w:p>
        </w:tc>
      </w:tr>
      <w:tr>
        <w:trPr>
          <w:cantSplit/>
        </w:trPr>
        <w:tc>
          <w:tcPr>
            <w:tcW w:w="2249" w:type="dxa"/>
            <w:shd w:fill="FFFFFF"/>
            <w:vAlign w:val="top"/>
          </w:tcPr>
          <w:p>
            <w:pPr>
              <w:spacing w:after="60" w:line="235" w:lineRule="auto"/>
            </w:pPr>
            <w:r>
              <w:rPr>
                <w:rFonts w:ascii="DejaVu Sans" w:hAnsi="DejaVu Sans"/>
                <w:sz w:val="18"/>
              </w:rPr>
              <w:t xml:space="preserve">document.read</w:t>
            </w:r>
          </w:p>
        </w:tc>
        <w:tc>
          <w:tcPr>
            <w:tcW w:w="3987" w:type="dxa"/>
            <w:shd w:fill="FFFFFF"/>
            <w:vAlign w:val="top"/>
          </w:tcPr>
          <w:p>
            <w:pPr>
              <w:spacing w:after="60" w:line="235" w:lineRule="auto"/>
            </w:pPr>
            <w:r>
              <w:rPr>
                <w:rFonts w:ascii="DejaVu Sans" w:hAnsi="DejaVu Sans"/>
                <w:sz w:val="18"/>
              </w:rPr>
              <w:t xml:space="preserve">Input documentHandle, offset and maxBytes. Output bounded content of an allowed media type.</w:t>
            </w:r>
          </w:p>
        </w:tc>
        <w:tc>
          <w:tcPr>
            <w:tcW w:w="3988" w:type="dxa"/>
            <w:shd w:fill="FFFFFF"/>
            <w:vAlign w:val="top"/>
          </w:tcPr>
          <w:p>
            <w:pPr>
              <w:spacing w:after="60" w:line="235" w:lineRule="auto"/>
            </w:pPr>
            <w:r>
              <w:rPr>
                <w:rFonts w:ascii="DejaVu Sans" w:hAnsi="DejaVu Sans"/>
                <w:sz w:val="18"/>
              </w:rPr>
              <w:t xml:space="preserve">Handle minted from an owner selected persisted URI grant; bind it to client, exact URI, access mode and revision. Never accept arbitrary file paths.</w:t>
            </w:r>
          </w:p>
        </w:tc>
      </w:tr>
      <w:tr>
        <w:trPr>
          <w:cantSplit/>
        </w:trPr>
        <w:tc>
          <w:tcPr>
            <w:tcW w:w="2249" w:type="dxa"/>
            <w:shd w:fill="FFFFFF"/>
            <w:vAlign w:val="top"/>
          </w:tcPr>
          <w:p>
            <w:pPr>
              <w:spacing w:after="60" w:line="235" w:lineRule="auto"/>
            </w:pPr>
            <w:r>
              <w:rPr>
                <w:rFonts w:ascii="DejaVu Sans" w:hAnsi="DejaVu Sans"/>
                <w:sz w:val="18"/>
              </w:rPr>
              <w:t xml:space="preserve">partner.status.read</w:t>
            </w:r>
          </w:p>
        </w:tc>
        <w:tc>
          <w:tcPr>
            <w:tcW w:w="3987" w:type="dxa"/>
            <w:shd w:fill="FFFFFF"/>
            <w:vAlign w:val="top"/>
          </w:tcPr>
          <w:p>
            <w:pPr>
              <w:spacing w:after="60" w:line="235" w:lineRule="auto"/>
            </w:pPr>
            <w:r>
              <w:rPr>
                <w:rFonts w:ascii="DejaVu Sans" w:hAnsi="DejaVu Sans"/>
                <w:sz w:val="18"/>
              </w:rPr>
              <w:t xml:space="preserve">Input accountHandle. Output a versioned status record.</w:t>
            </w:r>
          </w:p>
        </w:tc>
        <w:tc>
          <w:tcPr>
            <w:tcW w:w="3988" w:type="dxa"/>
            <w:shd w:fill="FFFFFF"/>
            <w:vAlign w:val="top"/>
          </w:tcPr>
          <w:p>
            <w:pPr>
              <w:spacing w:after="60" w:line="235" w:lineRule="auto"/>
            </w:pPr>
            <w:r>
              <w:rPr>
                <w:rFonts w:ascii="DejaVu Sans" w:hAnsi="DejaVu Sans"/>
                <w:sz w:val="18"/>
              </w:rPr>
              <w:t xml:space="preserve">Illustrative integration with a known partner AIDL service, explicit component and pinned signing identity. Requires a real partner contract; not an existing Android platform API.</w:t>
            </w:r>
          </w:p>
        </w:tc>
      </w:tr>
    </w:tbl>
    <w:p>
      <w:pPr>
        <w:spacing w:after="90" w:line="260" w:lineRule="auto"/>
      </w:pPr>
    </w:p>
    <w:p>
      <w:pPr>
        <w:pStyle w:val="Heading1"/>
        <w:keepNext/>
        <w:spacing w:after="90" w:line="260" w:lineRule="auto"/>
      </w:pPr>
      <w:r>
        <w:rPr>
          <w:rFonts w:ascii="DejaVu Sans" w:hAnsi="DejaVu Sans"/>
          <w:b/>
          <w:sz w:val="30"/>
        </w:rPr>
        <w:t xml:space="preserve">Tool exchanges and result behavior</w:t>
      </w:r>
    </w:p>
    <w:p>
      <w:pPr>
        <w:pStyle w:val="Heading2"/>
        <w:keepNext/>
        <w:spacing w:after="90" w:line="260" w:lineRule="auto"/>
      </w:pPr>
      <w:r>
        <w:rPr>
          <w:rFonts w:ascii="DejaVu Sans" w:hAnsi="DejaVu Sans"/>
          <w:b/>
          <w:sz w:val="25"/>
        </w:rPr>
        <w:t xml:space="preserve">Settings and sensor semantics</w:t>
      </w:r>
    </w:p>
    <w:p>
      <w:pPr>
        <w:spacing w:after="90" w:line="260" w:lineRule="auto"/>
      </w:pPr>
      <w:r>
        <w:rPr>
          <w:rFonts w:ascii="DejaVu Sans" w:hAnsi="DejaVu Sans"/>
          <w:sz w:val="21"/>
        </w:rPr>
        <w:t xml:space="preserve">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keepNext/>
        <w:spacing w:after="90" w:line="260" w:lineRule="auto"/>
      </w:pPr>
      <w:r>
        <w:rPr>
          <w:rFonts w:ascii="DejaVu Sans" w:hAnsi="DejaVu Sans"/>
          <w:b/>
          <w:sz w:val="25"/>
        </w:rPr>
        <w:t xml:space="preserve">Example MCP exchange</w:t>
      </w:r>
    </w:p>
    <w:p>
      <w:pPr>
        <w:shd w:fill="F2F6FA"/>
        <w:spacing w:after="0" w:line="220" w:lineRule="auto"/>
      </w:pPr>
      <w:r>
        <w:rPr>
          <w:rFonts w:ascii="DejaVu Sans Mono" w:hAnsi="DejaVu Sans Mono"/>
          <w:sz w:val="18"/>
        </w:rPr>
        <w:t xml:space="preserve">POST /mcp</w:t>
      </w:r>
    </w:p>
    <w:p>
      <w:pPr>
        <w:shd w:fill="F2F6FA"/>
        <w:spacing w:after="0" w:line="220" w:lineRule="auto"/>
      </w:pPr>
      <w:r>
        <w:rPr>
          <w:rFonts w:ascii="DejaVu Sans Mono" w:hAnsi="DejaVu Sans Mono"/>
          <w:sz w:val="18"/>
        </w:rPr>
        <w:t xml:space="preserve">Authorization: Bearer &lt;credential_id.secret&gt;</w:t>
      </w:r>
    </w:p>
    <w:p>
      <w:pPr>
        <w:shd w:fill="F2F6FA"/>
        <w:spacing w:after="0" w:line="220" w:lineRule="auto"/>
      </w:pPr>
      <w:r>
        <w:rPr>
          <w:rFonts w:ascii="DejaVu Sans Mono" w:hAnsi="DejaVu Sans Mono"/>
          <w:sz w:val="18"/>
        </w:rPr>
        <w:t xml:space="preserve">MCP-Protocol-Version: 2025-11-25</w:t>
      </w:r>
    </w:p>
    <w:p>
      <w:pPr>
        <w:shd w:fill="F2F6FA"/>
        <w:spacing w:after="0" w:line="220" w:lineRule="auto"/>
      </w:pPr>
      <w:r>
        <w:rPr>
          <w:rFonts w:ascii="DejaVu Sans Mono" w:hAnsi="DejaVu Sans Mono"/>
          <w:sz w:val="18"/>
        </w:rPr>
        <w:t xml:space="preserve">Mcp-Session-Id: &lt;bound-session-if-negotiated&gt;</w:t>
      </w:r>
    </w:p>
    <w:p>
      <w:pPr>
        <w:shd w:fill="F2F6FA"/>
        <w:spacing w:after="0" w:line="220" w:lineRule="auto"/>
      </w:pPr>
      <w:r>
        <w:rPr>
          <w:rFonts w:ascii="DejaVu Sans Mono" w:hAnsi="DejaVu Sans Mono"/>
          <w:sz w:val="18"/>
        </w:rPr>
        <w:t xml:space="preserve">Content-Type: application/json</w:t>
      </w:r>
    </w:p>
    <w:p>
      <w:pPr>
        <w:shd w:fill="F2F6FA"/>
        <w:spacing w:after="0" w:line="220" w:lineRule="auto"/>
      </w:pPr>
      <w:r>
        <w:rPr>
          <w:rFonts w:ascii="DejaVu Sans Mono" w:hAnsi="DejaVu Sans Mono"/>
          <w:sz w:val="18"/>
        </w:rPr>
        <w:t xml:space="preserve">Accept: application/json, text/event-stream</w:t>
      </w:r>
    </w:p>
    <w:p>
      <w:pPr>
        <w:shd w:fill="F2F6FA"/>
        <w:spacing w:after="0" w:line="220" w:lineRule="auto"/>
      </w:pPr>
    </w:p>
    <w:p>
      <w:pPr>
        <w:shd w:fill="F2F6FA"/>
        <w:spacing w:after="0" w:line="220" w:lineRule="auto"/>
      </w:pPr>
      <w:r>
        <w:rPr>
          <w:rFonts w:ascii="DejaVu Sans Mono" w:hAnsi="DejaVu Sans Mono"/>
          <w:sz w:val="18"/>
        </w:rPr>
        <w:t xml:space="preserve">{"jsonrpc":"2.0","id":42,"method":"tools/call",</w:t>
      </w:r>
    </w:p>
    <w:p>
      <w:pPr>
        <w:shd w:fill="F2F6FA"/>
        <w:spacing w:after="0" w:line="220" w:lineRule="auto"/>
      </w:pPr>
      <w:r>
        <w:rPr>
          <w:rFonts w:ascii="DejaVu Sans Mono" w:hAnsi="DejaVu Sans Mono"/>
          <w:sz w:val="18"/>
        </w:rPr>
        <w:t xml:space="preserve"> "params":{"name":"contacts.list","arguments":{</w:t>
      </w:r>
    </w:p>
    <w:p>
      <w:pPr>
        <w:shd w:fill="F2F6FA"/>
        <w:spacing w:after="0" w:line="220" w:lineRule="auto"/>
      </w:pPr>
      <w:r>
        <w:rPr>
          <w:rFonts w:ascii="DejaVu Sans Mono" w:hAnsi="DejaVu Sans Mono"/>
          <w:sz w:val="18"/>
        </w:rPr>
        <w:t xml:space="preserve">   "contactIds":["contact_7"],</w:t>
      </w:r>
    </w:p>
    <w:p>
      <w:pPr>
        <w:shd w:fill="F2F6FA"/>
        <w:spacing w:after="0" w:line="220" w:lineRule="auto"/>
      </w:pPr>
      <w:r>
        <w:rPr>
          <w:rFonts w:ascii="DejaVu Sans Mono" w:hAnsi="DejaVu Sans Mono"/>
          <w:sz w:val="18"/>
        </w:rPr>
        <w:t xml:space="preserve">   "fields":["displayName"],"limit":1}}}</w:t>
      </w:r>
    </w:p>
    <w:p>
      <w:pPr>
        <w:shd w:fill="F2F6FA"/>
        <w:spacing w:after="0" w:line="220" w:lineRule="auto"/>
      </w:pPr>
    </w:p>
    <w:p>
      <w:pPr>
        <w:shd w:fill="F2F6FA"/>
        <w:spacing w:after="0" w:line="220" w:lineRule="auto"/>
      </w:pPr>
      <w:r>
        <w:rPr>
          <w:rFonts w:ascii="DejaVu Sans Mono" w:hAnsi="DejaVu Sans Mono"/>
          <w:sz w:val="18"/>
        </w:rPr>
        <w:t xml:space="preserve">{"jsonrpc":"2.0","id":42,"result":{</w:t>
      </w:r>
    </w:p>
    <w:p>
      <w:pPr>
        <w:shd w:fill="F2F6FA"/>
        <w:spacing w:after="0" w:line="220" w:lineRule="auto"/>
      </w:pPr>
      <w:r>
        <w:rPr>
          <w:rFonts w:ascii="DejaVu Sans Mono" w:hAnsi="DejaVu Sans Mono"/>
          <w:sz w:val="18"/>
        </w:rPr>
        <w:t xml:space="preserve"> "content":[{"type":"text","text":"1 contact returned"}],</w:t>
      </w:r>
    </w:p>
    <w:p>
      <w:pPr>
        <w:shd w:fill="F2F6FA"/>
        <w:spacing w:after="0" w:line="220" w:lineRule="auto"/>
      </w:pPr>
      <w:r>
        <w:rPr>
          <w:rFonts w:ascii="DejaVu Sans Mono" w:hAnsi="DejaVu Sans Mono"/>
          <w:sz w:val="18"/>
        </w:rPr>
        <w:t xml:space="preserve"> "structuredContent":{"contacts":[{</w:t>
      </w:r>
    </w:p>
    <w:p>
      <w:pPr>
        <w:shd w:fill="F2F6FA"/>
        <w:spacing w:after="0" w:line="220" w:lineRule="auto"/>
      </w:pPr>
      <w:r>
        <w:rPr>
          <w:rFonts w:ascii="DejaVu Sans Mono" w:hAnsi="DejaVu Sans Mono"/>
          <w:sz w:val="18"/>
        </w:rPr>
        <w:t xml:space="preserve">   "id":"contact_7","displayName":"Example person"}]},</w:t>
      </w:r>
    </w:p>
    <w:p>
      <w:pPr>
        <w:shd w:fill="F2F6FA"/>
        <w:spacing w:after="0" w:line="220" w:lineRule="auto"/>
      </w:pPr>
      <w:r>
        <w:rPr>
          <w:rFonts w:ascii="DejaVu Sans Mono" w:hAnsi="DejaVu Sans Mono"/>
          <w:sz w:val="18"/>
        </w:rPr>
        <w:t xml:space="preserve"> "isError":false}}</w:t>
      </w:r>
    </w:p>
    <w:p>
      <w:pPr>
        <w:spacing w:after="90" w:line="260" w:lineRule="auto"/>
      </w:pPr>
      <w:r>
        <w:rPr>
          <w:rFonts w:ascii="DejaVu Sans" w:hAnsi="DejaVu Sans"/>
          <w:sz w:val="21"/>
        </w:rPr>
        <w:t xml:space="preserve">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keepNext/>
        <w:spacing w:after="90" w:line="260" w:lineRule="auto"/>
      </w:pPr>
      <w:r>
        <w:rPr>
          <w:rFonts w:ascii="DejaVu Sans" w:hAnsi="DejaVu Sans"/>
          <w:b/>
          <w:sz w:val="25"/>
        </w:rPr>
        <w:t xml:space="preserve">Error contract and retries</w:t>
      </w:r>
    </w:p>
    <w:p>
      <w:pPr>
        <w:spacing w:after="90" w:line="260" w:lineRule="auto"/>
      </w:pPr>
      <w:r>
        <w:rPr>
          <w:rFonts w:ascii="DejaVu Sans" w:hAnsi="DejaVu Sans"/>
          <w:sz w:val="21"/>
        </w:rPr>
        <w:t xml:space="preserve">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keepNext/>
        <w:spacing w:after="90" w:line="260" w:lineRule="auto"/>
      </w:pPr>
      <w:r>
        <w:rPr>
          <w:rFonts w:ascii="DejaVu Sans" w:hAnsi="DejaVu Sans"/>
          <w:b/>
          <w:sz w:val="30"/>
        </w:rPr>
        <w:t xml:space="preserve">13 Threat model and operational limits</w:t>
      </w:r>
    </w:p>
    <w:p>
      <w:pPr>
        <w:spacing w:after="90" w:line="260" w:lineRule="auto"/>
      </w:pPr>
      <w:r>
        <w:rPr>
          <w:rFonts w:ascii="DejaVu Sans" w:hAnsi="DejaVu Sans"/>
          <w:sz w:val="21"/>
        </w:rPr>
        <w:t xml:space="preserve">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Threat</w:t>
            </w:r>
          </w:p>
        </w:tc>
        <w:tc>
          <w:tcPr>
            <w:tcW w:w="7668" w:type="dxa"/>
            <w:shd w:fill="E4EDF5"/>
            <w:vAlign w:val="top"/>
          </w:tcPr>
          <w:p>
            <w:pPr>
              <w:spacing w:after="60" w:line="235" w:lineRule="auto"/>
            </w:pPr>
            <w:r>
              <w:rPr>
                <w:rFonts w:ascii="DejaVu Sans" w:hAnsi="DejaVu Sans"/>
                <w:b/>
                <w:sz w:val="18"/>
              </w:rPr>
              <w:t xml:space="preserve">Required mitigation and residual limit</w:t>
            </w:r>
          </w:p>
        </w:tc>
      </w:tr>
      <w:tr>
        <w:trPr>
          <w:cantSplit/>
        </w:trPr>
        <w:tc>
          <w:tcPr>
            <w:tcW w:w="2556" w:type="dxa"/>
            <w:shd w:fill="FFFFFF"/>
            <w:vAlign w:val="top"/>
          </w:tcPr>
          <w:p>
            <w:pPr>
              <w:spacing w:after="60" w:line="235" w:lineRule="auto"/>
            </w:pPr>
            <w:r>
              <w:rPr>
                <w:rFonts w:ascii="DejaVu Sans" w:hAnsi="DejaVu Sans"/>
                <w:sz w:val="18"/>
              </w:rPr>
              <w:t xml:space="preserve">Confused deputy</w:t>
            </w:r>
          </w:p>
        </w:tc>
        <w:tc>
          <w:tcPr>
            <w:tcW w:w="7668" w:type="dxa"/>
            <w:shd w:fill="FFFFFF"/>
            <w:vAlign w:val="top"/>
          </w:tcPr>
          <w:p>
            <w:pPr>
              <w:spacing w:after="60" w:line="235" w:lineRule="auto"/>
            </w:pPr>
            <w:r>
              <w:rPr>
                <w:rFonts w:ascii="DejaVu Sans" w:hAnsi="DejaVu Sans"/>
                <w:sz w:val="18"/>
              </w:rPr>
              <w:t xml:space="preserve">Resolve client identity before dispatch; authorize exact tool, resource and output. Native services see the bridge UID; ADB uses shell authority, not the original MCP principal.</w:t>
            </w:r>
          </w:p>
        </w:tc>
      </w:tr>
      <w:tr>
        <w:trPr>
          <w:cantSplit/>
        </w:trPr>
        <w:tc>
          <w:tcPr>
            <w:tcW w:w="2556" w:type="dxa"/>
            <w:shd w:fill="FFFFFF"/>
            <w:vAlign w:val="top"/>
          </w:tcPr>
          <w:p>
            <w:pPr>
              <w:spacing w:after="60" w:line="235" w:lineRule="auto"/>
            </w:pPr>
            <w:r>
              <w:rPr>
                <w:rFonts w:ascii="DejaVu Sans" w:hAnsi="DejaVu Sans"/>
                <w:sz w:val="18"/>
              </w:rPr>
              <w:t xml:space="preserve">Local port impersonation</w:t>
            </w:r>
          </w:p>
        </w:tc>
        <w:tc>
          <w:tcPr>
            <w:tcW w:w="7668" w:type="dxa"/>
            <w:shd w:fill="FFFFFF"/>
            <w:vAlign w:val="top"/>
          </w:tcPr>
          <w:p>
            <w:pPr>
              <w:spacing w:after="60" w:line="235" w:lineRule="auto"/>
            </w:pPr>
            <w:r>
              <w:rPr>
                <w:rFonts w:ascii="DejaVu Sans" w:hAnsi="DejaVu Sans"/>
                <w:sz w:val="18"/>
              </w:rPr>
              <w:t xml:space="preserve">Pin paired server identity with HTTPS where supported. Do not claim random ports or localhost authenticate the bridge. Plain HTTP mode is reduced assurance.</w:t>
            </w:r>
          </w:p>
        </w:tc>
      </w:tr>
      <w:tr>
        <w:trPr>
          <w:cantSplit/>
        </w:trPr>
        <w:tc>
          <w:tcPr>
            <w:tcW w:w="2556" w:type="dxa"/>
            <w:shd w:fill="FFFFFF"/>
            <w:vAlign w:val="top"/>
          </w:tcPr>
          <w:p>
            <w:pPr>
              <w:spacing w:after="60" w:line="235" w:lineRule="auto"/>
            </w:pPr>
            <w:r>
              <w:rPr>
                <w:rFonts w:ascii="DejaVu Sans" w:hAnsi="DejaVu Sans"/>
                <w:sz w:val="18"/>
              </w:rPr>
              <w:t xml:space="preserve">DNS rebinding or browser attack</w:t>
            </w:r>
          </w:p>
        </w:tc>
        <w:tc>
          <w:tcPr>
            <w:tcW w:w="7668" w:type="dxa"/>
            <w:shd w:fill="FFFFFF"/>
            <w:vAlign w:val="top"/>
          </w:tcPr>
          <w:p>
            <w:pPr>
              <w:spacing w:after="60" w:line="235" w:lineRule="auto"/>
            </w:pPr>
            <w:r>
              <w:rPr>
                <w:rFonts w:ascii="DejaVu Sans" w:hAnsi="DejaVu Sans"/>
                <w:sz w:val="18"/>
              </w:rPr>
              <w:t xml:space="preserve">Loopback only binding, Host and Origin validation, no permissive CORS, no cookie auth, per request bearer verification. No browser page can pair silently.</w:t>
            </w:r>
          </w:p>
        </w:tc>
      </w:tr>
      <w:tr>
        <w:trPr>
          <w:cantSplit/>
        </w:trPr>
        <w:tc>
          <w:tcPr>
            <w:tcW w:w="2556" w:type="dxa"/>
            <w:shd w:fill="FFFFFF"/>
            <w:vAlign w:val="top"/>
          </w:tcPr>
          <w:p>
            <w:pPr>
              <w:spacing w:after="60" w:line="235" w:lineRule="auto"/>
            </w:pPr>
            <w:r>
              <w:rPr>
                <w:rFonts w:ascii="DejaVu Sans" w:hAnsi="DejaVu Sans"/>
                <w:sz w:val="18"/>
              </w:rPr>
              <w:t xml:space="preserve">Prompt injection or consent spoofing</w:t>
            </w:r>
          </w:p>
        </w:tc>
        <w:tc>
          <w:tcPr>
            <w:tcW w:w="7668" w:type="dxa"/>
            <w:shd w:fill="FFFFFF"/>
            <w:vAlign w:val="top"/>
          </w:tcPr>
          <w:p>
            <w:pPr>
              <w:spacing w:after="60" w:line="235" w:lineRule="auto"/>
            </w:pPr>
            <w:r>
              <w:rPr>
                <w:rFonts w:ascii="DejaVu Sans" w:hAnsi="DejaVu Sans"/>
                <w:sz w:val="18"/>
              </w:rPr>
              <w:t xml:space="preserve">Agent text cannot grant policy. Local UI renders escaped text, bounded previews and trusted action labels; approval is bound to an immutable canonical plan.</w:t>
            </w:r>
          </w:p>
        </w:tc>
      </w:tr>
      <w:tr>
        <w:trPr>
          <w:cantSplit/>
        </w:trPr>
        <w:tc>
          <w:tcPr>
            <w:tcW w:w="2556" w:type="dxa"/>
            <w:shd w:fill="FFFFFF"/>
            <w:vAlign w:val="top"/>
          </w:tcPr>
          <w:p>
            <w:pPr>
              <w:spacing w:after="60" w:line="235" w:lineRule="auto"/>
            </w:pPr>
            <w:r>
              <w:rPr>
                <w:rFonts w:ascii="DejaVu Sans" w:hAnsi="DejaVu Sans"/>
                <w:sz w:val="18"/>
              </w:rPr>
              <w:t xml:space="preserve">Credential theft or replay</w:t>
            </w:r>
          </w:p>
        </w:tc>
        <w:tc>
          <w:tcPr>
            <w:tcW w:w="7668" w:type="dxa"/>
            <w:shd w:fill="FFFFFF"/>
            <w:vAlign w:val="top"/>
          </w:tcPr>
          <w:p>
            <w:pPr>
              <w:spacing w:after="60" w:line="235" w:lineRule="auto"/>
            </w:pPr>
            <w:r>
              <w:rPr>
                <w:rFonts w:ascii="DejaVu Sans" w:hAnsi="DejaVu Sans"/>
                <w:sz w:val="18"/>
              </w:rPr>
              <w:t xml:space="preserve">High entropy secrets, Keystore backed verifier, short setup window, redaction, rotation and immediate revocation. Bearer possession remains impersonation until revoked.</w:t>
            </w:r>
          </w:p>
        </w:tc>
      </w:tr>
      <w:tr>
        <w:trPr>
          <w:cantSplit/>
        </w:trPr>
        <w:tc>
          <w:tcPr>
            <w:tcW w:w="2556" w:type="dxa"/>
            <w:shd w:fill="FFFFFF"/>
            <w:vAlign w:val="top"/>
          </w:tcPr>
          <w:p>
            <w:pPr>
              <w:spacing w:after="60" w:line="235" w:lineRule="auto"/>
            </w:pPr>
            <w:r>
              <w:rPr>
                <w:rFonts w:ascii="DejaVu Sans" w:hAnsi="DejaVu Sans"/>
                <w:sz w:val="18"/>
              </w:rPr>
              <w:t xml:space="preserve">Scope escape</w:t>
            </w:r>
          </w:p>
        </w:tc>
        <w:tc>
          <w:tcPr>
            <w:tcW w:w="7668" w:type="dxa"/>
            <w:shd w:fill="FFFFFF"/>
            <w:vAlign w:val="top"/>
          </w:tcPr>
          <w:p>
            <w:pPr>
              <w:spacing w:after="60" w:line="235" w:lineRule="auto"/>
            </w:pPr>
            <w:r>
              <w:rPr>
                <w:rFonts w:ascii="DejaVu Sans" w:hAnsi="DejaVu Sans"/>
                <w:sz w:val="18"/>
              </w:rPr>
              <w:t xml:space="preserve">Resolve exact resources, schema hashes and owned handles. Generic and raw Binder calls use the same per-client gate, bounded marshalling and service identity checks; no unvalidated pointer or SQL pass-through.</w:t>
            </w:r>
          </w:p>
        </w:tc>
      </w:tr>
      <w:tr>
        <w:trPr>
          <w:cantSplit/>
        </w:trPr>
        <w:tc>
          <w:tcPr>
            <w:tcW w:w="2556" w:type="dxa"/>
            <w:shd w:fill="FFFFFF"/>
            <w:vAlign w:val="top"/>
          </w:tcPr>
          <w:p>
            <w:pPr>
              <w:spacing w:after="60" w:line="235" w:lineRule="auto"/>
            </w:pPr>
            <w:r>
              <w:rPr>
                <w:rFonts w:ascii="DejaVu Sans" w:hAnsi="DejaVu Sans"/>
                <w:sz w:val="18"/>
              </w:rPr>
              <w:t xml:space="preserve">Revocation race</w:t>
            </w:r>
          </w:p>
        </w:tc>
        <w:tc>
          <w:tcPr>
            <w:tcW w:w="7668" w:type="dxa"/>
            <w:shd w:fill="FFFFFF"/>
            <w:vAlign w:val="top"/>
          </w:tcPr>
          <w:p>
            <w:pPr>
              <w:spacing w:after="60" w:line="235" w:lineRule="auto"/>
            </w:pPr>
            <w:r>
              <w:rPr>
                <w:rFonts w:ascii="DejaVu Sans" w:hAnsi="DejaVu Sans"/>
                <w:sz w:val="18"/>
              </w:rPr>
              <w:t xml:space="preserve">Serialized admission boundary, revision recheck, invalidated approvals, canceled streams and no stale replay. Cannot undo a previously dispatched external effect.</w:t>
            </w:r>
          </w:p>
        </w:tc>
      </w:tr>
      <w:tr>
        <w:trPr>
          <w:cantSplit/>
        </w:trPr>
        <w:tc>
          <w:tcPr>
            <w:tcW w:w="2556" w:type="dxa"/>
            <w:shd w:fill="FFFFFF"/>
            <w:vAlign w:val="top"/>
          </w:tcPr>
          <w:p>
            <w:pPr>
              <w:spacing w:after="60" w:line="235" w:lineRule="auto"/>
            </w:pPr>
            <w:r>
              <w:rPr>
                <w:rFonts w:ascii="DejaVu Sans" w:hAnsi="DejaVu Sans"/>
                <w:sz w:val="18"/>
              </w:rPr>
              <w:t xml:space="preserve">Memory or Binder denial of service</w:t>
            </w:r>
          </w:p>
        </w:tc>
        <w:tc>
          <w:tcPr>
            <w:tcW w:w="7668" w:type="dxa"/>
            <w:shd w:fill="FFFFFF"/>
            <w:vAlign w:val="top"/>
          </w:tcPr>
          <w:p>
            <w:pPr>
              <w:spacing w:after="60" w:line="235" w:lineRule="auto"/>
            </w:pPr>
            <w:r>
              <w:rPr>
                <w:rFonts w:ascii="DejaVu Sans" w:hAnsi="DejaVu Sans"/>
                <w:sz w:val="18"/>
              </w:rPr>
              <w:t xml:space="preserve">Bound request sizes, nested JSON, concurrent calls, pending approvals, output and event buffers. Use deadlines and bounded worker pools, not UI or Binder thread blocking.</w:t>
            </w:r>
          </w:p>
        </w:tc>
      </w:tr>
      <w:tr>
        <w:trPr>
          <w:cantSplit/>
        </w:trPr>
        <w:tc>
          <w:tcPr>
            <w:tcW w:w="2556" w:type="dxa"/>
            <w:shd w:fill="FFFFFF"/>
            <w:vAlign w:val="top"/>
          </w:tcPr>
          <w:p>
            <w:pPr>
              <w:spacing w:after="60" w:line="235" w:lineRule="auto"/>
            </w:pPr>
            <w:r>
              <w:rPr>
                <w:rFonts w:ascii="DejaVu Sans" w:hAnsi="DejaVu Sans"/>
                <w:sz w:val="18"/>
              </w:rPr>
              <w:t xml:space="preserve">Backup or diagnostic leakage</w:t>
            </w:r>
          </w:p>
        </w:tc>
        <w:tc>
          <w:tcPr>
            <w:tcW w:w="7668" w:type="dxa"/>
            <w:shd w:fill="FFFFFF"/>
            <w:vAlign w:val="top"/>
          </w:tcPr>
          <w:p>
            <w:pPr>
              <w:spacing w:after="60" w:line="235" w:lineRule="auto"/>
            </w:pPr>
            <w:r>
              <w:rPr>
                <w:rFonts w:ascii="DejaVu Sans" w:hAnsi="DejaVu Sans"/>
                <w:sz w:val="18"/>
              </w:rPr>
              <w:t xml:space="preserve">Private app storage, protected exports, no secrets or raw-payload logging, disabled clients after restore and opt in redacted diagnostics.</w:t>
            </w:r>
          </w:p>
        </w:tc>
      </w:tr>
      <w:tr>
        <w:trPr>
          <w:cantSplit/>
        </w:trPr>
        <w:tc>
          <w:tcPr>
            <w:tcW w:w="2556" w:type="dxa"/>
            <w:shd w:fill="FFFFFF"/>
            <w:vAlign w:val="top"/>
          </w:tcPr>
          <w:p>
            <w:pPr>
              <w:spacing w:after="60" w:line="235" w:lineRule="auto"/>
            </w:pPr>
            <w:r>
              <w:rPr>
                <w:rFonts w:ascii="DejaVu Sans" w:hAnsi="DejaVu Sans"/>
                <w:sz w:val="18"/>
              </w:rPr>
              <w:t xml:space="preserve">Database tampering or downgrade</w:t>
            </w:r>
          </w:p>
        </w:tc>
        <w:tc>
          <w:tcPr>
            <w:tcW w:w="7668" w:type="dxa"/>
            <w:shd w:fill="FFFFFF"/>
            <w:vAlign w:val="top"/>
          </w:tcPr>
          <w:p>
            <w:pPr>
              <w:spacing w:after="60" w:line="235" w:lineRule="auto"/>
            </w:pPr>
            <w:r>
              <w:rPr>
                <w:rFonts w:ascii="DejaVu Sans" w:hAnsi="DejaVu Sans"/>
                <w:sz w:val="18"/>
              </w:rPr>
              <w:t xml:space="preserve">Constrained schema, integrity checks, version checks and fail closed restore. App sandbox is the baseline; full OS compromise is not solved by these checks.</w:t>
            </w:r>
          </w:p>
        </w:tc>
      </w:tr>
    </w:tbl>
    <w:p>
      <w:pPr>
        <w:spacing w:after="90" w:line="260" w:lineRule="auto"/>
      </w:pPr>
    </w:p>
    <w:p>
      <w:pPr>
        <w:pStyle w:val="Heading2"/>
        <w:keepNext/>
        <w:spacing w:after="90" w:line="260" w:lineRule="auto"/>
      </w:pPr>
      <w:r>
        <w:rPr>
          <w:rFonts w:ascii="DejaVu Sans" w:hAnsi="DejaVu Sans"/>
          <w:b/>
          <w:sz w:val="25"/>
        </w:rPr>
        <w:t xml:space="preserve">Logging and data retention</w:t>
      </w:r>
    </w:p>
    <w:p>
      <w:pPr>
        <w:spacing w:after="90" w:line="260" w:lineRule="auto"/>
      </w:pPr>
      <w:r>
        <w:rPr>
          <w:rFonts w:ascii="DejaVu Sans" w:hAnsi="DejaVu Sans"/>
          <w:sz w:val="21"/>
        </w:rPr>
        <w:t xml:space="preserve">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pPr>
        <w:spacing w:after="90" w:line="260" w:lineRule="auto"/>
      </w:pPr>
      <w:r>
        <w:rPr>
          <w:rFonts w:ascii="DejaVu Sans" w:hAnsi="DejaVu Sans"/>
          <w:sz w:val="21"/>
        </w:rPr>
        <w:t xml:space="preserve">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keepNext/>
        <w:spacing w:after="90" w:line="260" w:lineRule="auto"/>
      </w:pPr>
      <w:r>
        <w:rPr>
          <w:rFonts w:ascii="DejaVu Sans" w:hAnsi="DejaVu Sans"/>
          <w:b/>
          <w:sz w:val="30"/>
        </w:rPr>
        <w:t xml:space="preserve">14 Configurable call logging per client</w:t>
      </w:r>
    </w:p>
    <w:p>
      <w:pPr>
        <w:spacing w:after="90" w:line="260" w:lineRule="auto"/>
      </w:pPr>
      <w:r>
        <w:rPr>
          <w:rFonts w:ascii="DejaVu Sans" w:hAnsi="DejaVu Sans"/>
          <w:sz w:val="21"/>
        </w:rPr>
        <w:t xml:space="preserve">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Captured data and limits</w:t>
            </w:r>
          </w:p>
        </w:tc>
      </w:tr>
      <w:tr>
        <w:trPr>
          <w:cantSplit/>
        </w:trPr>
        <w:tc>
          <w:tcPr>
            <w:tcW w:w="2556" w:type="dxa"/>
            <w:shd w:fill="FFFFFF"/>
            <w:vAlign w:val="top"/>
          </w:tcPr>
          <w:p>
            <w:pPr>
              <w:spacing w:after="60" w:line="235" w:lineRule="auto"/>
            </w:pPr>
            <w:r>
              <w:rPr>
                <w:rFonts w:ascii="DejaVu Sans" w:hAnsi="DejaVu Sans"/>
                <w:sz w:val="18"/>
              </w:rPr>
              <w:t xml:space="preserve">Off</w:t>
            </w:r>
          </w:p>
        </w:tc>
        <w:tc>
          <w:tcPr>
            <w:tcW w:w="7668" w:type="dxa"/>
            <w:shd w:fill="FFFFFF"/>
            <w:vAlign w:val="top"/>
          </w:tcPr>
          <w:p>
            <w:pPr>
              <w:spacing w:after="60" w:line="235" w:lineRule="auto"/>
            </w:pPr>
            <w:r>
              <w:rPr>
                <w:rFonts w:ascii="DejaVu Sans" w:hAnsi="DejaVu Sans"/>
                <w:sz w:val="18"/>
              </w:rPr>
              <w:t xml:space="preserve">No optional call records. Mandatory minimal security/admission audit still applies.</w:t>
            </w:r>
          </w:p>
        </w:tc>
      </w:tr>
      <w:tr>
        <w:trPr>
          <w:cantSplit/>
        </w:trPr>
        <w:tc>
          <w:tcPr>
            <w:tcW w:w="2556" w:type="dxa"/>
            <w:shd w:fill="FFFFFF"/>
            <w:vAlign w:val="top"/>
          </w:tcPr>
          <w:p>
            <w:pPr>
              <w:spacing w:after="60" w:line="235" w:lineRule="auto"/>
            </w:pPr>
            <w:r>
              <w:rPr>
                <w:rFonts w:ascii="DejaVu Sans" w:hAnsi="DejaVu Sans"/>
                <w:sz w:val="18"/>
              </w:rPr>
              <w:t xml:space="preserve">Metadata default</w:t>
            </w:r>
          </w:p>
        </w:tc>
        <w:tc>
          <w:tcPr>
            <w:tcW w:w="7668" w:type="dxa"/>
            <w:shd w:fill="FFFFFF"/>
            <w:vAlign w:val="top"/>
          </w:tcPr>
          <w:p>
            <w:pPr>
              <w:spacing w:after="60" w:line="235" w:lineRule="auto"/>
            </w:pPr>
            <w:r>
              <w:rPr>
                <w:rFonts w:ascii="DejaVu Sans" w:hAnsi="DejaVu Sans"/>
                <w:sz w:val="18"/>
              </w:rPr>
              <w:t xml:space="preserve">Server-generated call ID, client ID, tool/backend ID, timestamps, duration, bounded decision/outcome code and revision numbers. No headers, targets, argument values or free-text errors.</w:t>
            </w:r>
          </w:p>
        </w:tc>
      </w:tr>
      <w:tr>
        <w:trPr>
          <w:cantSplit/>
        </w:trPr>
        <w:tc>
          <w:tcPr>
            <w:tcW w:w="2556" w:type="dxa"/>
            <w:shd w:fill="FFFFFF"/>
            <w:vAlign w:val="top"/>
          </w:tcPr>
          <w:p>
            <w:pPr>
              <w:spacing w:after="60" w:line="235" w:lineRule="auto"/>
            </w:pPr>
            <w:r>
              <w:rPr>
                <w:rFonts w:ascii="DejaVu Sans" w:hAnsi="DejaVu Sans"/>
                <w:sz w:val="18"/>
              </w:rPr>
              <w:t xml:space="preserve">Redacted diagnostic</w:t>
            </w:r>
          </w:p>
        </w:tc>
        <w:tc>
          <w:tcPr>
            <w:tcW w:w="7668" w:type="dxa"/>
            <w:shd w:fill="FFFFFF"/>
            <w:vAlign w:val="top"/>
          </w:tcPr>
          <w:p>
            <w:pPr>
              <w:spacing w:after="60" w:line="235" w:lineRule="auto"/>
            </w:pPr>
            <w:r>
              <w:rPr>
                <w:rFonts w:ascii="DejaVu Sans" w:hAnsi="DejaVu Sans"/>
                <w:sz w:val="18"/>
              </w:rPr>
              <w:t xml:space="preserve">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90" w:line="260" w:lineRule="auto"/>
      </w:pPr>
    </w:p>
    <w:p>
      <w:pPr>
        <w:pStyle w:val="Heading2"/>
        <w:keepNext/>
        <w:spacing w:after="90" w:line="260" w:lineRule="auto"/>
      </w:pPr>
      <w:r>
        <w:rPr>
          <w:rFonts w:ascii="DejaVu Sans" w:hAnsi="DejaVu Sans"/>
          <w:b/>
          <w:sz w:val="25"/>
        </w:rPr>
        <w:t xml:space="preserve">Logging tab and owner controls</w:t>
      </w:r>
    </w:p>
    <w:p>
      <w:pPr>
        <w:spacing w:after="90" w:line="260" w:lineRule="auto"/>
      </w:pPr>
      <w:r>
        <w:rPr>
          <w:rFonts w:ascii="DejaVu Sans" w:hAnsi="DejaVu Sans"/>
          <w:sz w:val="21"/>
        </w:rPr>
        <w:t xml:space="preserve">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pPr>
        <w:spacing w:after="90" w:line="260" w:lineRule="auto"/>
      </w:pPr>
      <w:r>
        <w:rPr>
          <w:rFonts w:ascii="DejaVu Sans" w:hAnsi="DejaVu Sans"/>
          <w:sz w:val="21"/>
        </w:rPr>
        <w:t xml:space="preserve">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keepNext/>
        <w:spacing w:after="90" w:line="260" w:lineRule="auto"/>
      </w:pPr>
      <w:r>
        <w:rPr>
          <w:rFonts w:ascii="DejaVu Sans" w:hAnsi="DejaVu Sans"/>
          <w:b/>
          <w:sz w:val="25"/>
        </w:rPr>
        <w:t xml:space="preserve">SQLite extension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client_logging_config / PK client_id</w:t>
            </w:r>
          </w:p>
        </w:tc>
        <w:tc>
          <w:tcPr>
            <w:tcW w:w="7668" w:type="dxa"/>
            <w:shd w:fill="FFFFFF"/>
            <w:vAlign w:val="top"/>
          </w:tcPr>
          <w:p>
            <w:pPr>
              <w:spacing w:after="60" w:line="235" w:lineRule="auto"/>
            </w:pPr>
            <w:r>
              <w:rPr>
                <w:rFonts w:ascii="DejaVu Sans" w:hAnsi="DejaVu Sans"/>
                <w:sz w:val="18"/>
              </w:rPr>
              <w:t xml:space="preserve">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w="2556" w:type="dxa"/>
            <w:shd w:fill="FFFFFF"/>
            <w:vAlign w:val="top"/>
          </w:tcPr>
          <w:p>
            <w:pPr>
              <w:spacing w:after="60" w:line="235" w:lineRule="auto"/>
            </w:pPr>
            <w:r>
              <w:rPr>
                <w:rFonts w:ascii="DejaVu Sans" w:hAnsi="DejaVu Sans"/>
                <w:sz w:val="18"/>
              </w:rPr>
              <w:t xml:space="preserve">client_call_logs / PK log_id</w:t>
            </w:r>
          </w:p>
        </w:tc>
        <w:tc>
          <w:tcPr>
            <w:tcW w:w="7668" w:type="dxa"/>
            <w:shd w:fill="FFFFFF"/>
            <w:vAlign w:val="top"/>
          </w:tcPr>
          <w:p>
            <w:pPr>
              <w:spacing w:after="60" w:line="235" w:lineRule="auto"/>
            </w:pPr>
            <w:r>
              <w:rPr>
                <w:rFonts w:ascii="DejaVu Sans" w:hAnsi="DejaVu Sans"/>
                <w:sz w:val="18"/>
              </w:rPr>
              <w:t xml:space="preserve">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w="2556" w:type="dxa"/>
            <w:shd w:fill="FFFFFF"/>
            <w:vAlign w:val="top"/>
          </w:tcPr>
          <w:p>
            <w:pPr>
              <w:spacing w:after="60" w:line="235" w:lineRule="auto"/>
            </w:pPr>
            <w:r>
              <w:rPr>
                <w:rFonts w:ascii="DejaVu Sans" w:hAnsi="DejaVu Sans"/>
                <w:sz w:val="18"/>
              </w:rPr>
              <w:t xml:space="preserve">logging_counters / PK client_id</w:t>
            </w:r>
          </w:p>
        </w:tc>
        <w:tc>
          <w:tcPr>
            <w:tcW w:w="7668" w:type="dxa"/>
            <w:shd w:fill="FFFFFF"/>
            <w:vAlign w:val="top"/>
          </w:tcPr>
          <w:p>
            <w:pPr>
              <w:spacing w:after="60" w:line="235" w:lineRule="auto"/>
            </w:pPr>
            <w:r>
              <w:rPr>
                <w:rFonts w:ascii="DejaVu Sans" w:hAnsi="DejaVu Sans"/>
                <w:sz w:val="18"/>
              </w:rPr>
              <w:t xml:space="preserve">FK clients CASCADE; optional_dropped_count &gt;= 0; quota_dropped_count &gt;= 0; last_drop_at nullable. Bounded aggregate counters, not one error row per failed log write.</w:t>
            </w:r>
          </w:p>
        </w:tc>
      </w:tr>
    </w:tbl>
    <w:p>
      <w:pPr>
        <w:spacing w:after="90" w:line="260" w:lineRule="auto"/>
      </w:pPr>
    </w:p>
    <w:p>
      <w:pPr>
        <w:spacing w:after="90" w:line="260" w:lineRule="auto"/>
      </w:pPr>
      <w:r>
        <w:rPr>
          <w:rFonts w:ascii="DejaVu Sans" w:hAnsi="DejaVu Sans"/>
          <w:sz w:val="21"/>
        </w:rPr>
        <w:t xml:space="preserve">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keepNext/>
        <w:spacing w:after="90" w:line="260" w:lineRule="auto"/>
      </w:pPr>
      <w:r>
        <w:rPr>
          <w:rFonts w:ascii="DejaVu Sans" w:hAnsi="DejaVu Sans"/>
          <w:b/>
          <w:sz w:val="30"/>
        </w:rPr>
        <w:t xml:space="preserve">Logging lifecycle and failure semantics</w:t>
      </w:r>
    </w:p>
    <w:p>
      <w:pPr>
        <w:spacing w:after="90" w:line="260" w:lineRule="auto"/>
      </w:pPr>
      <w:r>
        <w:rPr>
          <w:rFonts w:ascii="DejaVu Sans" w:hAnsi="DejaVu Sans"/>
          <w:sz w:val="21"/>
        </w:rPr>
        <w:t xml:space="preserve">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shd w:fill="F2F6FA"/>
        <w:spacing w:after="0" w:line="220" w:lineRule="auto"/>
      </w:pPr>
      <w:r>
        <w:rPr>
          <w:rFonts w:ascii="DejaVu Sans Mono" w:hAnsi="DejaVu Sans Mono"/>
          <w:sz w:val="18"/>
        </w:rPr>
        <w:t xml:space="preserve">effectiveCapture = admissionLoggingCeiling</w:t>
      </w:r>
    </w:p>
    <w:p>
      <w:pPr>
        <w:shd w:fill="F2F6FA"/>
        <w:spacing w:after="0" w:line="220" w:lineRule="auto"/>
      </w:pPr>
      <w:r>
        <w:rPr>
          <w:rFonts w:ascii="DejaVu Sans Mono" w:hAnsi="DejaVu Sans Mono"/>
          <w:sz w:val="18"/>
        </w:rPr>
        <w:t xml:space="preserve">                   INTERSECT currentClientLoggingConfig</w:t>
      </w:r>
    </w:p>
    <w:p>
      <w:pPr>
        <w:shd w:fill="F2F6FA"/>
        <w:spacing w:after="0" w:line="220" w:lineRule="auto"/>
      </w:pPr>
      <w:r>
        <w:rPr>
          <w:rFonts w:ascii="DejaVu Sans Mono" w:hAnsi="DejaVu Sans Mono"/>
          <w:sz w:val="18"/>
        </w:rPr>
        <w:t xml:space="preserve">                   INTERSECT currentGlobalLimits</w:t>
      </w:r>
    </w:p>
    <w:p>
      <w:pPr>
        <w:shd w:fill="F2F6FA"/>
        <w:spacing w:after="0" w:line="220" w:lineRule="auto"/>
      </w:pPr>
      <w:r>
        <w:rPr>
          <w:rFonts w:ascii="DejaVu Sans Mono" w:hAnsi="DejaVu Sans Mono"/>
          <w:sz w:val="18"/>
        </w:rPr>
        <w:t xml:space="preserve">// Enabling more capture affects new calls only.</w:t>
      </w:r>
    </w:p>
    <w:p>
      <w:pPr>
        <w:shd w:fill="F2F6FA"/>
        <w:spacing w:after="0" w:line="220" w:lineRule="auto"/>
      </w:pPr>
      <w:r>
        <w:rPr>
          <w:rFonts w:ascii="DejaVu Sans Mono" w:hAnsi="DejaVu Sans Mono"/>
          <w:sz w:val="18"/>
        </w:rPr>
        <w:t xml:space="preserve">// Reductions, expiry and revocation affect queued writes immediately.</w:t>
      </w:r>
    </w:p>
    <w:p>
      <w:pPr>
        <w:spacing w:after="90" w:line="260" w:lineRule="auto"/>
      </w:pPr>
      <w:r>
        <w:rPr>
          <w:rFonts w:ascii="DejaVu Sans" w:hAnsi="DejaVu Sans"/>
          <w:sz w:val="21"/>
        </w:rPr>
        <w:t xml:space="preserve">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keepNext/>
        <w:spacing w:after="90" w:line="260" w:lineRule="auto"/>
      </w:pPr>
      <w:r>
        <w:rPr>
          <w:rFonts w:ascii="DejaVu Sans" w:hAnsi="DejaVu Sans"/>
          <w:b/>
          <w:sz w:val="25"/>
        </w:rPr>
        <w:t xml:space="preserve">Security and data handling</w:t>
      </w:r>
    </w:p>
    <w:p>
      <w:pPr>
        <w:numPr>
          <w:ilvl w:val="0"/>
          <w:numId w:val="1019"/>
        </w:numPr>
        <w:spacing w:after="90" w:line="260" w:lineRule="auto"/>
      </w:pPr>
      <w:r>
        <w:rPr>
          <w:rFonts w:ascii="DejaVu Sans" w:hAnsi="DejaVu Sans"/>
          <w:sz w:val="21"/>
        </w:rPr>
        <w:t xml:space="preserve">Encrypt diagnostic projections with keys protected by Android Keystore. Use an independently destroyable per-client log-domain key if cryptographic deletion is required. Never reuse the mandatory-audit key for optional-log deletion. Plain SQLite is not encryption.</w:t>
      </w:r>
    </w:p>
    <w:p>
      <w:pPr>
        <w:numPr>
          <w:ilvl w:val="0"/>
          <w:numId w:val="1019"/>
        </w:numPr>
        <w:spacing w:after="90" w:line="260" w:lineRule="auto"/>
      </w:pPr>
      <w:r>
        <w:rPr>
          <w:rFonts w:ascii="DejaVu Sans" w:hAnsi="DejaVu Sans"/>
          <w:sz w:val="21"/>
        </w:rPr>
        <w:t xml:space="preserve">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numPr>
          <w:ilvl w:val="0"/>
          <w:numId w:val="1019"/>
        </w:numPr>
        <w:spacing w:after="90" w:line="260" w:lineRule="auto"/>
      </w:pPr>
      <w:r>
        <w:rPr>
          <w:rFonts w:ascii="DejaVu Sans" w:hAnsi="DejaVu Sans"/>
          <w:sz w:val="21"/>
        </w:rPr>
        <w:t xml:space="preserve">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numPr>
          <w:ilvl w:val="0"/>
          <w:numId w:val="1019"/>
        </w:numPr>
        <w:spacing w:after="90" w:line="260" w:lineRule="auto"/>
      </w:pPr>
      <w:r>
        <w:rPr>
          <w:rFonts w:ascii="DejaVu Sans" w:hAnsi="DejaVu Sans"/>
          <w:sz w:val="21"/>
        </w:rPr>
        <w:t xml:space="preserve">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keepNext/>
        <w:spacing w:after="90" w:line="260" w:lineRule="auto"/>
      </w:pPr>
      <w:r>
        <w:rPr>
          <w:rFonts w:ascii="DejaVu Sans" w:hAnsi="DejaVu Sans"/>
          <w:b/>
          <w:sz w:val="25"/>
        </w:rPr>
        <w:t xml:space="preserve">Failure and deletion behavior</w:t>
      </w:r>
    </w:p>
    <w:p>
      <w:pPr>
        <w:spacing w:after="90" w:line="260" w:lineRule="auto"/>
      </w:pPr>
      <w:r>
        <w:rPr>
          <w:rFonts w:ascii="DejaVu Sans" w:hAnsi="DejaVu Sans"/>
          <w:sz w:val="21"/>
        </w:rPr>
        <w:t xml:space="preserve">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pPr>
        <w:spacing w:after="90" w:line="260" w:lineRule="auto"/>
      </w:pPr>
      <w:r>
        <w:rPr>
          <w:rFonts w:ascii="DejaVu Sans" w:hAnsi="DejaVu Sans"/>
          <w:sz w:val="21"/>
        </w:rPr>
        <w:t xml:space="preserve">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keepNext/>
        <w:spacing w:after="90" w:line="260" w:lineRule="auto"/>
      </w:pPr>
      <w:r>
        <w:rPr>
          <w:rFonts w:ascii="DejaVu Sans" w:hAnsi="DejaVu Sans"/>
          <w:b/>
          <w:sz w:val="25"/>
        </w:rPr>
        <w:t xml:space="preserve">Logging acceptance checks</w:t>
      </w:r>
    </w:p>
    <w:p>
      <w:pPr>
        <w:spacing w:after="90" w:line="260" w:lineRule="auto"/>
      </w:pPr>
      <w:r>
        <w:rPr>
          <w:rFonts w:ascii="DejaVu Sans" w:hAnsi="DejaVu Sans"/>
          <w:sz w:val="21"/>
        </w:rPr>
        <w:t xml:space="preserve">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keepNext/>
        <w:spacing w:after="90" w:line="260" w:lineRule="auto"/>
      </w:pPr>
      <w:r>
        <w:rPr>
          <w:rFonts w:ascii="DejaVu Sans" w:hAnsi="DejaVu Sans"/>
          <w:b/>
          <w:sz w:val="30"/>
        </w:rPr>
        <w:t xml:space="preserve">15 Authorized ADB execution architecture</w:t>
      </w:r>
    </w:p>
    <w:p>
      <w:pPr>
        <w:spacing w:after="90" w:line="260" w:lineRule="auto"/>
      </w:pPr>
      <w:r>
        <w:rPr>
          <w:rFonts w:ascii="DejaVu Sans" w:hAnsi="DejaVu Sans"/>
          <w:sz w:val="21"/>
        </w:rPr>
        <w:t xml:space="preserve">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keepNext/>
        <w:spacing w:after="90" w:line="260" w:lineRule="auto"/>
      </w:pPr>
      <w:r>
        <w:rPr>
          <w:rFonts w:ascii="DejaVu Sans" w:hAnsi="DejaVu Sans"/>
          <w:b/>
          <w:sz w:val="25"/>
        </w:rPr>
        <w:t xml:space="preserve">Three distinct backend modes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Connection and trust</w:t>
            </w:r>
          </w:p>
        </w:tc>
      </w:tr>
      <w:tr>
        <w:trPr>
          <w:cantSplit/>
        </w:trPr>
        <w:tc>
          <w:tcPr>
            <w:tcW w:w="2556" w:type="dxa"/>
            <w:shd w:fill="FFFFFF"/>
            <w:vAlign w:val="top"/>
          </w:tcPr>
          <w:p>
            <w:pPr>
              <w:spacing w:after="60" w:line="235" w:lineRule="auto"/>
            </w:pPr>
            <w:r>
              <w:rPr>
                <w:rFonts w:ascii="DejaVu Sans" w:hAnsi="DejaVu Sans"/>
                <w:sz w:val="18"/>
              </w:rPr>
              <w:t xml:space="preserve">Self ADB primary</w:t>
            </w:r>
          </w:p>
        </w:tc>
        <w:tc>
          <w:tcPr>
            <w:tcW w:w="7668" w:type="dxa"/>
            <w:shd w:fill="FFFFFF"/>
            <w:vAlign w:val="top"/>
          </w:tcPr>
          <w:p>
            <w:pPr>
              <w:spacing w:after="60" w:line="235" w:lineRule="auto"/>
            </w:pPr>
            <w:r>
              <w:rPr>
                <w:rFonts w:ascii="DejaVu Sans" w:hAnsi="DejaVu Sans"/>
                <w:sz w:val="18"/>
              </w:rPr>
              <w:t xml:space="preserve">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w="2556" w:type="dxa"/>
            <w:shd w:fill="FFFFFF"/>
            <w:vAlign w:val="top"/>
          </w:tcPr>
          <w:p>
            <w:pPr>
              <w:spacing w:after="60" w:line="235" w:lineRule="auto"/>
            </w:pPr>
            <w:r>
              <w:rPr>
                <w:rFonts w:ascii="DejaVu Sans" w:hAnsi="DejaVu Sans"/>
                <w:sz w:val="18"/>
              </w:rPr>
              <w:t xml:space="preserve">External ADB host</w:t>
            </w:r>
          </w:p>
        </w:tc>
        <w:tc>
          <w:tcPr>
            <w:tcW w:w="7668" w:type="dxa"/>
            <w:shd w:fill="FFFFFF"/>
            <w:vAlign w:val="top"/>
          </w:tcPr>
          <w:p>
            <w:pPr>
              <w:spacing w:after="60" w:line="235" w:lineRule="auto"/>
            </w:pPr>
            <w:r>
              <w:rPr>
                <w:rFonts w:ascii="DejaVu Sans" w:hAnsi="DejaVu Sans"/>
                <w:sz w:val="18"/>
              </w:rPr>
              <w:t xml:space="preserve">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w="2556" w:type="dxa"/>
            <w:shd w:fill="FFFFFF"/>
            <w:vAlign w:val="top"/>
          </w:tcPr>
          <w:p>
            <w:pPr>
              <w:spacing w:after="60" w:line="235" w:lineRule="auto"/>
            </w:pPr>
            <w:r>
              <w:rPr>
                <w:rFonts w:ascii="DejaVu Sans" w:hAnsi="DejaVu Sans"/>
                <w:sz w:val="18"/>
              </w:rPr>
              <w:t xml:space="preserve">Avalonia runtime optional</w:t>
            </w:r>
          </w:p>
        </w:tc>
        <w:tc>
          <w:tcPr>
            <w:tcW w:w="7668" w:type="dxa"/>
            <w:shd w:fill="FFFFFF"/>
            <w:vAlign w:val="top"/>
          </w:tcPr>
          <w:p>
            <w:pPr>
              <w:spacing w:after="60" w:line="235" w:lineRule="auto"/>
            </w:pPr>
            <w:r>
              <w:rPr>
                <w:rFonts w:ascii="DejaVu Sans" w:hAnsi="DejaVu Sans"/>
                <w:sz w:val="18"/>
              </w:rPr>
              <w:t xml:space="preserve">A target app embeds an opted-in Avalonia.RemoteControl runtime. A new Android protocol adapter controls only its exposed Avalonia root. This specialized route is not required for arbitrary-app ADB automation. [S20]</w:t>
            </w:r>
          </w:p>
        </w:tc>
      </w:tr>
    </w:tbl>
    <w:p>
      <w:pPr>
        <w:spacing w:after="90" w:line="260" w:lineRule="auto"/>
      </w:pPr>
    </w:p>
    <w:p>
      <w:pPr>
        <w:spacing w:after="90" w:line="260" w:lineRule="auto"/>
      </w:pPr>
      <w:r>
        <w:rPr>
          <w:rFonts w:ascii="DejaVu Sans" w:hAnsi="DejaVu Sans"/>
          <w:sz w:val="21"/>
        </w:rPr>
        <w:t xml:space="preserve">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keepNext/>
        <w:spacing w:after="90" w:line="260" w:lineRule="auto"/>
      </w:pPr>
      <w:r>
        <w:rPr>
          <w:rFonts w:ascii="DejaVu Sans" w:hAnsi="DejaVu Sans"/>
          <w:b/>
          <w:sz w:val="25"/>
        </w:rPr>
        <w:t xml:space="preserve">Pairing and lifecycle</w:t>
      </w:r>
    </w:p>
    <w:p>
      <w:pPr>
        <w:numPr>
          <w:ilvl w:val="0"/>
          <w:numId w:val="1023"/>
        </w:numPr>
        <w:spacing w:after="90" w:line="260" w:lineRule="auto"/>
      </w:pPr>
      <w:r>
        <w:rPr>
          <w:rFonts w:ascii="DejaVu Sans" w:hAnsi="DejaVu Sans"/>
          <w:sz w:val="21"/>
        </w:rPr>
        <w:t xml:space="preserve">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numPr>
          <w:ilvl w:val="0"/>
          <w:numId w:val="1023"/>
        </w:numPr>
        <w:spacing w:after="90" w:line="260" w:lineRule="auto"/>
      </w:pPr>
      <w:r>
        <w:rPr>
          <w:rFonts w:ascii="DejaVu Sans" w:hAnsi="DejaVu Sans"/>
          <w:sz w:val="21"/>
        </w:rPr>
        <w:t xml:space="preserve">Use the pairing endpoint only for pairing, then discover the authenticated connect endpoint. Ports may differ and change after reboot, debugging toggle or network changes. Track Unpaired, Paired offline, Connecting, Connected, Locked and Revoked separately.</w:t>
      </w:r>
    </w:p>
    <w:p>
      <w:pPr>
        <w:numPr>
          <w:ilvl w:val="0"/>
          <w:numId w:val="1023"/>
        </w:numPr>
        <w:spacing w:after="90" w:line="260" w:lineRule="auto"/>
      </w:pPr>
      <w:r>
        <w:rPr>
          <w:rFonts w:ascii="DejaVu Sans" w:hAnsi="DejaVu Sans"/>
          <w:sz w:val="21"/>
        </w:rPr>
        <w:t xml:space="preserve">Persist the ADB key encrypted under a Keystore-protected wrapping key and exclude it from backup/export/logs. A native ADB implementation may need plaintext key material in process; do not claim the ADB private key is nonexportable or hardware backed unless proven.</w:t>
      </w:r>
    </w:p>
    <w:p>
      <w:pPr>
        <w:numPr>
          <w:ilvl w:val="0"/>
          <w:numId w:val="1023"/>
        </w:numPr>
        <w:spacing w:after="90" w:line="260" w:lineRule="auto"/>
      </w:pPr>
      <w:r>
        <w:rPr>
          <w:rFonts w:ascii="DejaVu Sans" w:hAnsi="DejaVu Sans"/>
          <w:sz w:val="21"/>
        </w:rPr>
        <w:t xml:space="preserve">On disconnect, stop admissions that need ADB, cancel bounded collectors and mark dispatched unknown outcomes honestly. Reconnect with the same trusted profile only after endpoint rediscovery and peer verification; never fall back to unauthenticated tcpip 5555.</w:t>
      </w:r>
    </w:p>
    <w:p>
      <w:pPr>
        <w:spacing w:after="90" w:line="260" w:lineRule="auto"/>
      </w:pPr>
      <w:r>
        <w:rPr>
          <w:rFonts w:ascii="DejaVu Sans" w:hAnsi="DejaVu Sans"/>
          <w:sz w:val="21"/>
        </w:rPr>
        <w:t xml:space="preserve">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keepNext/>
        <w:spacing w:after="90" w:line="260" w:lineRule="auto"/>
      </w:pPr>
      <w:r>
        <w:rPr>
          <w:rFonts w:ascii="DejaVu Sans" w:hAnsi="DejaVu Sans"/>
          <w:b/>
          <w:sz w:val="30"/>
        </w:rPr>
        <w:t xml:space="preserve">ADB connection records and remote host loopback</w:t>
      </w:r>
    </w:p>
    <w:p>
      <w:pPr>
        <w:pStyle w:val="Heading2"/>
        <w:keepNext/>
        <w:spacing w:after="90" w:line="260" w:lineRule="auto"/>
      </w:pPr>
      <w:r>
        <w:rPr>
          <w:rFonts w:ascii="DejaVu Sans" w:hAnsi="DejaVu Sans"/>
          <w:b/>
          <w:sz w:val="25"/>
        </w:rPr>
        <w:t xml:space="preserve">SQLite connection and target profiles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connection_profiles / PK profile_id</w:t>
            </w:r>
          </w:p>
        </w:tc>
        <w:tc>
          <w:tcPr>
            <w:tcW w:w="7668" w:type="dxa"/>
            <w:shd w:fill="FFFFFF"/>
            <w:vAlign w:val="top"/>
          </w:tcPr>
          <w:p>
            <w:pPr>
              <w:spacing w:after="60" w:line="235" w:lineRule="auto"/>
            </w:pPr>
            <w:r>
              <w:rPr>
                <w:rFonts w:ascii="DejaVu Sans" w:hAnsi="DejaVu Sans"/>
                <w:sz w:val="18"/>
              </w:rPr>
              <w:t xml:space="preserve">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w="2556" w:type="dxa"/>
            <w:shd w:fill="FFFFFF"/>
            <w:vAlign w:val="top"/>
          </w:tcPr>
          <w:p>
            <w:pPr>
              <w:spacing w:after="60" w:line="235" w:lineRule="auto"/>
            </w:pPr>
            <w:r>
              <w:rPr>
                <w:rFonts w:ascii="DejaVu Sans" w:hAnsi="DejaVu Sans"/>
                <w:sz w:val="18"/>
              </w:rPr>
              <w:t xml:space="preserve">target_app_profiles / PK target_id</w:t>
            </w:r>
          </w:p>
        </w:tc>
        <w:tc>
          <w:tcPr>
            <w:tcW w:w="7668" w:type="dxa"/>
            <w:shd w:fill="FFFFFF"/>
            <w:vAlign w:val="top"/>
          </w:tcPr>
          <w:p>
            <w:pPr>
              <w:spacing w:after="60" w:line="235" w:lineRule="auto"/>
            </w:pPr>
            <w:r>
              <w:rPr>
                <w:rFonts w:ascii="DejaVu Sans" w:hAnsi="DejaVu Sans"/>
                <w:sz w:val="18"/>
              </w:rPr>
              <w:t xml:space="preserve">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w="2556" w:type="dxa"/>
            <w:shd w:fill="FFFFFF"/>
            <w:vAlign w:val="top"/>
          </w:tcPr>
          <w:p>
            <w:pPr>
              <w:spacing w:after="60" w:line="235" w:lineRule="auto"/>
            </w:pPr>
            <w:r>
              <w:rPr>
                <w:rFonts w:ascii="DejaVu Sans" w:hAnsi="DejaVu Sans"/>
                <w:sz w:val="18"/>
              </w:rPr>
              <w:t xml:space="preserve">Existing table extensions</w:t>
            </w:r>
          </w:p>
        </w:tc>
        <w:tc>
          <w:tcPr>
            <w:tcW w:w="7668" w:type="dxa"/>
            <w:shd w:fill="FFFFFF"/>
            <w:vAlign w:val="top"/>
          </w:tcPr>
          <w:p>
            <w:pPr>
              <w:spacing w:after="60" w:line="235" w:lineRule="auto"/>
            </w:pPr>
            <w:r>
              <w:rPr>
                <w:rFonts w:ascii="DejaVu Sans" w:hAnsi="DejaVu Sans"/>
                <w:sz w:val="18"/>
              </w:rPr>
              <w:t xml:space="preserve">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90" w:line="260" w:lineRule="auto"/>
      </w:pPr>
    </w:p>
    <w:p>
      <w:pPr>
        <w:spacing w:after="90" w:line="260" w:lineRule="auto"/>
      </w:pPr>
      <w:r>
        <w:rPr>
          <w:rFonts w:ascii="DejaVu Sans" w:hAnsi="DejaVu Sans"/>
          <w:sz w:val="21"/>
        </w:rPr>
        <w:t xml:space="preserve">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keepNext/>
        <w:spacing w:after="90" w:line="260" w:lineRule="auto"/>
      </w:pPr>
      <w:r>
        <w:rPr>
          <w:rFonts w:ascii="DejaVu Sans" w:hAnsi="DejaVu Sans"/>
          <w:b/>
          <w:sz w:val="25"/>
        </w:rPr>
        <w:t xml:space="preserve">External host forwarding</w:t>
      </w:r>
    </w:p>
    <w:p>
      <w:pPr>
        <w:spacing w:after="90" w:line="260" w:lineRule="auto"/>
      </w:pPr>
      <w:r>
        <w:rPr>
          <w:rFonts w:ascii="DejaVu Sans" w:hAnsi="DejaVu Sans"/>
          <w:sz w:val="21"/>
        </w:rPr>
        <w:t xml:space="preserve">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shd w:fill="F2F6FA"/>
        <w:spacing w:after="0" w:line="220" w:lineRule="auto"/>
      </w:pPr>
      <w:r>
        <w:rPr>
          <w:rFonts w:ascii="DejaVu Sans Mono" w:hAnsi="DejaVu Sans Mono"/>
          <w:sz w:val="18"/>
        </w:rPr>
        <w:t xml:space="preserve">adb -s SERIAL forward --no-rebind tcp:0 tcp:MCP_DEVICE_PORT</w:t>
      </w:r>
    </w:p>
    <w:p>
      <w:pPr>
        <w:shd w:fill="F2F6FA"/>
        <w:spacing w:after="0" w:line="220" w:lineRule="auto"/>
      </w:pPr>
      <w:r>
        <w:rPr>
          <w:rFonts w:ascii="DejaVu Sans Mono" w:hAnsi="DejaVu Sans Mono"/>
          <w:sz w:val="18"/>
        </w:rPr>
        <w:t xml:space="preserve"># Capture the allocated host port for the MCP client.</w:t>
      </w:r>
    </w:p>
    <w:p>
      <w:pPr>
        <w:shd w:fill="F2F6FA"/>
        <w:spacing w:after="0" w:line="220" w:lineRule="auto"/>
      </w:pPr>
      <w:r>
        <w:rPr>
          <w:rFonts w:ascii="DejaVu Sans Mono" w:hAnsi="DejaVu Sans Mono"/>
          <w:sz w:val="18"/>
        </w:rPr>
        <w:t xml:space="preserve">adb -s SERIAL forward --no-rebind tcp:0 tcp:RUNTIME_DEVICE_PORT</w:t>
      </w:r>
    </w:p>
    <w:p>
      <w:pPr>
        <w:shd w:fill="F2F6FA"/>
        <w:spacing w:after="0" w:line="220" w:lineRule="auto"/>
      </w:pPr>
      <w:r>
        <w:rPr>
          <w:rFonts w:ascii="DejaVu Sans Mono" w:hAnsi="DejaVu Sans Mono"/>
          <w:sz w:val="18"/>
        </w:rPr>
        <w:t xml:space="preserve"># Optional separately authorized runtime debug connection.</w:t>
      </w:r>
    </w:p>
    <w:p>
      <w:pPr>
        <w:shd w:fill="F2F6FA"/>
        <w:spacing w:after="0" w:line="220" w:lineRule="auto"/>
      </w:pPr>
      <w:r>
        <w:rPr>
          <w:rFonts w:ascii="DejaVu Sans Mono" w:hAnsi="DejaVu Sans Mono"/>
          <w:sz w:val="18"/>
        </w:rPr>
        <w:t xml:space="preserve">adb -s SERIAL forward --remove tcp:OWNED_HOST_PORT</w:t>
      </w:r>
    </w:p>
    <w:p>
      <w:pPr>
        <w:spacing w:after="90" w:line="260" w:lineRule="auto"/>
      </w:pPr>
      <w:r>
        <w:rPr>
          <w:rFonts w:ascii="DejaVu Sans" w:hAnsi="DejaVu Sans"/>
          <w:sz w:val="21"/>
        </w:rPr>
        <w:t xml:space="preserve">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pPr>
        <w:spacing w:after="90" w:line="260" w:lineRule="auto"/>
      </w:pPr>
      <w:r>
        <w:rPr>
          <w:rFonts w:ascii="DejaVu Sans" w:hAnsi="DejaVu Sans"/>
          <w:sz w:val="21"/>
        </w:rPr>
        <w:t xml:space="preserve">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keepNext/>
        <w:spacing w:after="90" w:line="260" w:lineRule="auto"/>
      </w:pPr>
      <w:r>
        <w:rPr>
          <w:rFonts w:ascii="DejaVu Sans" w:hAnsi="DejaVu Sans"/>
          <w:b/>
          <w:sz w:val="30"/>
        </w:rPr>
        <w:t xml:space="preserve">16 On demand screen state and coordinate taps</w:t>
      </w:r>
    </w:p>
    <w:p>
      <w:pPr>
        <w:spacing w:after="90" w:line="260" w:lineRule="auto"/>
      </w:pPr>
      <w:r>
        <w:rPr>
          <w:rFonts w:ascii="DejaVu Sans" w:hAnsi="DejaVu Sans"/>
          <w:sz w:val="21"/>
        </w:rPr>
        <w:t xml:space="preserve">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7668" w:type="dxa"/>
            <w:shd w:fill="E4EDF5"/>
            <w:vAlign w:val="top"/>
          </w:tcPr>
          <w:p>
            <w:pPr>
              <w:spacing w:after="60" w:line="235" w:lineRule="auto"/>
            </w:pPr>
            <w:r>
              <w:rPr>
                <w:rFonts w:ascii="DejaVu Sans" w:hAnsi="DejaVu Sans"/>
                <w:b/>
                <w:sz w:val="18"/>
              </w:rPr>
              <w:t xml:space="preserve">Contract and authorization boundary</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7668" w:type="dxa"/>
            <w:shd w:fill="FFFFFF"/>
            <w:vAlign w:val="top"/>
          </w:tcPr>
          <w:p>
            <w:pPr>
              <w:spacing w:after="60" w:line="235" w:lineRule="auto"/>
            </w:pPr>
            <w:r>
              <w:rPr>
                <w:rFonts w:ascii="DejaVu Sans" w:hAnsi="DejaVu Sans"/>
                <w:sz w:val="18"/>
              </w:rPr>
              <w:t xml:space="preserve">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7668" w:type="dxa"/>
            <w:shd w:fill="FFFFFF"/>
            <w:vAlign w:val="top"/>
          </w:tcPr>
          <w:p>
            <w:pPr>
              <w:spacing w:after="60" w:line="235" w:lineRule="auto"/>
            </w:pPr>
            <w:r>
              <w:rPr>
                <w:rFonts w:ascii="DejaVu Sans" w:hAnsi="DejaVu Sans"/>
                <w:sz w:val="18"/>
              </w:rPr>
              <w:t xml:space="preserve">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w="2556" w:type="dxa"/>
            <w:shd w:fill="FFFFFF"/>
            <w:vAlign w:val="top"/>
          </w:tcPr>
          <w:p>
            <w:pPr>
              <w:spacing w:after="60" w:line="235" w:lineRule="auto"/>
            </w:pPr>
            <w:r>
              <w:rPr>
                <w:rFonts w:ascii="DejaVu Sans" w:hAnsi="DejaVu Sans"/>
                <w:sz w:val="18"/>
              </w:rPr>
              <w:t xml:space="preserve">Optional context</w:t>
            </w:r>
          </w:p>
        </w:tc>
        <w:tc>
          <w:tcPr>
            <w:tcW w:w="7668" w:type="dxa"/>
            <w:shd w:fill="FFFFFF"/>
            <w:vAlign w:val="top"/>
          </w:tcPr>
          <w:p>
            <w:pPr>
              <w:spacing w:after="60" w:line="235" w:lineRule="auto"/>
            </w:pPr>
            <w:r>
              <w:rPr>
                <w:rFonts w:ascii="DejaVu Sans" w:hAnsi="DejaVu Sans"/>
                <w:sz w:val="18"/>
              </w:rPr>
              <w:t xml:space="preserve">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90" w:line="260" w:lineRule="auto"/>
      </w:pPr>
    </w:p>
    <w:p>
      <w:pPr>
        <w:pStyle w:val="Heading2"/>
        <w:keepNext/>
        <w:spacing w:after="90" w:line="260" w:lineRule="auto"/>
      </w:pPr>
      <w:r>
        <w:rPr>
          <w:rFonts w:ascii="DejaVu Sans" w:hAnsi="DejaVu Sans"/>
          <w:b/>
          <w:sz w:val="25"/>
        </w:rPr>
        <w:t xml:space="preserve">Coordinate and freshness contract</w:t>
      </w:r>
    </w:p>
    <w:p>
      <w:pPr>
        <w:spacing w:after="90" w:line="260" w:lineRule="auto"/>
      </w:pPr>
      <w:r>
        <w:rPr>
          <w:rFonts w:ascii="DejaVu Sans" w:hAnsi="DejaVu Sans"/>
          <w:sz w:val="21"/>
        </w:rPr>
        <w:t xml:space="preserve">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pPr>
        <w:spacing w:after="90" w:line="260" w:lineRule="auto"/>
      </w:pPr>
      <w:r>
        <w:rPr>
          <w:rFonts w:ascii="DejaVu Sans" w:hAnsi="DejaVu Sans"/>
          <w:sz w:val="21"/>
        </w:rPr>
        <w:t xml:space="preserve">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pPr>
        <w:spacing w:after="90" w:line="260" w:lineRule="auto"/>
      </w:pPr>
      <w:r>
        <w:rPr>
          <w:rFonts w:ascii="DejaVu Sans" w:hAnsi="DejaVu Sans"/>
          <w:sz w:val="21"/>
        </w:rPr>
        <w:t xml:space="preserve">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keepNext/>
        <w:spacing w:after="90" w:line="260" w:lineRule="auto"/>
      </w:pPr>
      <w:r>
        <w:rPr>
          <w:rFonts w:ascii="DejaVu Sans" w:hAnsi="DejaVu Sans"/>
          <w:b/>
          <w:sz w:val="25"/>
        </w:rPr>
        <w:t xml:space="preserve">Dispatch and outcome</w:t>
      </w:r>
    </w:p>
    <w:p>
      <w:pPr>
        <w:spacing w:after="90" w:line="260" w:lineRule="auto"/>
      </w:pPr>
      <w:r>
        <w:rPr>
          <w:rFonts w:ascii="DejaVu Sans" w:hAnsi="DejaVu Sans"/>
          <w:sz w:val="21"/>
        </w:rPr>
        <w:t xml:space="preserve">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pPr>
        <w:spacing w:after="90" w:line="260" w:lineRule="auto"/>
      </w:pPr>
      <w:r>
        <w:rPr>
          <w:rFonts w:ascii="DejaVu Sans" w:hAnsi="DejaVu Sans"/>
          <w:sz w:val="21"/>
        </w:rPr>
        <w:t xml:space="preserve">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[S22–S24]</w:t>
      </w:r>
    </w:p>
    <w:p>
      <w:pPr>
        <w:spacing w:after="90" w:line="260" w:lineRule="auto"/>
      </w:pPr>
      <w:r>
        <w:rPr>
          <w:rFonts w:ascii="DejaVu Sans" w:hAnsi="DejaVu Sans"/>
          <w:sz w:val="21"/>
        </w:rPr>
        <w:t xml:space="preserve">No app-specific workflow or polling scheduler is included. Additional operations exposed by the full binding inventory use their generated/generic contracts and client grants, not newly invented convenience workflows.</w:t>
      </w:r>
    </w:p>
    <w:p>
      <w:pPr>
        <w:pStyle w:val="Heading1"/>
        <w:keepNext/>
        <w:spacing w:after="90" w:line="260" w:lineRule="auto"/>
      </w:pPr>
      <w:r>
        <w:rPr>
          <w:rFonts w:ascii="DejaVu Sans" w:hAnsi="DejaVu Sans"/>
          <w:b/>
          <w:sz w:val="30"/>
        </w:rPr>
        <w:t xml:space="preserve">17 Optional Avalonia RemoteControl integration</w:t>
      </w:r>
    </w:p>
    <w:p>
      <w:pPr>
        <w:spacing w:after="90" w:line="260" w:lineRule="auto"/>
      </w:pPr>
      <w:r>
        <w:rPr>
          <w:rFonts w:ascii="DejaVu Sans" w:hAnsi="DejaVu Sans"/>
          <w:sz w:val="21"/>
        </w:rPr>
        <w:t xml:space="preserve">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pPr>
        <w:spacing w:after="90" w:line="260" w:lineRule="auto"/>
      </w:pPr>
      <w:r>
        <w:rPr>
          <w:rFonts w:ascii="DejaVu Sans" w:hAnsi="DejaVu Sans"/>
          <w:sz w:val="21"/>
        </w:rPr>
        <w:t xml:space="preserve">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keepNext/>
        <w:spacing w:after="90" w:line="260" w:lineRule="auto"/>
      </w:pPr>
      <w:r>
        <w:rPr>
          <w:rFonts w:ascii="DejaVu Sans" w:hAnsi="DejaVu Sans"/>
          <w:b/>
          <w:sz w:val="25"/>
        </w:rPr>
        <w:t xml:space="preserve">Target pairing and trust gates</w:t>
      </w:r>
    </w:p>
    <w:p>
      <w:pPr>
        <w:numPr>
          <w:ilvl w:val="0"/>
          <w:numId w:val="1019"/>
        </w:numPr>
        <w:spacing w:after="90" w:line="260" w:lineRule="auto"/>
      </w:pPr>
      <w:r>
        <w:rPr>
          <w:rFonts w:ascii="DejaVu Sans" w:hAnsi="DejaVu Sans"/>
          <w:sz w:val="21"/>
        </w:rPr>
        <w:t xml:space="preserve">App B must explicitly opt in, enforce enabled/session lifecycle before starting its listener, bind only loopback and require authentication. Leave IsAdbTunnel=false for direct same-device use; do not set it to impersonate an ADB tunnel.</w:t>
      </w:r>
    </w:p>
    <w:p>
      <w:pPr>
        <w:numPr>
          <w:ilvl w:val="0"/>
          <w:numId w:val="1019"/>
        </w:numPr>
        <w:spacing w:after="90" w:line="260" w:lineRule="auto"/>
      </w:pPr>
      <w:r>
        <w:rPr>
          <w:rFonts w:ascii="DejaVu Sans" w:hAnsi="DejaVu Sans"/>
          <w:sz w:val="21"/>
        </w:rPr>
        <w:t xml:space="preserve">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numPr>
          <w:ilvl w:val="0"/>
          <w:numId w:val="1019"/>
        </w:numPr>
        <w:spacing w:after="90" w:line="260" w:lineRule="auto"/>
      </w:pPr>
      <w:r>
        <w:rPr>
          <w:rFonts w:ascii="DejaVu Sans" w:hAnsi="DejaVu Sans"/>
          <w:sz w:val="21"/>
        </w:rPr>
        <w:t xml:space="preserve">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numPr>
          <w:ilvl w:val="0"/>
          <w:numId w:val="1019"/>
        </w:numPr>
        <w:spacing w:after="90" w:line="260" w:lineRule="auto"/>
      </w:pPr>
      <w:r>
        <w:rPr>
          <w:rFonts w:ascii="DejaVu Sans" w:hAnsi="DejaVu Sans"/>
          <w:sz w:val="21"/>
        </w:rPr>
        <w:t xml:space="preserve">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keepNext/>
        <w:spacing w:after="90" w:line="260" w:lineRule="auto"/>
      </w:pPr>
      <w:r>
        <w:rPr>
          <w:rFonts w:ascii="DejaVu Sans" w:hAnsi="DejaVu Sans"/>
          <w:b/>
          <w:sz w:val="25"/>
        </w:rPr>
        <w:t xml:space="preserve">Per-client policy must also guard the runtime route</w:t>
      </w:r>
    </w:p>
    <w:p>
      <w:pPr>
        <w:spacing w:after="90" w:line="260" w:lineRule="auto"/>
      </w:pPr>
      <w:r>
        <w:rPr>
          <w:rFonts w:ascii="DejaVu Sans" w:hAnsi="DejaVu Sans"/>
          <w:sz w:val="21"/>
        </w:rPr>
        <w:t xml:space="preserve">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pPr>
        <w:spacing w:after="90" w:line="260" w:lineRule="auto"/>
      </w:pPr>
      <w:r>
        <w:rPr>
          <w:rFonts w:ascii="DejaVu Sans" w:hAnsi="DejaVu Sans"/>
          <w:sz w:val="21"/>
        </w:rPr>
        <w:t xml:space="preserve">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keepNext/>
        <w:spacing w:after="90" w:line="260" w:lineRule="auto"/>
      </w:pPr>
      <w:r>
        <w:rPr>
          <w:rFonts w:ascii="DejaVu Sans" w:hAnsi="DejaVu Sans"/>
          <w:b/>
          <w:sz w:val="30"/>
        </w:rPr>
        <w:t xml:space="preserve">18 Protected consent and integration acceptance</w:t>
      </w:r>
    </w:p>
    <w:p>
      <w:pPr>
        <w:pStyle w:val="Heading2"/>
        <w:keepNext/>
        <w:spacing w:after="90" w:line="260" w:lineRule="auto"/>
      </w:pPr>
      <w:r>
        <w:rPr>
          <w:rFonts w:ascii="DejaVu Sans" w:hAnsi="DejaVu Sans"/>
          <w:b/>
          <w:sz w:val="25"/>
        </w:rPr>
        <w:t xml:space="preserve">Protect management and approval from remote input</w:t>
      </w:r>
    </w:p>
    <w:p>
      <w:pPr>
        <w:spacing w:after="90" w:line="260" w:lineRule="auto"/>
      </w:pPr>
      <w:r>
        <w:rPr>
          <w:rFonts w:ascii="DejaVu Sans" w:hAnsi="DejaVu Sans"/>
          <w:sz w:val="21"/>
        </w:rPr>
        <w:t xml:space="preserve">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pPr>
        <w:spacing w:after="90" w:line="260" w:lineRule="auto"/>
      </w:pPr>
      <w:r>
        <w:rPr>
          <w:rFonts w:ascii="DejaVu Sans" w:hAnsi="DejaVu Sans"/>
          <w:sz w:val="21"/>
        </w:rPr>
        <w:t xml:space="preserve">A protected Avalonia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keepNext/>
        <w:spacing w:after="90" w:line="260" w:lineRule="auto"/>
      </w:pPr>
      <w:r>
        <w:rPr>
          <w:rFonts w:ascii="DejaVu Sans" w:hAnsi="DejaVu Sans"/>
          <w:b/>
          <w:sz w:val="25"/>
        </w:rPr>
        <w:t xml:space="preserve">Required integration evidence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Self ADB packaging</w:t>
            </w:r>
          </w:p>
        </w:tc>
        <w:tc>
          <w:tcPr>
            <w:tcW w:w="7668" w:type="dxa"/>
            <w:shd w:fill="FFFFFF"/>
            <w:vAlign w:val="top"/>
          </w:tcPr>
          <w:p>
            <w:pPr>
              <w:spacing w:after="60" w:line="235" w:lineRule="auto"/>
            </w:pPr>
            <w:r>
              <w:rPr>
                <w:rFonts w:ascii="DejaVu Sans" w:hAnsi="DejaVu Sans"/>
                <w:sz w:val="18"/>
              </w:rPr>
              <w:t xml:space="preserve">Actual Android native client/pairing implementation, .NET 10 interop, shipped ABIs, licensing, TLS/key handling and distribution eligibility. LADB is feasibility evidence only.</w:t>
            </w:r>
          </w:p>
        </w:tc>
      </w:tr>
      <w:tr>
        <w:trPr>
          <w:cantSplit/>
        </w:trPr>
        <w:tc>
          <w:tcPr>
            <w:tcW w:w="2556" w:type="dxa"/>
            <w:shd w:fill="FFFFFF"/>
            <w:vAlign w:val="top"/>
          </w:tcPr>
          <w:p>
            <w:pPr>
              <w:spacing w:after="60" w:line="235" w:lineRule="auto"/>
            </w:pPr>
            <w:r>
              <w:rPr>
                <w:rFonts w:ascii="DejaVu Sans" w:hAnsi="DejaVu Sans"/>
                <w:sz w:val="18"/>
              </w:rPr>
              <w:t xml:space="preserve">Pairing and lifecycle</w:t>
            </w:r>
          </w:p>
        </w:tc>
        <w:tc>
          <w:tcPr>
            <w:tcW w:w="7668" w:type="dxa"/>
            <w:shd w:fill="FFFFFF"/>
            <w:vAlign w:val="top"/>
          </w:tcPr>
          <w:p>
            <w:pPr>
              <w:spacing w:after="60" w:line="235" w:lineRule="auto"/>
            </w:pPr>
            <w:r>
              <w:rPr>
                <w:rFonts w:ascii="DejaVu Sans" w:hAnsi="DejaVu Sans"/>
                <w:sz w:val="18"/>
              </w:rPr>
              <w:t xml:space="preserve">Pair/connect endpoint distinction, changed ports, reboot, debugging toggle, device lock, network changes, disconnect, key deletion and Android-side revocation. No unauthenticated fallback.</w:t>
            </w:r>
          </w:p>
        </w:tc>
      </w:tr>
      <w:tr>
        <w:trPr>
          <w:cantSplit/>
        </w:trPr>
        <w:tc>
          <w:tcPr>
            <w:tcW w:w="2556" w:type="dxa"/>
            <w:shd w:fill="FFFFFF"/>
            <w:vAlign w:val="top"/>
          </w:tcPr>
          <w:p>
            <w:pPr>
              <w:spacing w:after="60" w:line="235" w:lineRule="auto"/>
            </w:pPr>
            <w:r>
              <w:rPr>
                <w:rFonts w:ascii="DejaVu Sans" w:hAnsi="DejaVu Sans"/>
                <w:sz w:val="18"/>
              </w:rPr>
              <w:t xml:space="preserve">Device-wide policy</w:t>
            </w:r>
          </w:p>
        </w:tc>
        <w:tc>
          <w:tcPr>
            <w:tcW w:w="7668" w:type="dxa"/>
            <w:shd w:fill="FFFFFF"/>
            <w:vAlign w:val="top"/>
          </w:tcPr>
          <w:p>
            <w:pPr>
              <w:spacing w:after="60" w:line="235" w:lineRule="auto"/>
            </w:pPr>
            <w:r>
              <w:rPr>
                <w:rFonts w:ascii="DejaVu Sans" w:hAnsi="DejaVu Sans"/>
                <w:sz w:val="18"/>
              </w:rPr>
              <w:t xml:space="preserve">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w="2556" w:type="dxa"/>
            <w:shd w:fill="FFFFFF"/>
            <w:vAlign w:val="top"/>
          </w:tcPr>
          <w:p>
            <w:pPr>
              <w:spacing w:after="60" w:line="235" w:lineRule="auto"/>
            </w:pPr>
            <w:r>
              <w:rPr>
                <w:rFonts w:ascii="DejaVu Sans" w:hAnsi="DejaVu Sans"/>
                <w:sz w:val="18"/>
              </w:rPr>
              <w:t xml:space="preserve">Protected consent</w:t>
            </w:r>
          </w:p>
        </w:tc>
        <w:tc>
          <w:tcPr>
            <w:tcW w:w="7668" w:type="dxa"/>
            <w:shd w:fill="FFFFFF"/>
            <w:vAlign w:val="top"/>
          </w:tcPr>
          <w:p>
            <w:pPr>
              <w:spacing w:after="60" w:line="235" w:lineRule="auto"/>
            </w:pPr>
            <w:r>
              <w:rPr>
                <w:rFonts w:ascii="DejaVu Sans" w:hAnsi="DejaVu Sans"/>
                <w:sz w:val="18"/>
              </w:rPr>
              <w:t xml:space="preserve">Queued tap/property events cannot enable a client, approve Ask, reveal tokens or export logs. Captures show no protected data. Failure of isolation disables remote mutation.</w:t>
            </w:r>
          </w:p>
        </w:tc>
      </w:tr>
      <w:tr>
        <w:trPr>
          <w:cantSplit/>
        </w:trPr>
        <w:tc>
          <w:tcPr>
            <w:tcW w:w="2556" w:type="dxa"/>
            <w:shd w:fill="FFFFFF"/>
            <w:vAlign w:val="top"/>
          </w:tcPr>
          <w:p>
            <w:pPr>
              <w:spacing w:after="60" w:line="235" w:lineRule="auto"/>
            </w:pPr>
            <w:r>
              <w:rPr>
                <w:rFonts w:ascii="DejaVu Sans" w:hAnsi="DejaVu Sans"/>
                <w:sz w:val="18"/>
              </w:rPr>
              <w:t xml:space="preserve">Native versus shell authority</w:t>
            </w:r>
          </w:p>
        </w:tc>
        <w:tc>
          <w:tcPr>
            <w:tcW w:w="7668" w:type="dxa"/>
            <w:shd w:fill="FFFFFF"/>
            <w:vAlign w:val="top"/>
          </w:tcPr>
          <w:p>
            <w:pPr>
              <w:spacing w:after="60" w:line="235" w:lineRule="auto"/>
            </w:pPr>
            <w:r>
              <w:rPr>
                <w:rFonts w:ascii="DejaVu Sans" w:hAnsi="DejaVu Sans"/>
                <w:sz w:val="18"/>
              </w:rPr>
              <w:t xml:space="preserve">Tests prove bridge UID grants and ADB shell rights are separate. Nondebuggable private-data/debugger access and secure-window capture remain blocked.</w:t>
            </w:r>
          </w:p>
        </w:tc>
      </w:tr>
      <w:tr>
        <w:trPr>
          <w:cantSplit/>
        </w:trPr>
        <w:tc>
          <w:tcPr>
            <w:tcW w:w="2556" w:type="dxa"/>
            <w:shd w:fill="FFFFFF"/>
            <w:vAlign w:val="top"/>
          </w:tcPr>
          <w:p>
            <w:pPr>
              <w:spacing w:after="60" w:line="235" w:lineRule="auto"/>
            </w:pPr>
            <w:r>
              <w:rPr>
                <w:rFonts w:ascii="DejaVu Sans" w:hAnsi="DejaVu Sans"/>
                <w:sz w:val="18"/>
              </w:rPr>
              <w:t xml:space="preserve">Avalonia target mode</w:t>
            </w:r>
          </w:p>
        </w:tc>
        <w:tc>
          <w:tcPr>
            <w:tcW w:w="7668" w:type="dxa"/>
            <w:shd w:fill="FFFFFF"/>
            <w:vAlign w:val="top"/>
          </w:tcPr>
          <w:p>
            <w:pPr>
              <w:spacing w:after="60" w:line="235" w:lineRule="auto"/>
            </w:pPr>
            <w:r>
              <w:rPr>
                <w:rFonts w:ascii="DejaVu Sans" w:hAnsi="DejaVu Sans"/>
                <w:sz w:val="18"/>
              </w:rPr>
              <w:t xml:space="preserve">Two separate app UIDs pair deliberately. Wrong target identity, token, protocol or signing/version change fails. Per-principal hooks and all action routes are tested; no reliance on global toggles.</w:t>
            </w:r>
          </w:p>
        </w:tc>
      </w:tr>
      <w:tr>
        <w:trPr>
          <w:cantSplit/>
        </w:trPr>
        <w:tc>
          <w:tcPr>
            <w:tcW w:w="2556" w:type="dxa"/>
            <w:shd w:fill="FFFFFF"/>
            <w:vAlign w:val="top"/>
          </w:tcPr>
          <w:p>
            <w:pPr>
              <w:spacing w:after="60" w:line="235" w:lineRule="auto"/>
            </w:pPr>
            <w:r>
              <w:rPr>
                <w:rFonts w:ascii="DejaVu Sans" w:hAnsi="DejaVu Sans"/>
                <w:sz w:val="18"/>
              </w:rPr>
              <w:t xml:space="preserve">ADB forwards</w:t>
            </w:r>
          </w:p>
        </w:tc>
        <w:tc>
          <w:tcPr>
            <w:tcW w:w="7668" w:type="dxa"/>
            <w:shd w:fill="FFFFFF"/>
            <w:vAlign w:val="top"/>
          </w:tcPr>
          <w:p>
            <w:pPr>
              <w:spacing w:after="60" w:line="235" w:lineRule="auto"/>
            </w:pPr>
            <w:r>
              <w:rPr>
                <w:rFonts w:ascii="DejaVu Sans" w:hAnsi="DejaVu Sans"/>
                <w:sz w:val="18"/>
              </w:rPr>
              <w:t xml:space="preserve">Multiple authorized devices use explicit serials. Ports are loopback-only, --no-rebind prevents takeover, stop removes only owned forwards, and reconnect never trusts a stale endpoint.</w:t>
            </w:r>
          </w:p>
        </w:tc>
      </w:tr>
      <w:tr>
        <w:trPr>
          <w:cantSplit/>
        </w:trPr>
        <w:tc>
          <w:tcPr>
            <w:tcW w:w="2556" w:type="dxa"/>
            <w:shd w:fill="FFFFFF"/>
            <w:vAlign w:val="top"/>
          </w:tcPr>
          <w:p>
            <w:pPr>
              <w:spacing w:after="60" w:line="235" w:lineRule="auto"/>
            </w:pPr>
            <w:r>
              <w:rPr>
                <w:rFonts w:ascii="DejaVu Sans" w:hAnsi="DejaVu Sans"/>
                <w:sz w:val="18"/>
              </w:rPr>
              <w:t xml:space="preserve">Optional logging</w:t>
            </w:r>
          </w:p>
        </w:tc>
        <w:tc>
          <w:tcPr>
            <w:tcW w:w="7668" w:type="dxa"/>
            <w:shd w:fill="FFFFFF"/>
            <w:vAlign w:val="top"/>
          </w:tcPr>
          <w:p>
            <w:pPr>
              <w:spacing w:after="60" w:line="235" w:lineRule="auto"/>
            </w:pPr>
            <w:r>
              <w:rPr>
                <w:rFonts w:ascii="DejaVu Sans" w:hAnsi="DejaVu Sans"/>
                <w:sz w:val="18"/>
              </w:rPr>
              <w:t xml:space="preserve">Cross-client isolation, mode-change races, quota/retention enforcement and purge/export tested for ADB and runtime calls as well as native tools; screenshots, UI text and secrets never enter diagnostic logs.</w:t>
            </w:r>
          </w:p>
        </w:tc>
      </w:tr>
    </w:tbl>
    <w:p>
      <w:pPr>
        <w:spacing w:after="90" w:line="260" w:lineRule="auto"/>
      </w:pPr>
    </w:p>
    <w:p>
      <w:pPr>
        <w:spacing w:after="90" w:line="260" w:lineRule="auto"/>
      </w:pPr>
      <w:r>
        <w:rPr>
          <w:rFonts w:ascii="DejaVu Sans" w:hAnsi="DejaVu Sans"/>
          <w:sz w:val="21"/>
        </w:rPr>
        <w:t xml:space="preserve">This revision enables no real ADB connection, remote listener, credential or Android setting. It specifies an implementation and validation plan; completion requires the gates above as well as the general acceptance suite.</w:t>
      </w:r>
    </w:p>
    <w:p>
      <w:pPr>
        <w:pStyle w:val="Heading1"/>
        <w:keepNext/>
        <w:spacing w:after="90" w:line="260" w:lineRule="auto"/>
      </w:pPr>
      <w:r>
        <w:rPr>
          <w:rFonts w:ascii="DejaVu Sans" w:hAnsi="DejaVu Sans"/>
          <w:b/>
          <w:sz w:val="30"/>
        </w:rPr>
        <w:t xml:space="preserve">Full binding coverage and generic invocation</w:t>
      </w:r>
    </w:p>
    <w:p>
      <w:pPr>
        <w:spacing w:after="90" w:line="260" w:lineRule="auto"/>
      </w:pPr>
      <w:r>
        <w:rPr>
          <w:rFonts w:ascii="DejaVu Sans" w:hAnsi="DejaVu Sans"/>
          <w:sz w:val="21"/>
        </w:rPr>
        <w:t xml:space="preserve">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[S28–S31]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Surface</w:t>
            </w:r>
          </w:p>
        </w:tc>
        <w:tc>
          <w:tcPr>
            <w:tcW w:w="7668" w:type="dxa"/>
            <w:shd w:fill="E4EDF5"/>
            <w:vAlign w:val="top"/>
          </w:tcPr>
          <w:p>
            <w:pPr>
              <w:spacing w:after="60" w:line="235" w:lineRule="auto"/>
            </w:pPr>
            <w:r>
              <w:rPr>
                <w:rFonts w:ascii="DejaVu Sans" w:hAnsi="DejaVu Sans"/>
                <w:b/>
                <w:sz w:val="18"/>
              </w:rPr>
              <w:t xml:space="preserve">Mapping and execution contract</w:t>
            </w:r>
          </w:p>
        </w:tc>
      </w:tr>
      <w:tr>
        <w:trPr>
          <w:cantSplit/>
        </w:trPr>
        <w:tc>
          <w:tcPr>
            <w:tcW w:w="2556" w:type="dxa"/>
            <w:shd w:fill="FFFFFF"/>
            <w:vAlign w:val="top"/>
          </w:tcPr>
          <w:p>
            <w:pPr>
              <w:spacing w:after="60" w:line="235" w:lineRule="auto"/>
            </w:pPr>
            <w:r>
              <w:rPr>
                <w:rFonts w:ascii="DejaVu Sans" w:hAnsi="DejaVu Sans"/>
                <w:sz w:val="18"/>
              </w:rPr>
              <w:t xml:space="preserve">SDK and Java bindings</w:t>
            </w:r>
          </w:p>
        </w:tc>
        <w:tc>
          <w:tcPr>
            <w:tcW w:w="7668" w:type="dxa"/>
            <w:shd w:fill="FFFFFF"/>
            <w:vAlign w:val="top"/>
          </w:tcPr>
          <w:p>
            <w:pPr>
              <w:spacing w:after="60" w:line="235" w:lineRule="auto"/>
            </w:pPr>
            <w:r>
              <w:rPr>
                <w:rFonts w:ascii="DejaVu Sans" w:hAnsi="DejaVu Sans"/>
                <w:sz w:val="18"/>
              </w:rPr>
              <w:t xml:space="preserve">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w="2556" w:type="dxa"/>
            <w:shd w:fill="FFFFFF"/>
            <w:vAlign w:val="top"/>
          </w:tcPr>
          <w:p>
            <w:pPr>
              <w:spacing w:after="60" w:line="235" w:lineRule="auto"/>
            </w:pPr>
            <w:r>
              <w:rPr>
                <w:rFonts w:ascii="DejaVu Sans" w:hAnsi="DejaVu Sans"/>
                <w:sz w:val="18"/>
              </w:rPr>
              <w:t xml:space="preserve">Binder and AIDL</w:t>
            </w:r>
          </w:p>
        </w:tc>
        <w:tc>
          <w:tcPr>
            <w:tcW w:w="7668" w:type="dxa"/>
            <w:shd w:fill="FFFFFF"/>
            <w:vAlign w:val="top"/>
          </w:tcPr>
          <w:p>
            <w:pPr>
              <w:spacing w:after="60" w:line="235" w:lineRule="auto"/>
            </w:pPr>
            <w:r>
              <w:rPr>
                <w:rFonts w:ascii="DejaVu Sans" w:hAnsi="DejaVu Sans"/>
                <w:sz w:val="18"/>
              </w:rPr>
              <w:t xml:space="preserve">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w="2556" w:type="dxa"/>
            <w:shd w:fill="FFFFFF"/>
            <w:vAlign w:val="top"/>
          </w:tcPr>
          <w:p>
            <w:pPr>
              <w:spacing w:after="60" w:line="235" w:lineRule="auto"/>
            </w:pPr>
            <w:r>
              <w:rPr>
                <w:rFonts w:ascii="DejaVu Sans" w:hAnsi="DejaVu Sans"/>
                <w:sz w:val="18"/>
              </w:rPr>
              <w:t xml:space="preserve">Unknown or restricted interface</w:t>
            </w:r>
          </w:p>
        </w:tc>
        <w:tc>
          <w:tcPr>
            <w:tcW w:w="7668" w:type="dxa"/>
            <w:shd w:fill="FFFFFF"/>
            <w:vAlign w:val="top"/>
          </w:tcPr>
          <w:p>
            <w:pPr>
              <w:spacing w:after="60" w:line="235" w:lineRule="auto"/>
            </w:pPr>
            <w:r>
              <w:rPr>
                <w:rFonts w:ascii="DejaVu Sans" w:hAnsi="DejaVu Sans"/>
                <w:sz w:val="18"/>
              </w:rPr>
              <w:t xml:space="preserve">Keep descriptor-known/schema-unknown or platform-blocked entries. A schema import can add the method map. Do not infer transaction layouts from a descriptor or claim private service enumeration is complete.</w:t>
            </w:r>
          </w:p>
        </w:tc>
      </w:tr>
      <w:tr>
        <w:trPr>
          <w:cantSplit/>
        </w:trPr>
        <w:tc>
          <w:tcPr>
            <w:tcW w:w="2556" w:type="dxa"/>
            <w:shd w:fill="FFFFFF"/>
            <w:vAlign w:val="top"/>
          </w:tcPr>
          <w:p>
            <w:pPr>
              <w:spacing w:after="60" w:line="235" w:lineRule="auto"/>
            </w:pPr>
            <w:r>
              <w:rPr>
                <w:rFonts w:ascii="DejaVu Sans" w:hAnsi="DejaVu Sans"/>
                <w:sz w:val="18"/>
              </w:rPr>
              <w:t xml:space="preserve">Low-level Binder option</w:t>
            </w:r>
          </w:p>
        </w:tc>
        <w:tc>
          <w:tcPr>
            <w:tcW w:w="7668" w:type="dxa"/>
            <w:shd w:fill="FFFFFF"/>
            <w:vAlign w:val="top"/>
          </w:tcPr>
          <w:p>
            <w:pPr>
              <w:spacing w:after="60" w:line="235" w:lineRule="auto"/>
            </w:pPr>
            <w:r>
              <w:rPr>
                <w:rFonts w:ascii="DejaVu Sans" w:hAnsi="DejaVu Sans"/>
                <w:sz w:val="18"/>
              </w:rPr>
              <w:t xml:space="preserve">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90" w:line="260" w:lineRule="auto"/>
      </w:pPr>
    </w:p>
    <w:p>
      <w:pPr>
        <w:pStyle w:val="Heading2"/>
        <w:keepNext/>
        <w:spacing w:after="90" w:line="260" w:lineRule="auto"/>
      </w:pPr>
      <w:r>
        <w:rPr>
          <w:rFonts w:ascii="DejaVu Sans" w:hAnsi="DejaVu Sans"/>
          <w:b/>
          <w:sz w:val="25"/>
        </w:rPr>
        <w:t xml:space="preserve">Common invocation path</w:t>
      </w:r>
    </w:p>
    <w:p>
      <w:pPr>
        <w:spacing w:after="90" w:line="260" w:lineRule="auto"/>
      </w:pPr>
      <w:r>
        <w:rPr>
          <w:rFonts w:ascii="DejaVu Sans" w:hAnsi="DejaVu Sans"/>
          <w:sz w:val="21"/>
        </w:rPr>
        <w:t xml:space="preserve">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pPr>
        <w:spacing w:after="90" w:line="260" w:lineRule="auto"/>
      </w:pPr>
      <w:r>
        <w:rPr>
          <w:rFonts w:ascii="DejaVu Sans" w:hAnsi="DejaVu Sans"/>
          <w:sz w:val="21"/>
        </w:rPr>
        <w:t xml:space="preserve">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pPr>
        <w:spacing w:after="90" w:line="260" w:lineRule="auto"/>
      </w:pPr>
      <w:r>
        <w:rPr>
          <w:rFonts w:ascii="DejaVu Sans" w:hAnsi="DejaVu Sans"/>
          <w:sz w:val="21"/>
        </w:rPr>
        <w:t xml:space="preserve">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keepNext/>
        <w:spacing w:after="90" w:line="260" w:lineRule="auto"/>
      </w:pPr>
      <w:r>
        <w:rPr>
          <w:rFonts w:ascii="DejaVu Sans" w:hAnsi="DejaVu Sans"/>
          <w:b/>
          <w:sz w:val="30"/>
        </w:rPr>
        <w:t xml:space="preserve">Binding registry storage and completeness tests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catalog.sources / source_details PK source_id</w:t>
            </w:r>
          </w:p>
        </w:tc>
        <w:tc>
          <w:tcPr>
            <w:tcW w:w="7668" w:type="dxa"/>
            <w:shd w:fill="FFFFFF"/>
            <w:vAlign w:val="top"/>
          </w:tcPr>
          <w:p>
            <w:pPr>
              <w:spacing w:after="60" w:line="235" w:lineRule="auto"/>
            </w:pPr>
            <w:r>
              <w:rPr>
                <w:rFonts w:ascii="DejaVu Sans" w:hAnsi="DejaVu Sans"/>
                <w:sz w:val="18"/>
              </w:rPr>
              <w:t xml:space="preserve">Immutable kind/path/URL/revision/hash/retrieval/license evidence with per-source details and parse reports. registry_sources associates each immutable source with a registry. Trusted source installation is a local-owner operation; metadata is not executable plugin code.</w:t>
            </w:r>
          </w:p>
        </w:tc>
      </w:tr>
      <w:tr>
        <w:trPr>
          <w:cantSplit/>
        </w:trPr>
        <w:tc>
          <w:tcPr>
            <w:tcW w:w="2556" w:type="dxa"/>
            <w:shd w:fill="FFFFFF"/>
            <w:vAlign w:val="top"/>
          </w:tcPr>
          <w:p>
            <w:pPr>
              <w:spacing w:after="60" w:line="235" w:lineRule="auto"/>
            </w:pPr>
            <w:r>
              <w:rPr>
                <w:rFonts w:ascii="DejaVu Sans" w:hAnsi="DejaVu Sans"/>
                <w:sz w:val="18"/>
              </w:rPr>
              <w:t xml:space="preserve">binding_definitions PK binding_id</w:t>
            </w:r>
          </w:p>
        </w:tc>
        <w:tc>
          <w:tcPr>
            <w:tcW w:w="7668" w:type="dxa"/>
            <w:shd w:fill="FFFFFF"/>
            <w:vAlign w:val="top"/>
          </w:tcPr>
          <w:p>
            <w:pPr>
              <w:spacing w:after="60" w:line="235" w:lineRule="auto"/>
            </w:pPr>
            <w:r>
              <w:rPr>
                <w:rFonts w:ascii="DejaVu Sans" w:hAnsi="DejaVu Sans"/>
                <w:sz w:val="18"/>
              </w:rPr>
              <w:t xml:space="preserve">Same identity as catalog.bindings.binding_id/entry_id; canonical source signature UNIQUE. Source presence is occurrences(binding_id,source_id,line), with immutable per-source declarations and permission ASTs. Runtime mappings are separately keyed by binding_id plus schema_hash; unknown codecs or dispatch remain visible and noninvocable.</w:t>
            </w:r>
          </w:p>
        </w:tc>
      </w:tr>
      <w:tr>
        <w:trPr>
          <w:cantSplit/>
        </w:trPr>
        <w:tc>
          <w:tcPr>
            <w:tcW w:w="2556" w:type="dxa"/>
            <w:shd w:fill="FFFFFF"/>
            <w:vAlign w:val="top"/>
          </w:tcPr>
          <w:p>
            <w:pPr>
              <w:spacing w:after="60" w:line="235" w:lineRule="auto"/>
            </w:pPr>
            <w:r>
              <w:rPr>
                <w:rFonts w:ascii="DejaVu Sans" w:hAnsi="DejaVu Sans"/>
                <w:sz w:val="18"/>
              </w:rPr>
              <w:t xml:space="preserve">client_binding_rules PK client_id plus binding_id</w:t>
            </w:r>
          </w:p>
        </w:tc>
        <w:tc>
          <w:tcPr>
            <w:tcW w:w="7668" w:type="dxa"/>
            <w:shd w:fill="FFFFFF"/>
            <w:vAlign w:val="top"/>
          </w:tcPr>
          <w:p>
            <w:pPr>
              <w:spacing w:after="60" w:line="235" w:lineRule="auto"/>
            </w:pPr>
            <w:r>
              <w:rPr>
                <w:rFonts w:ascii="DejaVu Sans" w:hAnsi="DejaVu Sans"/>
                <w:sz w:val="18"/>
              </w:rPr>
              <w:t xml:space="preserve">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w="2556" w:type="dxa"/>
            <w:shd w:fill="FFFFFF"/>
            <w:vAlign w:val="top"/>
          </w:tcPr>
          <w:p>
            <w:pPr>
              <w:spacing w:after="60" w:line="235" w:lineRule="auto"/>
            </w:pPr>
            <w:r>
              <w:rPr>
                <w:rFonts w:ascii="DejaVu Sans" w:hAnsi="DejaVu Sans"/>
                <w:sz w:val="18"/>
              </w:rPr>
              <w:t xml:space="preserve">tool_binding_aliases PK tool_id plus binding_id</w:t>
            </w:r>
          </w:p>
        </w:tc>
        <w:tc>
          <w:tcPr>
            <w:tcW w:w="7668" w:type="dxa"/>
            <w:shd w:fill="FFFFFF"/>
            <w:vAlign w:val="top"/>
          </w:tcPr>
          <w:p>
            <w:pPr>
              <w:spacing w:after="60" w:line="235" w:lineRule="auto"/>
            </w:pPr>
            <w:r>
              <w:rPr>
                <w:rFonts w:ascii="DejaVu Sans" w:hAnsi="DejaVu Sans"/>
                <w:sz w:val="18"/>
              </w:rPr>
              <w:t xml:space="preserve">tool_id FK tools RESTRICT; binding_id FK binding_definitions RESTRICT; canonicalization_version; argument_mapping_hash. Generated tools, convenience plans and generic dispatch resolve the same canonical binding IDs.</w:t>
            </w:r>
          </w:p>
        </w:tc>
      </w:tr>
      <w:tr>
        <w:trPr>
          <w:cantSplit/>
        </w:trPr>
        <w:tc>
          <w:tcPr>
            <w:tcW w:w="2556" w:type="dxa"/>
            <w:shd w:fill="FFFFFF"/>
            <w:vAlign w:val="top"/>
          </w:tcPr>
          <w:p>
            <w:pPr>
              <w:spacing w:after="60" w:line="235" w:lineRule="auto"/>
            </w:pPr>
            <w:r>
              <w:rPr>
                <w:rFonts w:ascii="DejaVu Sans" w:hAnsi="DejaVu Sans"/>
                <w:sz w:val="18"/>
              </w:rPr>
              <w:t xml:space="preserve">binding_type_schemas PK type_schema_id</w:t>
            </w:r>
          </w:p>
        </w:tc>
        <w:tc>
          <w:tcPr>
            <w:tcW w:w="7668" w:type="dxa"/>
            <w:shd w:fill="FFFFFF"/>
            <w:vAlign w:val="top"/>
          </w:tcPr>
          <w:p>
            <w:pPr>
              <w:spacing w:after="60" w:line="235" w:lineRule="auto"/>
            </w:pPr>
            <w:r>
              <w:rPr>
                <w:rFonts w:ascii="DejaVu Sans" w:hAnsi="DejaVu Sans"/>
                <w:sz w:val="18"/>
              </w:rPr>
              <w:t xml:space="preserve">schema_hash UNIQUE; format_version; canonical_schema_json; validation_state. Closed typed definitions include directions, object-reference kinds, sizes and supported marshalling strategy.</w:t>
            </w:r>
          </w:p>
        </w:tc>
      </w:tr>
      <w:tr>
        <w:trPr>
          <w:cantSplit/>
        </w:trPr>
        <w:tc>
          <w:tcPr>
            <w:tcW w:w="2556" w:type="dxa"/>
            <w:shd w:fill="FFFFFF"/>
            <w:vAlign w:val="top"/>
          </w:tcPr>
          <w:p>
            <w:pPr>
              <w:spacing w:after="60" w:line="235" w:lineRule="auto"/>
            </w:pPr>
            <w:r>
              <w:rPr>
                <w:rFonts w:ascii="DejaVu Sans" w:hAnsi="DejaVu Sans"/>
                <w:sz w:val="18"/>
              </w:rPr>
              <w:t xml:space="preserve">binding_availability read-only projection</w:t>
            </w:r>
          </w:p>
        </w:tc>
        <w:tc>
          <w:tcPr>
            <w:tcW w:w="7668" w:type="dxa"/>
            <w:shd w:fill="FFFFFF"/>
            <w:vAlign w:val="top"/>
          </w:tcPr>
          <w:p>
            <w:pPr>
              <w:spacing w:after="60" w:line="235" w:lineRule="auto"/>
            </w:pPr>
            <w:r>
              <w:rPr>
                <w:rFonts w:ascii="DejaVu Sans" w:hAnsi="DejaVu Sans"/>
                <w:sz w:val="18"/>
              </w:rPr>
              <w:t xml:space="preserve">Derived from the exact fresh active device view, scoped by profile/target/user/backend/device and view/epoch/generation. Exposes binding state, all reason codes, selected schema and graph digest; stale views yield no callable rows. resolved_device_catalog also exposes types. Historical standalone cache values never authorize calls. Client grants remain independent.</w:t>
            </w:r>
          </w:p>
        </w:tc>
      </w:tr>
    </w:tbl>
    <w:p>
      <w:pPr>
        <w:spacing w:after="90" w:line="260" w:lineRule="auto"/>
      </w:pPr>
    </w:p>
    <w:p>
      <w:pPr>
        <w:pStyle w:val="Heading2"/>
        <w:keepNext/>
        <w:spacing w:after="90" w:line="260" w:lineRule="auto"/>
      </w:pPr>
      <w:r>
        <w:rPr>
          <w:rFonts w:ascii="DejaVu Sans" w:hAnsi="DejaVu Sans"/>
          <w:b/>
          <w:sz w:val="25"/>
        </w:rPr>
        <w:t xml:space="preserve">Catalog artifact import contract</w:t>
      </w:r>
    </w:p>
    <w:p>
      <w:pPr>
        <w:spacing w:after="90" w:line="260" w:lineRule="auto"/>
      </w:pPr>
      <w:r>
        <w:rPr>
          <w:rFonts w:ascii="DejaVu Sans" w:hAnsi="DejaVu Sans"/>
          <w:sz w:val="21"/>
        </w:rPr>
        <w:t xml:space="preserve">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keepNext/>
        <w:spacing w:after="90" w:line="260" w:lineRule="auto"/>
      </w:pPr>
      <w:r>
        <w:rPr>
          <w:rFonts w:ascii="DejaVu Sans" w:hAnsi="DejaVu Sans"/>
          <w:b/>
          <w:sz w:val="30"/>
        </w:rPr>
        <w:t xml:space="preserve">Binding permissions metadata and validation</w:t>
      </w:r>
    </w:p>
    <w:p>
      <w:pPr>
        <w:spacing w:after="90" w:line="260" w:lineRule="auto"/>
      </w:pPr>
      <w:r>
        <w:rPr>
          <w:rFonts w:ascii="DejaVu Sans" w:hAnsi="DejaVu Sans"/>
          <w:sz w:val="21"/>
        </w:rPr>
        <w:t xml:space="preserve">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pPr>
        <w:spacing w:after="90" w:line="260" w:lineRule="auto"/>
      </w:pPr>
      <w:r>
        <w:rPr>
          <w:rFonts w:ascii="DejaVu Sans" w:hAnsi="DejaVu Sans"/>
          <w:sz w:val="21"/>
        </w:rPr>
        <w:t xml:space="preserve">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[S32–S34]</w:t>
      </w:r>
    </w:p>
    <w:p>
      <w:pPr>
        <w:spacing w:after="90" w:line="260" w:lineRule="auto"/>
      </w:pPr>
      <w:r>
        <w:rPr>
          <w:rFonts w:ascii="DejaVu Sans" w:hAnsi="DejaVu Sans"/>
          <w:sz w:val="21"/>
        </w:rPr>
        <w:t xml:space="preserve">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[S28–S31]</w:t>
      </w:r>
    </w:p>
    <w:p>
      <w:pPr>
        <w:spacing w:after="90" w:line="260" w:lineRule="auto"/>
      </w:pPr>
      <w:r>
        <w:rPr>
          <w:rFonts w:ascii="DejaVu Sans" w:hAnsi="DejaVu Sans"/>
          <w:sz w:val="21"/>
        </w:rPr>
        <w:t xml:space="preserve">In Avalonia,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pPr>
        <w:spacing w:after="90" w:line="260" w:lineRule="auto"/>
      </w:pPr>
      <w:r>
        <w:rPr>
          <w:rFonts w:ascii="DejaVu Sans" w:hAnsi="DejaVu Sans"/>
          <w:sz w:val="21"/>
        </w:rPr>
        <w:t xml:space="preserve">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keepNext/>
        <w:spacing w:after="90" w:line="260" w:lineRule="auto"/>
      </w:pPr>
      <w:r>
        <w:rPr>
          <w:rFonts w:ascii="DejaVu Sans" w:hAnsi="DejaVu Sans"/>
          <w:b/>
          <w:sz w:val="25"/>
        </w:rPr>
        <w:t xml:space="preserve">Acceptance evidence</w:t>
      </w:r>
    </w:p>
    <w:p>
      <w:pPr>
        <w:spacing w:after="90" w:line="260" w:lineRule="auto"/>
      </w:pPr>
      <w:r>
        <w:rPr>
          <w:rFonts w:ascii="DejaVu Sans" w:hAnsi="DejaVu Sans"/>
          <w:sz w:val="21"/>
        </w:rPr>
        <w:t xml:space="preserve">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keepNext/>
        <w:spacing w:after="90" w:line="260" w:lineRule="auto"/>
      </w:pPr>
      <w:r>
        <w:rPr>
          <w:rFonts w:ascii="DejaVu Sans" w:hAnsi="DejaVu Sans"/>
          <w:b/>
          <w:sz w:val="30"/>
        </w:rPr>
        <w:t xml:space="preserve">Catalog compatibility and administration API</w:t>
      </w:r>
    </w:p>
    <w:p>
      <w:pPr>
        <w:spacing w:after="90" w:line="260" w:lineRule="auto"/>
      </w:pPr>
      <w:r>
        <w:rPr>
          <w:rFonts w:ascii="DejaVu Sans" w:hAnsi="DejaVu Sans"/>
          <w:sz w:val="21"/>
        </w:rPr>
        <w:t xml:space="preserve">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keepNext/>
        <w:spacing w:after="90" w:line="260" w:lineRule="auto"/>
      </w:pPr>
      <w:r>
        <w:rPr>
          <w:rFonts w:ascii="DejaVu Sans" w:hAnsi="DejaVu Sans"/>
          <w:b/>
          <w:sz w:val="25"/>
        </w:rPr>
        <w:t xml:space="preserve">Forward compatible catalog records</w:t>
      </w:r>
    </w:p>
    <w:p>
      <w:pPr>
        <w:spacing w:after="90" w:line="260" w:lineRule="auto"/>
      </w:pPr>
      <w:r>
        <w:rPr>
          <w:rFonts w:ascii="DejaVu Sans" w:hAnsi="DejaVu Sans"/>
          <w:sz w:val="21"/>
        </w:rPr>
        <w:t xml:space="preserve">Use an extensible permission expression tree: permission, allOf, anyOf, conditional, read/write, manual enforcement, declared none and unknown, each with provenance and applicability. Preserve x- properties on known semantic nodes for round-trip storage, but report them unsupported for evaluation; unknown is never equivalent to permission-free. Readers reject unsupported major formats and negotiate documented additive minor changes. Migrations retain immutable source history.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Storage record</w:t>
            </w:r>
          </w:p>
        </w:tc>
        <w:tc>
          <w:tcPr>
            <w:tcW w:w="7668" w:type="dxa"/>
            <w:shd w:fill="E4EDF5"/>
            <w:vAlign w:val="top"/>
          </w:tcPr>
          <w:p>
            <w:pPr>
              <w:spacing w:after="60" w:line="235" w:lineRule="auto"/>
            </w:pPr>
            <w:r>
              <w:rPr>
                <w:rFonts w:ascii="DejaVu Sans" w:hAnsi="DejaVu Sans"/>
                <w:b/>
                <w:sz w:val="18"/>
              </w:rPr>
              <w:t xml:space="preserve">Purpose</w:t>
            </w:r>
          </w:p>
        </w:tc>
      </w:tr>
      <w:tr>
        <w:trPr>
          <w:cantSplit/>
        </w:trPr>
        <w:tc>
          <w:tcPr>
            <w:tcW w:w="2556" w:type="dxa"/>
            <w:shd w:fill="FFFFFF"/>
            <w:vAlign w:val="top"/>
          </w:tcPr>
          <w:p>
            <w:pPr>
              <w:spacing w:after="60" w:line="235" w:lineRule="auto"/>
            </w:pPr>
            <w:r>
              <w:rPr>
                <w:rFonts w:ascii="DejaVu Sans" w:hAnsi="DejaVu Sans"/>
                <w:sz w:val="18"/>
              </w:rPr>
              <w:t xml:space="preserve">registries / registry_sources / registry_entries</w:t>
            </w:r>
          </w:p>
        </w:tc>
        <w:tc>
          <w:tcPr>
            <w:tcW w:w="7668" w:type="dxa"/>
            <w:shd w:fill="FFFFFF"/>
            <w:vAlign w:val="top"/>
          </w:tcPr>
          <w:p>
            <w:pPr>
              <w:spacing w:after="60" w:line="235" w:lineRule="auto"/>
            </w:pPr>
            <w:r>
              <w:rPr>
                <w:rFonts w:ascii="DejaVu Sans" w:hAnsi="DejaVu Sans"/>
                <w:sz w:val="18"/>
              </w:rPr>
              <w:t xml:space="preserve">Immutable imported source set, source revisions/hashes, format version, coverage manifest and import status. Google-imported facts are never overwritten in place.</w:t>
            </w:r>
          </w:p>
        </w:tc>
      </w:tr>
      <w:tr>
        <w:trPr>
          <w:cantSplit/>
        </w:trPr>
        <w:tc>
          <w:tcPr>
            <w:tcW w:w="2556" w:type="dxa"/>
            <w:shd w:fill="FFFFFF"/>
            <w:vAlign w:val="top"/>
          </w:tcPr>
          <w:p>
            <w:pPr>
              <w:spacing w:after="60" w:line="235" w:lineRule="auto"/>
            </w:pPr>
            <w:r>
              <w:rPr>
                <w:rFonts w:ascii="DejaVu Sans" w:hAnsi="DejaVu Sans"/>
                <w:sz w:val="18"/>
              </w:rPr>
              <w:t xml:space="preserve">overlays</w:t>
            </w:r>
          </w:p>
        </w:tc>
        <w:tc>
          <w:tcPr>
            <w:tcW w:w="7668" w:type="dxa"/>
            <w:shd w:fill="FFFFFF"/>
            <w:vAlign w:val="top"/>
          </w:tcPr>
          <w:p>
            <w:pPr>
              <w:spacing w:after="60" w:line="235" w:lineRule="auto"/>
            </w:pPr>
            <w:r>
              <w:rPr>
                <w:rFonts w:ascii="DejaVu Sans" w:hAnsi="DejaVu Sans"/>
                <w:sz w:val="18"/>
              </w:rPr>
              <w:t xml:space="preserve">Stable entry ID, base snapshot/hash, overlay revision, local additions or patches, tombstone flag and provenance. Effective entries combine the selected immutable base with validated owner changes.</w:t>
            </w:r>
          </w:p>
        </w:tc>
      </w:tr>
      <w:tr>
        <w:trPr>
          <w:cantSplit/>
        </w:trPr>
        <w:tc>
          <w:tcPr>
            <w:tcW w:w="2556" w:type="dxa"/>
            <w:shd w:fill="FFFFFF"/>
            <w:vAlign w:val="top"/>
          </w:tcPr>
          <w:p>
            <w:pPr>
              <w:spacing w:after="60" w:line="235" w:lineRule="auto"/>
            </w:pPr>
            <w:r>
              <w:rPr>
                <w:rFonts w:ascii="DejaVu Sans" w:hAnsi="DejaVu Sans"/>
                <w:sz w:val="18"/>
              </w:rPr>
              <w:t xml:space="preserve">entry_history / registry_events / registry_outbox</w:t>
            </w:r>
          </w:p>
        </w:tc>
        <w:tc>
          <w:tcPr>
            <w:tcW w:w="7668" w:type="dxa"/>
            <w:shd w:fill="FFFFFF"/>
            <w:vAlign w:val="top"/>
          </w:tcPr>
          <w:p>
            <w:pPr>
              <w:spacing w:after="60" w:line="235" w:lineRule="auto"/>
            </w:pPr>
            <w:r>
              <w:rPr>
                <w:rFonts w:ascii="DejaVu Sans" w:hAnsi="DejaVu Sans"/>
                <w:sz w:val="18"/>
              </w:rPr>
              <w:t xml:space="preserve">Actor, request ID, before/after revision, change kind, timestamp and publish result. Minimal audit; never store credentials or device-call payloads here.</w:t>
            </w:r>
          </w:p>
        </w:tc>
      </w:tr>
    </w:tbl>
    <w:p>
      <w:pPr>
        <w:spacing w:after="90" w:line="260" w:lineRule="auto"/>
      </w:pPr>
    </w:p>
    <w:p>
      <w:pPr>
        <w:pStyle w:val="Heading2"/>
        <w:keepNext/>
        <w:spacing w:after="90" w:line="260" w:lineRule="auto"/>
      </w:pPr>
      <w:r>
        <w:rPr>
          <w:rFonts w:ascii="DejaVu Sans" w:hAnsi="DejaVu Sans"/>
          <w:b/>
          <w:sz w:val="25"/>
        </w:rPr>
        <w:t xml:space="preserve">Separate catalog CRUD API</w:t>
      </w:r>
    </w:p>
    <w:p>
      <w:pPr>
        <w:spacing w:after="90" w:line="260" w:lineRule="auto"/>
      </w:pPr>
      <w:r>
        <w:rPr>
          <w:rFonts w:ascii="DejaVu Sans Mono" w:hAnsi="DejaVu Sans Mono"/>
          <w:sz w:val="18"/>
        </w:rPr>
        <w:t xml:space="preserve">catalog/contracts/openapi.json</w:t>
      </w:r>
      <w:r>
        <w:rPr>
          <w:rFonts w:ascii="DejaVu Sans" w:hAnsi="DejaVu Sans"/>
          <w:sz w:val="21"/>
        </w:rPr>
        <w:t xml:space="preserve"> and </w:t>
      </w:r>
      <w:r>
        <w:rPr>
          <w:rFonts w:ascii="DejaVu Sans Mono" w:hAnsi="DejaVu Sans Mono"/>
          <w:sz w:val="18"/>
        </w:rPr>
        <w:t xml:space="preserve">catalog/API-CONTRACT.md</w:t>
      </w:r>
      <w:r>
        <w:rPr>
          <w:rFonts w:ascii="DejaVu Sans" w:hAnsi="DejaVu Sans"/>
          <w:sz w:val="21"/>
        </w:rPr>
        <w:t xml:space="preserve"> are authoritative. There is one route family; no PATCH alias.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API shape</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GET /v1/catalog/entries</w:t>
            </w:r>
          </w:p>
        </w:tc>
        <w:tc>
          <w:tcPr>
            <w:tcW w:w="7668" w:type="dxa"/>
            <w:shd w:fill="FFFFFF"/>
            <w:vAlign w:val="top"/>
          </w:tcPr>
          <w:p>
            <w:pPr>
              <w:spacing w:after="60" w:line="235" w:lineRule="auto"/>
            </w:pPr>
            <w:r>
              <w:rPr>
                <w:rFonts w:ascii="DejaVu Sans" w:hAnsi="DejaVu Sans"/>
                <w:sz w:val="18"/>
              </w:rPr>
              <w:t xml:space="preserve">Search pinned registry/overlay view; expired cursor 410.</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w:t>
            </w:r>
          </w:p>
        </w:tc>
        <w:tc>
          <w:tcPr>
            <w:tcW w:w="7668" w:type="dxa"/>
            <w:shd w:fill="FFFFFF"/>
            <w:vAlign w:val="top"/>
          </w:tcPr>
          <w:p>
            <w:pPr>
              <w:spacing w:after="60" w:line="235" w:lineRule="auto"/>
            </w:pPr>
            <w:r>
              <w:rPr>
                <w:rFonts w:ascii="DejaVu Sans" w:hAnsi="DejaVu Sans"/>
                <w:sz w:val="18"/>
              </w:rPr>
              <w:t xml:space="preserve">Effective entry and current cat1 ETag; conflicts visible, tombstone 410 with current ETag.</w:t>
            </w:r>
          </w:p>
        </w:tc>
      </w:tr>
      <w:tr>
        <w:trPr>
          <w:cantSplit/>
        </w:trPr>
        <w:tc>
          <w:tcPr>
            <w:tcW w:w="2556" w:type="dxa"/>
            <w:shd w:fill="FFFFFF"/>
            <w:vAlign w:val="top"/>
          </w:tcPr>
          <w:p>
            <w:pPr>
              <w:spacing w:after="60" w:line="235" w:lineRule="auto"/>
            </w:pPr>
            <w:r>
              <w:rPr>
                <w:rFonts w:ascii="DejaVu Sans" w:hAnsi="DejaVu Sans"/>
                <w:sz w:val="18"/>
              </w:rPr>
              <w:t xml:space="preserve">POST /v1/catalog/entries</w:t>
            </w:r>
          </w:p>
        </w:tc>
        <w:tc>
          <w:tcPr>
            <w:tcW w:w="7668" w:type="dxa"/>
            <w:shd w:fill="FFFFFF"/>
            <w:vAlign w:val="top"/>
          </w:tcPr>
          <w:p>
            <w:pPr>
              <w:spacing w:after="60" w:line="235" w:lineRule="auto"/>
            </w:pPr>
            <w:r>
              <w:rPr>
                <w:rFonts w:ascii="DejaVu Sans" w:hAnsi="DejaVu Sans"/>
                <w:sz w:val="18"/>
              </w:rPr>
              <w:t xml:space="preserve">Create local entry; canonical ID collision 409; Idempotency-Key required.</w:t>
            </w:r>
          </w:p>
        </w:tc>
      </w:tr>
      <w:tr>
        <w:trPr>
          <w:cantSplit/>
        </w:trPr>
        <w:tc>
          <w:tcPr>
            <w:tcW w:w="2556" w:type="dxa"/>
            <w:shd w:fill="FFFFFF"/>
            <w:vAlign w:val="top"/>
          </w:tcPr>
          <w:p>
            <w:pPr>
              <w:spacing w:after="60" w:line="235" w:lineRule="auto"/>
            </w:pPr>
            <w:r>
              <w:rPr>
                <w:rFonts w:ascii="DejaVu Sans" w:hAnsi="DejaVu Sans"/>
                <w:sz w:val="18"/>
              </w:rPr>
              <w:t xml:space="preserve">PUT /v1/catalog/entries/{entry_id}</w:t>
            </w:r>
          </w:p>
        </w:tc>
        <w:tc>
          <w:tcPr>
            <w:tcW w:w="7668" w:type="dxa"/>
            <w:shd w:fill="FFFFFF"/>
            <w:vAlign w:val="top"/>
          </w:tcPr>
          <w:p>
            <w:pPr>
              <w:spacing w:after="60" w:line="235" w:lineRule="auto"/>
            </w:pPr>
            <w:r>
              <w:rPr>
                <w:rFonts w:ascii="DejaVu Sans" w:hAnsi="DejaVu Sans"/>
                <w:sz w:val="18"/>
              </w:rPr>
              <w:t xml:space="preserve">If-Match current cat1 ETag, including conflicts/tombstones. Overlay mutation, restore or explicit rebase; no imported mutation.</w:t>
            </w:r>
          </w:p>
        </w:tc>
      </w:tr>
      <w:tr>
        <w:trPr>
          <w:cantSplit/>
        </w:trPr>
        <w:tc>
          <w:tcPr>
            <w:tcW w:w="2556" w:type="dxa"/>
            <w:shd w:fill="FFFFFF"/>
            <w:vAlign w:val="top"/>
          </w:tcPr>
          <w:p>
            <w:pPr>
              <w:spacing w:after="60" w:line="235" w:lineRule="auto"/>
            </w:pPr>
            <w:r>
              <w:rPr>
                <w:rFonts w:ascii="DejaVu Sans" w:hAnsi="DejaVu Sans"/>
                <w:sz w:val="18"/>
              </w:rPr>
              <w:t xml:space="preserve">DELETE /v1/catalog/entries/{entry_id}</w:t>
            </w:r>
          </w:p>
        </w:tc>
        <w:tc>
          <w:tcPr>
            <w:tcW w:w="7668" w:type="dxa"/>
            <w:shd w:fill="FFFFFF"/>
            <w:vAlign w:val="top"/>
          </w:tcPr>
          <w:p>
            <w:pPr>
              <w:spacing w:after="60" w:line="235" w:lineRule="auto"/>
            </w:pPr>
            <w:r>
              <w:rPr>
                <w:rFonts w:ascii="DejaVu Sans" w:hAnsi="DejaVu Sans"/>
                <w:sz w:val="18"/>
              </w:rPr>
              <w:t xml:space="preserve">If-Match; suppression/deletion tombstone; conflict requires explicit resolution first (409).</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/v1/catalog/entries/{entry_id}/history</w:t>
            </w:r>
          </w:p>
        </w:tc>
        <w:tc>
          <w:tcPr>
            <w:tcW w:w="7668" w:type="dxa"/>
            <w:shd w:fill="FFFFFF"/>
            <w:vAlign w:val="top"/>
          </w:tcPr>
          <w:p>
            <w:pPr>
              <w:spacing w:after="60" w:line="235" w:lineRule="auto"/>
            </w:pPr>
            <w:r>
              <w:rPr>
                <w:rFonts w:ascii="DejaVu Sans" w:hAnsi="DejaVu Sans"/>
                <w:sz w:val="18"/>
              </w:rPr>
              <w:t xml:space="preserve">Immutable history and current administrative ETag for CAS.</w:t>
            </w:r>
          </w:p>
        </w:tc>
      </w:tr>
      <w:tr>
        <w:trPr>
          <w:cantSplit/>
        </w:trPr>
        <w:tc>
          <w:tcPr>
            <w:tcW w:w="2556" w:type="dxa"/>
            <w:shd w:fill="FFFFFF"/>
            <w:vAlign w:val="top"/>
          </w:tcPr>
          <w:p>
            <w:pPr>
              <w:spacing w:after="60" w:line="235" w:lineRule="auto"/>
            </w:pPr>
            <w:r>
              <w:rPr>
                <w:rFonts w:ascii="DejaVu Sans" w:hAnsi="DejaVu Sans"/>
                <w:sz w:val="18"/>
              </w:rPr>
              <w:t xml:space="preserve">POST /v1/catalog/imports</w:t>
            </w:r>
          </w:p>
        </w:tc>
        <w:tc>
          <w:tcPr>
            <w:tcW w:w="7668" w:type="dxa"/>
            <w:shd w:fill="FFFFFF"/>
            <w:vAlign w:val="top"/>
          </w:tcPr>
          <w:p>
            <w:pPr>
              <w:spacing w:after="60" w:line="235" w:lineRule="auto"/>
            </w:pPr>
            <w:r>
              <w:rPr>
                <w:rFonts w:ascii="DejaVu Sans" w:hAnsi="DejaVu Sans"/>
                <w:sz w:val="18"/>
              </w:rPr>
              <w:t xml:space="preserve">Idempotent immutable staging and validation, no active view change.</w:t>
            </w:r>
          </w:p>
        </w:tc>
      </w:tr>
      <w:tr>
        <w:trPr>
          <w:cantSplit/>
        </w:trPr>
        <w:tc>
          <w:tcPr>
            <w:tcW w:w="2556" w:type="dxa"/>
            <w:shd w:fill="FFFFFF"/>
            <w:vAlign w:val="top"/>
          </w:tcPr>
          <w:p>
            <w:pPr>
              <w:spacing w:after="60" w:line="235" w:lineRule="auto"/>
            </w:pPr>
            <w:r>
              <w:rPr>
                <w:rFonts w:ascii="DejaVu Sans" w:hAnsi="DejaVu Sans"/>
                <w:sz w:val="18"/>
              </w:rPr>
              <w:t xml:space="preserve">GET /v1/catalog/registries/{registry_id}</w:t>
            </w:r>
          </w:p>
        </w:tc>
        <w:tc>
          <w:tcPr>
            <w:tcW w:w="7668" w:type="dxa"/>
            <w:shd w:fill="FFFFFF"/>
            <w:vAlign w:val="top"/>
          </w:tcPr>
          <w:p>
            <w:pPr>
              <w:spacing w:after="60" w:line="235" w:lineRule="auto"/>
            </w:pPr>
            <w:r>
              <w:rPr>
                <w:rFonts w:ascii="DejaVu Sans" w:hAnsi="DejaVu Sans"/>
                <w:sz w:val="18"/>
              </w:rPr>
              <w:t xml:space="preserve">Registry metadata, state and validation evidence.</w:t>
            </w:r>
          </w:p>
        </w:tc>
      </w:tr>
      <w:tr>
        <w:trPr>
          <w:cantSplit/>
        </w:trPr>
        <w:tc>
          <w:tcPr>
            <w:tcW w:w="2556" w:type="dxa"/>
            <w:shd w:fill="FFFFFF"/>
            <w:vAlign w:val="top"/>
          </w:tcPr>
          <w:p>
            <w:pPr>
              <w:spacing w:after="60" w:line="235" w:lineRule="auto"/>
            </w:pPr>
            <w:r>
              <w:rPr>
                <w:rFonts w:ascii="DejaVu Sans" w:hAnsi="DejaVu Sans"/>
                <w:sz w:val="18"/>
              </w:rPr>
              <w:t xml:space="preserve">POST /v1/catalog/registries/{registry_id}/publish</w:t>
            </w:r>
          </w:p>
        </w:tc>
        <w:tc>
          <w:tcPr>
            <w:tcW w:w="7668" w:type="dxa"/>
            <w:shd w:fill="FFFFFF"/>
            <w:vAlign w:val="top"/>
          </w:tcPr>
          <w:p>
            <w:pPr>
              <w:spacing w:after="60" w:line="235" w:lineRule="auto"/>
            </w:pPr>
            <w:r>
              <w:rPr>
                <w:rFonts w:ascii="DejaVu Sans" w:hAnsi="DejaVu Sans"/>
                <w:sz w:val="18"/>
              </w:rPr>
              <w:t xml:space="preserve">Idempotent atomic publication of validated registry, overlay rebase/conflicts, generation increment and approval invalidation.</w:t>
            </w:r>
          </w:p>
        </w:tc>
      </w:tr>
    </w:tbl>
    <w:p>
      <w:pPr>
        <w:spacing w:after="90" w:line="260" w:lineRule="auto"/>
      </w:pPr>
    </w:p>
    <w:p>
      <w:pPr>
        <w:spacing w:after="90" w:line="260" w:lineRule="auto"/>
      </w:pPr>
      <w:r>
        <w:rPr>
          <w:rFonts w:ascii="DejaVu Sans" w:hAnsi="DejaVu Sans"/>
          <w:sz w:val="21"/>
        </w:rPr>
        <w:t xml:space="preserve">Executable catalog DDL, configuration DDL, offline dispatch manifest generator and contract fixtures accompany this design. They specify and validate contracts; Android hosting and dispatch remain release gates requiring actual implementation/runtime evidence.</w:t>
      </w:r>
    </w:p>
    <w:p>
      <w:pPr>
        <w:spacing w:after="90" w:line="260" w:lineRule="auto"/>
      </w:pPr>
      <w:r>
        <w:rPr>
          <w:rFonts w:ascii="DejaVu Sans" w:hAnsi="DejaVu Sans"/>
          <w:sz w:val="21"/>
        </w:rPr>
        <w:t xml:space="preserve">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pPr>
        <w:spacing w:after="90" w:line="260" w:lineRule="auto"/>
      </w:pPr>
      <w:r>
        <w:rPr>
          <w:rFonts w:ascii="DejaVu Sans" w:hAnsi="DejaVu Sans"/>
          <w:sz w:val="21"/>
        </w:rPr>
        <w:t xml:space="preserve">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keepNext/>
        <w:spacing w:after="90" w:line="260" w:lineRule="auto"/>
      </w:pPr>
      <w:r>
        <w:rPr>
          <w:rFonts w:ascii="DejaVu Sans" w:hAnsi="DejaVu Sans"/>
          <w:b/>
          <w:sz w:val="30"/>
        </w:rPr>
        <w:t xml:space="preserve">Startup device-resolved bindings, types and generic Binder execution</w:t>
      </w:r>
    </w:p>
    <w:p>
      <w:pPr>
        <w:spacing w:after="90" w:line="260" w:lineRule="auto"/>
      </w:pPr>
      <w:r>
        <w:rPr>
          <w:rFonts w:ascii="DejaVu Sans" w:hAnsi="DejaVu Sans"/>
          <w:sz w:val="21"/>
        </w:rPr>
        <w:t xml:space="preserve">At startup the headless service resolves a device-specific view of both bindings and types before admitting device calls. The immutable catalog remains the full inventory: unavailable, unknown, historical and future entries are retained with reasons. A filtered available view is a projection, never a replacement import or a curated catalog. Service reachability, version applicability, verified wire support, OS/backend authority and MCP client grants are separate facts. An available entry never grants invocation.</w:t>
      </w:r>
    </w:p>
    <w:p>
      <w:pPr>
        <w:pStyle w:val="Heading2"/>
        <w:keepNext/>
        <w:spacing w:after="90" w:line="260" w:lineRule="auto"/>
      </w:pPr>
      <w:r>
        <w:rPr>
          <w:rFonts w:ascii="DejaVu Sans" w:hAnsi="DejaVu Sans"/>
          <w:b/>
          <w:sz w:val="25"/>
        </w:rPr>
        <w:t xml:space="preserve">Capability capture and version evidence</w:t>
      </w:r>
    </w:p>
    <w:p>
      <w:pPr>
        <w:spacing w:after="90" w:line="260" w:lineRule="auto"/>
      </w:pPr>
      <w:r>
        <w:rPr>
          <w:rFonts w:ascii="DejaVu Sans" w:hAnsi="DejaVu Sans"/>
          <w:sz w:val="21"/>
        </w:rPr>
        <w:t xml:space="preserve">The capability collector uses only supported metadata operations within an already configured backend's authority. It records platform SDK major/minor, separately observed SDK extension family levels, build/OEM identity and installed module/interface versions where observable. Use SDK_INT_FULL and Build's major/minor accessors on supported releases; SDK_INT alone supplies a major, not an invented minor. A release display string, targetSdkVersion, the host SDK installation and extension level24 cannot stand in for the device's platform37.2. Missing, denied or unsupported observations remain unknown with provenance. No pairing, debugging toggle, privilege escalation or phone operation is performed by this design/reference deliverable. Android's documented full-SDK fields distinguish minor releases; extension availability has a separate runtime query. </w:t>
      </w:r>
      <w:hyperlink r:id="rIdDesign1001">
        <w:r>
          <w:rPr>
            <w:rFonts w:ascii="DejaVu Sans" w:hAnsi="DejaVu Sans"/>
            <w:color w:val="24577A"/>
            <w:sz w:val="21"/>
            <w:u w:val="single"/>
          </w:rPr>
          <w:t xml:space="preserve">Build.VERSION</w:t>
        </w:r>
      </w:hyperlink>
      <w:r>
        <w:rPr>
          <w:rFonts w:ascii="DejaVu Sans" w:hAnsi="DejaVu Sans"/>
          <w:sz w:val="21"/>
        </w:rPr>
        <w:t xml:space="preserve">, </w:t>
      </w:r>
      <w:hyperlink r:id="rIdDesign1002">
        <w:r>
          <w:rPr>
            <w:rFonts w:ascii="DejaVu Sans" w:hAnsi="DejaVu Sans"/>
            <w:color w:val="24577A"/>
            <w:sz w:val="21"/>
            <w:u w:val="single"/>
          </w:rPr>
          <w:t xml:space="preserve">Build accessors</w:t>
        </w:r>
      </w:hyperlink>
      <w:r>
        <w:rPr>
          <w:rFonts w:ascii="DejaVu Sans" w:hAnsi="DejaVu Sans"/>
          <w:sz w:val="21"/>
        </w:rPr>
        <w:t xml:space="preserve">, </w:t>
      </w:r>
      <w:hyperlink r:id="rIdDesign1003">
        <w:r>
          <w:rPr>
            <w:rFonts w:ascii="DejaVu Sans" w:hAnsi="DejaVu Sans"/>
            <w:color w:val="24577A"/>
            <w:sz w:val="21"/>
            <w:u w:val="single"/>
          </w:rPr>
          <w:t xml:space="preserve">SDK Extensions</w:t>
        </w:r>
      </w:hyperlink>
      <w:r>
        <w:rPr>
          <w:rFonts w:ascii="DejaVu Sans" w:hAnsi="DejaVu Sans"/>
          <w:sz w:val="21"/>
        </w:rPr>
        <w:t xml:space="preserve">.</w:t>
      </w:r>
    </w:p>
    <w:p>
      <w:pPr>
        <w:spacing w:after="90" w:line="260" w:lineRule="auto"/>
      </w:pPr>
      <w:r>
        <w:rPr>
          <w:rFonts w:ascii="DejaVu Sans" w:hAnsi="DejaVu Sans"/>
          <w:sz w:val="21"/>
        </w:rPr>
        <w:t xml:space="preserve">A DeviceCapabilitySnapshot is bound to the configured connection profile, target, Android user, device/session instance, observation epoch and collection evidence. It retains unknown values instead of converting them to zero or false. Probe failure is not proof of absence. Package visibility, backend access and non-SDK restrictions can limit observations. Record authoritative absence only when the supported observation actually establishes it. Build/OEM strings identify evidence applicability; they do not prove undocumented backports. Do not collect hardware serials or credentials to populate this view.</w:t>
      </w:r>
    </w:p>
    <w:p>
      <w:pPr>
        <w:spacing w:after="90" w:line="260" w:lineRule="auto"/>
      </w:pPr>
      <w:r>
        <w:rPr>
          <w:rFonts w:ascii="DejaVu Sans" w:hAnsi="DejaVu Sans"/>
          <w:sz w:val="21"/>
        </w:rPr>
        <w:t xml:space="preserve">Where supported by a known adapter and permitted by the existing backend, refine service metadata with endpoint descriptor, reachability and stable AIDL interface version/hash. Use generated/proven metadata operations, bounded timeouts and exact target/profile association; do not guess transaction IDs or probe private/OEM services universally. Stable AIDL explicitly provides version/hash queries, but service discovery or successful metadata calls do not prove authorization to invoke methods. An unrecognized hash leaves the wire contract unknown; an unreachable/denied probe leaves existence uncertain instead of declaring a method removed. </w:t>
      </w:r>
      <w:hyperlink r:id="rIdDesign1004">
        <w:r>
          <w:rPr>
            <w:rFonts w:ascii="DejaVu Sans" w:hAnsi="DejaVu Sans"/>
            <w:color w:val="24577A"/>
            <w:sz w:val="21"/>
            <w:u w:val="single"/>
          </w:rPr>
          <w:t xml:space="preserve">Stable AIDL metadata</w:t>
        </w:r>
      </w:hyperlink>
      <w:r>
        <w:rPr>
          <w:rFonts w:ascii="DejaVu Sans" w:hAnsi="DejaVu Sans"/>
          <w:sz w:val="21"/>
        </w:rPr>
        <w:t xml:space="preserve">.</w:t>
      </w:r>
    </w:p>
    <w:p>
      <w:pPr>
        <w:pStyle w:val="Heading2"/>
        <w:keepNext/>
        <w:spacing w:after="90" w:line="260" w:lineRule="auto"/>
      </w:pPr>
      <w:r>
        <w:rPr>
          <w:rFonts w:ascii="DejaVu Sans" w:hAnsi="DejaVu Sans"/>
          <w:b/>
          <w:sz w:val="25"/>
        </w:rPr>
        <w:t xml:space="preserve">Applicability and coherent type resolution</w:t>
      </w:r>
    </w:p>
    <w:p>
      <w:pPr>
        <w:spacing w:after="90" w:line="260" w:lineRule="auto"/>
      </w:pPr>
      <w:r>
        <w:rPr>
          <w:rFonts w:ascii="DejaVu Sans" w:hAnsi="DejaVu Sans"/>
          <w:sz w:val="21"/>
        </w:rPr>
        <w:t xml:space="preserve">Each source-backed binding/type variant has a versioned applicability rule and provenance. For a published lifecycle range, introduction is inclusive and removal exclusive; deprecation alone is not removal. Conditions can constrain platform major/minor, a named SDK extension family, module version, exact OEM/build evidence and supported interface version/hash. Alternatives model documented backports; constraints within one alternative must all hold. Unknown conditions cannot become true by default. The source importer must retain lifecycle metadata and historical/future declarations in the full inventory; a current-target SDK projection must not discard the only records needed to resolve an older device. Legacy or unparsed applicability stays unknown until corrected evidence is imported.</w:t>
      </w:r>
    </w:p>
    <w:p>
      <w:pPr>
        <w:spacing w:after="90" w:line="260" w:lineRule="auto"/>
      </w:pPr>
      <w:r>
        <w:rPr>
          <w:rFonts w:ascii="DejaVu Sans" w:hAnsi="DejaVu Sans"/>
          <w:sz w:val="21"/>
        </w:rPr>
        <w:t xml:space="preserve">The resolver selects a schema variant only when the observed facts prove it and no unresolved, potentially applicable incompatible variant remains. Conflicting variants or unrecognized semantics yield unknown with retained evidence. Availability filtering applies to types, fields/enumerants and callable bindings, not just method names. A binding's required type schemas must resolve in the same snapshot with the expected schema identities. A missing/ambiguous type yields unknown; a version-excluded required type makes the binding unavailable. Mutually recursive types resolve as one coherent graph. Hash canonical finite type graphs/references without recursive expansion, and bind the selected graph digest to dispatch schema/codec identity so a dependency change invalidates approvals even when a method name is unchanged.</w:t>
      </w:r>
    </w:p>
    <w:p>
      <w:pPr>
        <w:spacing w:after="90" w:line="260" w:lineRule="auto"/>
      </w:pPr>
      <w:r>
        <w:rPr>
          <w:rFonts w:ascii="DejaVu Sans" w:hAnsi="DejaVu Sans"/>
          <w:sz w:val="21"/>
        </w:rPr>
        <w:t xml:space="preserve">The view retains one result per inventory entity with selected schema hash when known, dependencies, state available/unavailable/unknown and machine-readable reasons. Preserve all inventory entries and expose source coverage gaps separately. Unknown/unreachable schemas remain visible, not callable. A known public SDK version may establish documented applicability without proving a private Binder wire layout. No type version or codec is inferred from API level alone.</w:t>
      </w:r>
    </w:p>
    <w:p>
      <w:pPr>
        <w:pStyle w:val="Heading2"/>
        <w:keepNext/>
        <w:spacing w:after="90" w:line="260" w:lineRule="auto"/>
      </w:pPr>
      <w:r>
        <w:rPr>
          <w:rFonts w:ascii="DejaVu Sans" w:hAnsi="DejaVu Sans"/>
          <w:b/>
          <w:sz w:val="25"/>
        </w:rPr>
        <w:t xml:space="preserve">Classes and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Component</w:t>
            </w:r>
          </w:p>
        </w:tc>
        <w:tc>
          <w:tcPr>
            <w:tcW w:w="3987" w:type="dxa"/>
            <w:shd w:fill="E4EDF5"/>
            <w:vAlign w:val="top"/>
          </w:tcPr>
          <w:p>
            <w:pPr>
              <w:spacing w:after="60" w:line="235" w:lineRule="auto"/>
            </w:pPr>
            <w:r>
              <w:rPr>
                <w:rFonts w:ascii="DejaVu Sans" w:hAnsi="DejaVu Sans"/>
                <w:b/>
                <w:sz w:val="18"/>
              </w:rPr>
              <w:t xml:space="preserve">Responsibility</w:t>
            </w:r>
          </w:p>
        </w:tc>
        <w:tc>
          <w:tcPr>
            <w:tcW w:w="3988" w:type="dxa"/>
            <w:shd w:fill="E4EDF5"/>
            <w:vAlign w:val="top"/>
          </w:tcPr>
          <w:p>
            <w:pPr>
              <w:spacing w:after="60" w:line="235" w:lineRule="auto"/>
            </w:pPr>
            <w:r>
              <w:rPr>
                <w:rFonts w:ascii="DejaVu Sans" w:hAnsi="DejaVu Sans"/>
                <w:b/>
                <w:sz w:val="18"/>
              </w:rPr>
              <w:t xml:space="preserve">Boundary</w:t>
            </w:r>
          </w:p>
        </w:tc>
      </w:tr>
      <w:tr>
        <w:trPr>
          <w:cantSplit/>
        </w:trPr>
        <w:tc>
          <w:tcPr>
            <w:tcW w:w="2249" w:type="dxa"/>
            <w:shd w:fill="FFFFFF"/>
            <w:vAlign w:val="top"/>
          </w:tcPr>
          <w:p>
            <w:pPr>
              <w:spacing w:after="60" w:line="235" w:lineRule="auto"/>
            </w:pPr>
            <w:r>
              <w:rPr>
                <w:rFonts w:ascii="DejaVu Sans" w:hAnsi="DejaVu Sans"/>
                <w:sz w:val="18"/>
              </w:rPr>
              <w:t xml:space="preserve">IDeviceCapabilityCollector / DeviceCapabilitySnapshot</w:t>
            </w:r>
          </w:p>
        </w:tc>
        <w:tc>
          <w:tcPr>
            <w:tcW w:w="3987" w:type="dxa"/>
            <w:shd w:fill="FFFFFF"/>
            <w:vAlign w:val="top"/>
          </w:tcPr>
          <w:p>
            <w:pPr>
              <w:spacing w:after="60" w:line="235" w:lineRule="auto"/>
            </w:pPr>
            <w:r>
              <w:rPr>
                <w:rFonts w:ascii="DejaVu Sans" w:hAnsi="DejaVu Sans"/>
                <w:sz w:val="18"/>
              </w:rPr>
              <w:t xml:space="preserve">Bounded supported version/module/interface observations and provenance, scoped to one profile/target/epoch</w:t>
            </w:r>
          </w:p>
        </w:tc>
        <w:tc>
          <w:tcPr>
            <w:tcW w:w="3988" w:type="dxa"/>
            <w:shd w:fill="FFFFFF"/>
            <w:vAlign w:val="top"/>
          </w:tcPr>
          <w:p>
            <w:pPr>
              <w:spacing w:after="60" w:line="235" w:lineRule="auto"/>
            </w:pPr>
            <w:r>
              <w:rPr>
                <w:rFonts w:ascii="DejaVu Sans" w:hAnsi="DejaVu Sans"/>
                <w:sz w:val="18"/>
              </w:rPr>
              <w:t xml:space="preserve">No permission grants, pairing or arbitrary command execution</w:t>
            </w:r>
          </w:p>
        </w:tc>
      </w:tr>
      <w:tr>
        <w:trPr>
          <w:cantSplit/>
        </w:trPr>
        <w:tc>
          <w:tcPr>
            <w:tcW w:w="2249" w:type="dxa"/>
            <w:shd w:fill="FFFFFF"/>
            <w:vAlign w:val="top"/>
          </w:tcPr>
          <w:p>
            <w:pPr>
              <w:spacing w:after="60" w:line="235" w:lineRule="auto"/>
            </w:pPr>
            <w:r>
              <w:rPr>
                <w:rFonts w:ascii="DejaVu Sans" w:hAnsi="DejaVu Sans"/>
                <w:sz w:val="18"/>
              </w:rPr>
              <w:t xml:space="preserve">IVersionApplicabilityResolver</w:t>
            </w:r>
          </w:p>
        </w:tc>
        <w:tc>
          <w:tcPr>
            <w:tcW w:w="3987" w:type="dxa"/>
            <w:shd w:fill="FFFFFF"/>
            <w:vAlign w:val="top"/>
          </w:tcPr>
          <w:p>
            <w:pPr>
              <w:spacing w:after="60" w:line="235" w:lineRule="auto"/>
            </w:pPr>
            <w:r>
              <w:rPr>
                <w:rFonts w:ascii="DejaVu Sans" w:hAnsi="DejaVu Sans"/>
                <w:sz w:val="18"/>
              </w:rPr>
              <w:t xml:space="preserve">Three-state evidence evaluation across platform, extension, module, OEM/build and interface facts</w:t>
            </w:r>
          </w:p>
        </w:tc>
        <w:tc>
          <w:tcPr>
            <w:tcW w:w="3988" w:type="dxa"/>
            <w:shd w:fill="FFFFFF"/>
            <w:vAlign w:val="top"/>
          </w:tcPr>
          <w:p>
            <w:pPr>
              <w:spacing w:after="60" w:line="235" w:lineRule="auto"/>
            </w:pPr>
            <w:r>
              <w:rPr>
                <w:rFonts w:ascii="DejaVu Sans" w:hAnsi="DejaVu Sans"/>
                <w:sz w:val="18"/>
              </w:rPr>
              <w:t xml:space="preserve">No minor/extension conflation or undocumented backport guesses</w:t>
            </w:r>
          </w:p>
        </w:tc>
      </w:tr>
      <w:tr>
        <w:trPr>
          <w:cantSplit/>
        </w:trPr>
        <w:tc>
          <w:tcPr>
            <w:tcW w:w="2249" w:type="dxa"/>
            <w:shd w:fill="FFFFFF"/>
            <w:vAlign w:val="top"/>
          </w:tcPr>
          <w:p>
            <w:pPr>
              <w:spacing w:after="60" w:line="235" w:lineRule="auto"/>
            </w:pPr>
            <w:r>
              <w:rPr>
                <w:rFonts w:ascii="DejaVu Sans" w:hAnsi="DejaVu Sans"/>
                <w:sz w:val="18"/>
              </w:rPr>
              <w:t xml:space="preserve">Catalog inventory projection</w:t>
            </w:r>
          </w:p>
        </w:tc>
        <w:tc>
          <w:tcPr>
            <w:tcW w:w="3987" w:type="dxa"/>
            <w:shd w:fill="FFFFFF"/>
            <w:vAlign w:val="top"/>
          </w:tcPr>
          <w:p>
            <w:pPr>
              <w:spacing w:after="60" w:line="235" w:lineRule="auto"/>
            </w:pPr>
            <w:r>
              <w:rPr>
                <w:rFonts w:ascii="DejaVu Sans" w:hAnsi="DejaVu Sans"/>
                <w:sz w:val="18"/>
              </w:rPr>
              <w:t xml:space="preserve">Preserve full lifecycle inventory, prove source-scoped type IDs, emit registry_inventory variants and shared schema hashes</w:t>
            </w:r>
          </w:p>
        </w:tc>
        <w:tc>
          <w:tcPr>
            <w:tcW w:w="3988" w:type="dxa"/>
            <w:shd w:fill="FFFFFF"/>
            <w:vAlign w:val="top"/>
          </w:tcPr>
          <w:p>
            <w:pPr>
              <w:spacing w:after="60" w:line="235" w:lineRule="auto"/>
            </w:pPr>
            <w:r>
              <w:rPr>
                <w:rFonts w:ascii="DejaVu Sans" w:hAnsi="DejaVu Sans"/>
                <w:sz w:val="18"/>
              </w:rPr>
              <w:t xml:space="preserve">No invented minor ranges, type schemas, wire layouts or authority</w:t>
            </w:r>
          </w:p>
        </w:tc>
      </w:tr>
      <w:tr>
        <w:trPr>
          <w:cantSplit/>
        </w:trPr>
        <w:tc>
          <w:tcPr>
            <w:tcW w:w="2249" w:type="dxa"/>
            <w:shd w:fill="FFFFFF"/>
            <w:vAlign w:val="top"/>
          </w:tcPr>
          <w:p>
            <w:pPr>
              <w:spacing w:after="60" w:line="235" w:lineRule="auto"/>
            </w:pPr>
            <w:r>
              <w:rPr>
                <w:rFonts w:ascii="DejaVu Sans" w:hAnsi="DejaVu Sans"/>
                <w:sz w:val="18"/>
              </w:rPr>
              <w:t xml:space="preserve">IResolvedTypeGraphBuilder</w:t>
            </w:r>
          </w:p>
        </w:tc>
        <w:tc>
          <w:tcPr>
            <w:tcW w:w="3987" w:type="dxa"/>
            <w:shd w:fill="FFFFFF"/>
            <w:vAlign w:val="top"/>
          </w:tcPr>
          <w:p>
            <w:pPr>
              <w:spacing w:after="60" w:line="235" w:lineRule="auto"/>
            </w:pPr>
            <w:r>
              <w:rPr>
                <w:rFonts w:ascii="DejaVu Sans" w:hAnsi="DejaVu Sans"/>
                <w:sz w:val="18"/>
              </w:rPr>
              <w:t xml:space="preserve">Select compatible type variants, check required dependencies and schema hashes, handle recursive graphs</w:t>
            </w:r>
          </w:p>
        </w:tc>
        <w:tc>
          <w:tcPr>
            <w:tcW w:w="3988" w:type="dxa"/>
            <w:shd w:fill="FFFFFF"/>
            <w:vAlign w:val="top"/>
          </w:tcPr>
          <w:p>
            <w:pPr>
              <w:spacing w:after="60" w:line="235" w:lineRule="auto"/>
            </w:pPr>
            <w:r>
              <w:rPr>
                <w:rFonts w:ascii="DejaVu Sans" w:hAnsi="DejaVu Sans"/>
                <w:sz w:val="18"/>
              </w:rPr>
              <w:t xml:space="preserve">No fabricated missing types, wire tags or layouts</w:t>
            </w:r>
          </w:p>
        </w:tc>
      </w:tr>
      <w:tr>
        <w:trPr>
          <w:cantSplit/>
        </w:trPr>
        <w:tc>
          <w:tcPr>
            <w:tcW w:w="2249" w:type="dxa"/>
            <w:shd w:fill="FFFFFF"/>
            <w:vAlign w:val="top"/>
          </w:tcPr>
          <w:p>
            <w:pPr>
              <w:spacing w:after="60" w:line="235" w:lineRule="auto"/>
            </w:pPr>
            <w:r>
              <w:rPr>
                <w:rFonts w:ascii="DejaVu Sans" w:hAnsi="DejaVu Sans"/>
                <w:sz w:val="18"/>
              </w:rPr>
              <w:t xml:space="preserve">ResolvedDeviceView / IDeviceViewStore</w:t>
            </w:r>
          </w:p>
        </w:tc>
        <w:tc>
          <w:tcPr>
            <w:tcW w:w="3987" w:type="dxa"/>
            <w:shd w:fill="FFFFFF"/>
            <w:vAlign w:val="top"/>
          </w:tcPr>
          <w:p>
            <w:pPr>
              <w:spacing w:after="60" w:line="235" w:lineRule="auto"/>
            </w:pPr>
            <w:r>
              <w:rPr>
                <w:rFonts w:ascii="DejaVu Sans" w:hAnsi="DejaVu Sans"/>
                <w:sz w:val="18"/>
              </w:rPr>
              <w:t xml:space="preserve">Complete immutable result set, atomic activation, generation/epoch CAS and stale-view rejection</w:t>
            </w:r>
          </w:p>
        </w:tc>
        <w:tc>
          <w:tcPr>
            <w:tcW w:w="3988" w:type="dxa"/>
            <w:shd w:fill="FFFFFF"/>
            <w:vAlign w:val="top"/>
          </w:tcPr>
          <w:p>
            <w:pPr>
              <w:spacing w:after="60" w:line="235" w:lineRule="auto"/>
            </w:pPr>
            <w:r>
              <w:rPr>
                <w:rFonts w:ascii="DejaVu Sans" w:hAnsi="DejaVu Sans"/>
                <w:sz w:val="18"/>
              </w:rPr>
              <w:t xml:space="preserve">No row-by-row partially visible startup state</w:t>
            </w:r>
          </w:p>
        </w:tc>
      </w:tr>
      <w:tr>
        <w:trPr>
          <w:cantSplit/>
        </w:trPr>
        <w:tc>
          <w:tcPr>
            <w:tcW w:w="2249" w:type="dxa"/>
            <w:shd w:fill="FFFFFF"/>
            <w:vAlign w:val="top"/>
          </w:tcPr>
          <w:p>
            <w:pPr>
              <w:spacing w:after="60" w:line="235" w:lineRule="auto"/>
            </w:pPr>
            <w:r>
              <w:rPr>
                <w:rFonts w:ascii="DejaVu Sans" w:hAnsi="DejaVu Sans"/>
                <w:sz w:val="18"/>
              </w:rPr>
              <w:t xml:space="preserve">ICanonicalDispatchPlanner</w:t>
            </w:r>
          </w:p>
        </w:tc>
        <w:tc>
          <w:tcPr>
            <w:tcW w:w="3987" w:type="dxa"/>
            <w:shd w:fill="FFFFFF"/>
            <w:vAlign w:val="top"/>
          </w:tcPr>
          <w:p>
            <w:pPr>
              <w:spacing w:after="60" w:line="235" w:lineRule="auto"/>
            </w:pPr>
            <w:r>
              <w:rPr>
                <w:rFonts w:ascii="DejaVu Sans" w:hAnsi="DejaVu Sans"/>
                <w:sz w:val="18"/>
              </w:rPr>
              <w:t xml:space="preserve">Resolve generated/generic/known-raw calls to the same binding, typed arguments, target and selected graph/schema hashes</w:t>
            </w:r>
          </w:p>
        </w:tc>
        <w:tc>
          <w:tcPr>
            <w:tcW w:w="3988" w:type="dxa"/>
            <w:shd w:fill="FFFFFF"/>
            <w:vAlign w:val="top"/>
          </w:tcPr>
          <w:p>
            <w:pPr>
              <w:spacing w:after="60" w:line="235" w:lineRule="auto"/>
            </w:pPr>
            <w:r>
              <w:rPr>
                <w:rFonts w:ascii="DejaVu Sans" w:hAnsi="DejaVu Sans"/>
                <w:sz w:val="18"/>
              </w:rPr>
              <w:t xml:space="preserve">No alternate policy identity for an alias</w:t>
            </w:r>
          </w:p>
        </w:tc>
      </w:tr>
      <w:tr>
        <w:trPr>
          <w:cantSplit/>
        </w:trPr>
        <w:tc>
          <w:tcPr>
            <w:tcW w:w="2249" w:type="dxa"/>
            <w:shd w:fill="FFFFFF"/>
            <w:vAlign w:val="top"/>
          </w:tcPr>
          <w:p>
            <w:pPr>
              <w:spacing w:after="60" w:line="235" w:lineRule="auto"/>
            </w:pPr>
            <w:r>
              <w:rPr>
                <w:rFonts w:ascii="DejaVu Sans" w:hAnsi="DejaVu Sans"/>
                <w:sz w:val="18"/>
              </w:rPr>
              <w:t xml:space="preserve">IWireContractRegistry / IParcelCodec</w:t>
            </w:r>
          </w:p>
        </w:tc>
        <w:tc>
          <w:tcPr>
            <w:tcW w:w="3987" w:type="dxa"/>
            <w:shd w:fill="FFFFFF"/>
            <w:vAlign w:val="top"/>
          </w:tcPr>
          <w:p>
            <w:pPr>
              <w:spacing w:after="60" w:line="235" w:lineRule="auto"/>
            </w:pPr>
            <w:r>
              <w:rPr>
                <w:rFonts w:ascii="DejaVu Sans" w:hAnsi="DejaVu Sans"/>
                <w:sz w:val="18"/>
              </w:rPr>
              <w:t xml:space="preserve">Proven endpoint descriptor/version/hash, method code/flags and bounded request/response, handle and type codecs</w:t>
            </w:r>
          </w:p>
        </w:tc>
        <w:tc>
          <w:tcPr>
            <w:tcW w:w="3988" w:type="dxa"/>
            <w:shd w:fill="FFFFFF"/>
            <w:vAlign w:val="top"/>
          </w:tcPr>
          <w:p>
            <w:pPr>
              <w:spacing w:after="60" w:line="235" w:lineRule="auto"/>
            </w:pPr>
            <w:r>
              <w:rPr>
                <w:rFonts w:ascii="DejaVu Sans" w:hAnsi="DejaVu Sans"/>
                <w:sz w:val="18"/>
              </w:rPr>
              <w:t xml:space="preserve">Declaration order never proves a Binder transaction code</w:t>
            </w:r>
          </w:p>
        </w:tc>
      </w:tr>
      <w:tr>
        <w:trPr>
          <w:cantSplit/>
        </w:trPr>
        <w:tc>
          <w:tcPr>
            <w:tcW w:w="2249" w:type="dxa"/>
            <w:shd w:fill="FFFFFF"/>
            <w:vAlign w:val="top"/>
          </w:tcPr>
          <w:p>
            <w:pPr>
              <w:spacing w:after="60" w:line="235" w:lineRule="auto"/>
            </w:pPr>
            <w:r>
              <w:rPr>
                <w:rFonts w:ascii="DejaVu Sans" w:hAnsi="DejaVu Sans"/>
                <w:sz w:val="18"/>
              </w:rPr>
              <w:t xml:space="preserve">IGenericBinderTransactionEngine / IBinderTransport</w:t>
            </w:r>
          </w:p>
        </w:tc>
        <w:tc>
          <w:tcPr>
            <w:tcW w:w="3987" w:type="dxa"/>
            <w:shd w:fill="FFFFFF"/>
            <w:vAlign w:val="top"/>
          </w:tcPr>
          <w:p>
            <w:pPr>
              <w:spacing w:after="60" w:line="235" w:lineRule="auto"/>
            </w:pPr>
            <w:r>
              <w:rPr>
                <w:rFonts w:ascii="DejaVu Sans" w:hAnsi="DejaVu Sans"/>
                <w:sz w:val="18"/>
              </w:rPr>
              <w:t xml:space="preserve">Execute a verified typed transaction through the selected backend, observe deadlines/death/outcome and decode bounded output</w:t>
            </w:r>
          </w:p>
        </w:tc>
        <w:tc>
          <w:tcPr>
            <w:tcW w:w="3988" w:type="dxa"/>
            <w:shd w:fill="FFFFFF"/>
            <w:vAlign w:val="top"/>
          </w:tcPr>
          <w:p>
            <w:pPr>
              <w:spacing w:after="60" w:line="235" w:lineRule="auto"/>
            </w:pPr>
            <w:r>
              <w:rPr>
                <w:rFonts w:ascii="DejaVu Sans" w:hAnsi="DejaVu Sans"/>
                <w:sz w:val="18"/>
              </w:rPr>
              <w:t xml:space="preserve">No policy bypass, universal private introspection or automatic replay</w:t>
            </w:r>
          </w:p>
        </w:tc>
      </w:tr>
      <w:tr>
        <w:trPr>
          <w:cantSplit/>
        </w:trPr>
        <w:tc>
          <w:tcPr>
            <w:tcW w:w="2249" w:type="dxa"/>
            <w:shd w:fill="FFFFFF"/>
            <w:vAlign w:val="top"/>
          </w:tcPr>
          <w:p>
            <w:pPr>
              <w:spacing w:after="60" w:line="235" w:lineRule="auto"/>
            </w:pPr>
            <w:r>
              <w:rPr>
                <w:rFonts w:ascii="DejaVu Sans" w:hAnsi="DejaVu Sans"/>
                <w:sz w:val="18"/>
              </w:rPr>
              <w:t xml:space="preserve">IClientPolicyEvaluator / IAdmissionGate</w:t>
            </w:r>
          </w:p>
        </w:tc>
        <w:tc>
          <w:tcPr>
            <w:tcW w:w="3987" w:type="dxa"/>
            <w:shd w:fill="FFFFFF"/>
            <w:vAlign w:val="top"/>
          </w:tcPr>
          <w:p>
            <w:pPr>
              <w:spacing w:after="60" w:line="235" w:lineRule="auto"/>
            </w:pPr>
            <w:r>
              <w:rPr>
                <w:rFonts w:ascii="DejaVu Sans" w:hAnsi="DejaVu Sans"/>
                <w:sz w:val="18"/>
              </w:rPr>
              <w:t xml:space="preserve">Intersect per-client grant, wrapper restrictions, selected view, live backend/OS authority and approval/revision checks</w:t>
            </w:r>
          </w:p>
        </w:tc>
        <w:tc>
          <w:tcPr>
            <w:tcW w:w="3988" w:type="dxa"/>
            <w:shd w:fill="FFFFFF"/>
            <w:vAlign w:val="top"/>
          </w:tcPr>
          <w:p>
            <w:pPr>
              <w:spacing w:after="60" w:line="235" w:lineRule="auto"/>
            </w:pPr>
            <w:r>
              <w:rPr>
                <w:rFonts w:ascii="DejaVu Sans" w:hAnsi="DejaVu Sans"/>
                <w:sz w:val="18"/>
              </w:rPr>
              <w:t xml:space="preserve">Version availability never changes Deny/Ask/Allow</w:t>
            </w:r>
          </w:p>
        </w:tc>
      </w:tr>
      <w:tr>
        <w:trPr>
          <w:cantSplit/>
        </w:trPr>
        <w:tc>
          <w:tcPr>
            <w:tcW w:w="2249" w:type="dxa"/>
            <w:shd w:fill="FFFFFF"/>
            <w:vAlign w:val="top"/>
          </w:tcPr>
          <w:p>
            <w:pPr>
              <w:spacing w:after="60" w:line="235" w:lineRule="auto"/>
            </w:pPr>
            <w:r>
              <w:rPr>
                <w:rFonts w:ascii="DejaVu Sans" w:hAnsi="DejaVu Sans"/>
                <w:sz w:val="18"/>
              </w:rPr>
              <w:t xml:space="preserve">Avalonia view models</w:t>
            </w:r>
          </w:p>
        </w:tc>
        <w:tc>
          <w:tcPr>
            <w:tcW w:w="3987" w:type="dxa"/>
            <w:shd w:fill="FFFFFF"/>
            <w:vAlign w:val="top"/>
          </w:tcPr>
          <w:p>
            <w:pPr>
              <w:spacing w:after="60" w:line="235" w:lineRule="auto"/>
            </w:pPr>
            <w:r>
              <w:rPr>
                <w:rFonts w:ascii="DejaVu Sans" w:hAnsi="DejaVu Sans"/>
                <w:sz w:val="18"/>
              </w:rPr>
              <w:t xml:space="preserve">Full inventory plus availability/reason filters, resolving/stale indicators and owner remediation</w:t>
            </w:r>
          </w:p>
        </w:tc>
        <w:tc>
          <w:tcPr>
            <w:tcW w:w="3988" w:type="dxa"/>
            <w:shd w:fill="FFFFFF"/>
            <w:vAlign w:val="top"/>
          </w:tcPr>
          <w:p>
            <w:pPr>
              <w:spacing w:after="60" w:line="235" w:lineRule="auto"/>
            </w:pPr>
            <w:r>
              <w:rPr>
                <w:rFonts w:ascii="DejaVu Sans" w:hAnsi="DejaVu Sans"/>
                <w:sz w:val="18"/>
              </w:rPr>
              <w:t xml:space="preserve">No direct SQL, implicit approvals or app-specific decisions</w:t>
            </w:r>
          </w:p>
        </w:tc>
      </w:tr>
    </w:tbl>
    <w:p>
      <w:pPr>
        <w:spacing w:after="90" w:line="260" w:lineRule="auto"/>
      </w:pPr>
    </w:p>
    <w:p>
      <w:pPr>
        <w:pStyle w:val="Heading2"/>
        <w:keepNext/>
        <w:pageBreakBefore/>
        <w:spacing w:after="90" w:line="260" w:lineRule="auto"/>
      </w:pPr>
      <w:r>
        <w:rPr>
          <w:rFonts w:ascii="DejaVu Sans" w:hAnsi="DejaVu Sans"/>
          <w:b/>
          <w:sz w:val="25"/>
        </w:rPr>
        <w:t xml:space="preserve">Startup capability capture and atomic device view</w:t>
      </w:r>
    </w:p>
    <w:p>
      <w:pPr>
        <w:spacing w:after="90" w:line="260" w:lineRule="auto"/>
        <w:jc w:val="center"/>
      </w:pPr>
      <w:r>
        <w:drawing>
          <wp:inline distT="0" distB="0" distL="0" distR="0">
            <wp:extent cx="4031866" cy="7223760"/>
            <wp:docPr id="1" name="Startup capability capture and atomic device view" descr="Startup capability capture and atomic device view"/>
            <a:graphic>
              <a:graphicData uri="http://schemas.openxmlformats.org/drawingml/2006/picture">
                <pic:pic>
                  <pic:nvPicPr>
                    <pic:cNvPr id="0" name="design-1.png"/>
                    <pic:cNvPicPr/>
                  </pic:nvPicPr>
                  <pic:blipFill>
                    <a:blip r:embed="rIdDesign1005"/>
                    <a:stretch>
                      <a:fillRect/>
                    </a:stretch>
                  </pic:blipFill>
                  <pic:spPr>
                    <a:xfrm>
                      <a:off x="0" y="0"/>
                      <a:ext cx="4031866" cy="7223760"/>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authoritative editable Mermaid sources for all four diagrams are in design/sources and the portable bundle. The two inline source blocks later in this document follow the same files.</w:t>
      </w:r>
    </w:p>
    <w:p>
      <w:pPr>
        <w:pStyle w:val="Heading2"/>
        <w:keepNext/>
        <w:spacing w:after="90" w:line="260" w:lineRule="auto"/>
      </w:pPr>
      <w:r>
        <w:rPr>
          <w:rFonts w:ascii="DejaVu Sans" w:hAnsi="DejaVu Sans"/>
          <w:b/>
          <w:sz w:val="25"/>
        </w:rPr>
        <w:t xml:space="preserve">Generic Binder invocation and codecs</w:t>
      </w:r>
    </w:p>
    <w:p>
      <w:pPr>
        <w:spacing w:after="90" w:line="260" w:lineRule="auto"/>
      </w:pPr>
      <w:r>
        <w:rPr>
          <w:rFonts w:ascii="DejaVu Sans" w:hAnsi="DejaVu Sans"/>
          <w:sz w:val="21"/>
        </w:rPr>
        <w:t xml:space="preserve">Generated tools and binding.invoke use the same canonical dispatch planner and binding.invoke policy identity. They select a binding/type graph from the active resolved view, then require a verified wire contract before marshalling. The wire registry pins endpoint/descriptor, relevant interface/OEM version/hash evidence, actual transaction code, flags/one-way semantics, request/response codec schema and handle ownership constraints. Support generated proxies or schema-driven codecs only when the complete contract is proven. Source AIDL alone does not establish generated transaction codes, runtime class resolution, parcel layout or backend authority.</w:t>
      </w:r>
    </w:p>
    <w:p>
      <w:pPr>
        <w:spacing w:after="90" w:line="260" w:lineRule="auto"/>
      </w:pPr>
      <w:r>
        <w:rPr>
          <w:rFonts w:ascii="DejaVu Sans" w:hAnsi="DejaVu Sans"/>
          <w:sz w:val="21"/>
        </w:rPr>
        <w:t xml:space="preserve">The generic engine validates typed arguments and exact target constraints, bounds parcel sizes, nesting, arrays, file/handle lifetimes and output, then passes the immutable plan through policy/Ask/admission. Admission rechecks catalog, resolved-view and capability epochs alongside policy and backend identity. Marshal only the admitted plan; transact through IBinderTransport; decode and validate output against the pinned graph before release. Binder death, cancellation after dispatch and uncertain outcomes never trigger automatic write replay. These are architecture responsibilities and reference contracts, not a deployed Binder engine in this phase.</w:t>
      </w:r>
    </w:p>
    <w:p>
      <w:pPr>
        <w:spacing w:after="90" w:line="260" w:lineRule="auto"/>
      </w:pPr>
      <w:r>
        <w:rPr>
          <w:rFonts w:ascii="DejaVu Sans" w:hAnsi="DejaVu Sans"/>
          <w:sz w:val="21"/>
        </w:rPr>
        <w:t xml:space="preserve">Known raw transactions must decode to the same binding/schema and satisfy binding.invoke plus restrictive binder.transact rules. When schema/codec proof is missing, typed invocation stays unsupported; an explicitly authorized raw low-level operation remains a separate broad service authority with closed connection/descriptor/code/flag/handle bounds. A raw grant cannot substitute for a known binding grant. Android's actual authority still decides whether the transaction can execute. No target application must embed instrumentation for generic ADB screen/tap control; optional Avalonia Android Runtime/Protocol stays a separate adapter, not desktop Server/Kestrel.</w:t>
      </w:r>
    </w:p>
    <w:p>
      <w:pPr>
        <w:pStyle w:val="Heading2"/>
        <w:keepNext/>
        <w:pageBreakBefore/>
        <w:spacing w:after="90" w:line="260" w:lineRule="auto"/>
      </w:pPr>
      <w:r>
        <w:rPr>
          <w:rFonts w:ascii="DejaVu Sans" w:hAnsi="DejaVu Sans"/>
          <w:b/>
          <w:sz w:val="25"/>
        </w:rPr>
        <w:t xml:space="preserve">Resolved view and policy-bound generic Binder dispatch</w:t>
      </w:r>
    </w:p>
    <w:p>
      <w:pPr>
        <w:spacing w:after="90" w:line="260" w:lineRule="auto"/>
        <w:jc w:val="center"/>
      </w:pPr>
      <w:r>
        <w:drawing>
          <wp:inline distT="0" distB="0" distL="0" distR="0">
            <wp:extent cx="6400800" cy="5611368"/>
            <wp:docPr id="2" name="Resolved view and policy-bound generic Binder dispatch" descr="Resolved view and policy-bound generic Binder dispatch"/>
            <a:graphic>
              <a:graphicData uri="http://schemas.openxmlformats.org/drawingml/2006/picture">
                <pic:pic>
                  <pic:nvPicPr>
                    <pic:cNvPr id="0" name="design-2.png"/>
                    <pic:cNvPicPr/>
                  </pic:nvPicPr>
                  <pic:blipFill>
                    <a:blip r:embed="rIdDesign1006"/>
                    <a:stretch>
                      <a:fillRect/>
                    </a:stretch>
                  </pic:blipFill>
                  <pic:spPr>
                    <a:xfrm>
                      <a:off x="0" y="0"/>
                      <a:ext cx="6400800" cy="5611368"/>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Atomic activation, invalidation and refresh</w:t>
      </w:r>
    </w:p>
    <w:p>
      <w:pPr>
        <w:spacing w:after="90" w:line="260" w:lineRule="auto"/>
      </w:pPr>
      <w:r>
        <w:rPr>
          <w:rFonts w:ascii="DejaVu Sans" w:hAnsi="DejaVu Sans"/>
          <w:sz w:val="21"/>
        </w:rPr>
        <w:t xml:space="preserve">Capture facts under a capability epoch; build the entire binding/type result set privately against pinned catalog and overlay generations. Validate complete inventory membership, variant identities and type dependencies before sealing. Activate one immutable snapshot pointer in a single transaction only if catalog, profile/target/device identity, capability epoch and expected view generation still match. A failed build/CAS retains the previous snapshot as historical evidence; it never exposes a partial mixture. Snapshot IDs/ETags and pagination cursors bind the complete view and generation. An available row cannot depend on an unavailable, unknown or mismatched required type in that same view.</w:t>
      </w:r>
    </w:p>
    <w:p>
      <w:pPr>
        <w:spacing w:after="90" w:line="260" w:lineRule="auto"/>
      </w:pPr>
      <w:r>
        <w:rPr>
          <w:rFonts w:ascii="DejaVu Sans" w:hAnsi="DejaVu Sans"/>
          <w:sz w:val="21"/>
        </w:rPr>
        <w:t xml:space="preserve">Startup, reconnect/device replacement, boot/session or Android-user change, OS/build/OEM update, SDK extension/Mainline/module change, supported interface version/hash or reachability change, backend capability change and catalog/type/overlay publication invalidate affected active views and pending approvals. Mark the view stale immediately; no new device call may use it. Keep the full catalog accessible and distinguish Resolving/Stale from MCP listener health and ADB connection health. Refresh from supported backend events, startup/reconnect and explicit owner requests; this introduces no app-specific monitoring scheduler. Where a platform cannot notify a change, revalidate the relevant observations at call admission rather than treating cached availability as timeless authority. Existing live permission/policy checks remain mandatory and separate.</w:t>
      </w:r>
    </w:p>
    <w:p>
      <w:pPr>
        <w:spacing w:after="90" w:line="260" w:lineRule="auto"/>
      </w:pPr>
      <w:r>
        <w:rPr>
          <w:rFonts w:ascii="DejaVu Sans" w:hAnsi="DejaVu Sans"/>
          <w:sz w:val="21"/>
        </w:rPr>
        <w:t xml:space="preserve">The executable device resolver/store is an offline reference using fixture observations, with no Android/HTTP service or real probes. The API contract accepts refresh requests for configured targets but never accepts a remote caller's asserted facts or availability as authority. Current-view reads return a small header/status; entries are paginated at the administration API maximum500, pinned to the complete immutable snapshot. The full snapshot payload is internal storage/reference data, not one unbounded HTTP response. The existing immutable import/local override/CAS contract remains in force; user edits cannot manufacture observed device evidence. Namespace/package file re-sharding remains a proposal.</w:t>
      </w:r>
    </w:p>
    <w:p>
      <w:pPr>
        <w:pStyle w:val="Heading2"/>
        <w:keepNext/>
        <w:spacing w:after="90" w:line="260" w:lineRule="auto"/>
      </w:pPr>
      <w:r>
        <w:rPr>
          <w:rFonts w:ascii="DejaVu Sans" w:hAnsi="DejaVu Sans"/>
          <w:b/>
          <w:sz w:val="25"/>
        </w:rPr>
        <w:t xml:space="preserve">Source projection, capture epoch and storage contract</w:t>
      </w:r>
    </w:p>
    <w:p>
      <w:pPr>
        <w:spacing w:after="90" w:line="260" w:lineRule="auto"/>
      </w:pPr>
      <w:r>
        <w:rPr>
          <w:rFonts w:ascii="DejaVu Sans" w:hAnsi="DejaVu Sans"/>
          <w:sz w:val="21"/>
        </w:rPr>
        <w:t xml:space="preserve">The executable producer now retains all versioned SDK-index records, including historical/future entries. A native current-target flag is used only for current annotation/JVM-equivalence lookup; it is never a claim about a running device or installed SDK extensions. The catalog projection keeps immutable source declarations intact while enriching derived registry entries with proven same-snapshot TypeReference IDs and versioned inventory variants. Each variant uses the shared dispatch contract digest and pins its containing/argument/return/structured-field type schemas. SDK lifecycle ranges and declared extension alternatives are source-backed; a standalone occurrence labeled37.2 emits platform_point:[37,2]. Matching that point is positive applicability evidence; older, newer or unknown minors remain unknown with PLATFORM_APPLICABILITY_UNPROVEN. A source point never fabricates a removed bound. Conflicting explicit since/sdk0 evidence is quarantined with its raw lifecycle metadata. Unknown or ambiguous types/lifetimes remain visible, and a proven version exclusion remains unavailable even when another schema fact is unknown. The complete registry_inventory is exported with a versioned manifest and independently reconciled against Entry hashes, source evidence, type hashes and stream bytes; absent or partial legacy inventories cannot initialize a startup view.</w:t>
      </w:r>
    </w:p>
    <w:p>
      <w:pPr>
        <w:spacing w:after="90" w:line="260" w:lineRule="auto"/>
      </w:pPr>
      <w:r>
        <w:rPr>
          <w:rFonts w:ascii="DejaVu Sans" w:hAnsi="DejaVu Sans"/>
          <w:sz w:val="21"/>
        </w:rPr>
        <w:t xml:space="preserve">Facts are captured with capability_epoch and observed_at. The resolver rejects epoch relabeling; publication also verifies the exact facts hash, scope and current epoch. A non-authoritative positive module/interface observation remains unknown. Malformed intervals are quarantined with APPLICABILITY_MALFORMED without discarding unrelated inventory. Every available root/type graph has graph_digest over the sorted transitive root/type(entry_id,contract_hash) closure; publication recomputes it. The final schema_hash is SHA256 of canonical {schema_format:closure3, contract_hash:C, graph_digest:G}. A dependent type change therefore invalidates prior binding/schema grants without recursive hash cycles. Raw lifecycle/annotation header text stays in provenance and does not affect the semantic type digest. This is schema identity, not proof of a Binder codec or permission.</w:t>
      </w:r>
    </w:p>
    <w:p>
      <w:pPr>
        <w:spacing w:after="90" w:line="260" w:lineRule="auto"/>
      </w:pPr>
      <w:r>
        <w:rPr>
          <w:rFonts w:ascii="DejaVu Sans" w:hAnsi="DejaVu Sans"/>
          <w:sz w:val="21"/>
        </w:rPr>
        <w:t xml:space="preserve">Catalog inventory DeviceResolution2.1.0 adds explicit point evidence. Resolved DeviceView3.0.0 requires the inventory digest, base contract_hash, transitive graph_digest and final schema_hash; it supersedes earlier unimplemented resolved drafts. Older draft snapshots remain historical and cannot be activated silently. Entry1.1 and catalog storage1.2 remain separate contracts; OpenAPI specification version is1.4.0. Offline generated aliases can consume the fresh trusted-store view and use exactly the selected generic schema and graph digest; the complete inventory remains discoverable. They remain default-deny and unavailable for execution until live authority and verified wire/codec contracts pass the shared admission gate.</w:t>
      </w:r>
    </w:p>
    <w:p>
      <w:pPr>
        <w:spacing w:after="90" w:line="260" w:lineRule="auto"/>
      </w:pPr>
      <w:r>
        <w:rPr>
          <w:rFonts w:ascii="DejaVu Sans" w:hAnsi="DejaVu Sans"/>
          <w:sz w:val="21"/>
        </w:rPr>
        <w:t xml:space="preserve">The executable configuration DDL stores immutable facts, staged/sealed device_views and device_view_entries, a scoped generation/epoch/catalog/overlay CAS pointer and append-only invalidation reasons. A catalog-pinned inventory_sha256 and expected_inventory_count reject substituted and partial views. The digest hashes the complete canonical sorted inventory JSONL, including variant identities. The trusted loader checks this digest before sealing immutable inventory sets/members. Publication recomputes resolution from the pinned inventory and exact facts, rejecting altered membership, selected contracts, dependencies or states. SQLite also checks complete membership and selected base-contract/type pins. Core SQLite does not supply SHA256; content hashing belongs to the checked loader. The strong dv2 status ETag includes the inventory digest as well as scope/generation/epoch/catalog/overlay pins. SQLite JSON/normalized columns agree; active/pinned snapshots cannot be collected. binding_availability is a read-only fresh projection, not an independent cache authority. Versioned binding_wire_contracts stores interface version/hash, transaction code, flags/oneway and codec/proof evidence separately from existence. device_view_storage is an offline transaction reference; Android collectors, Binder execution, HTTP/MCP service deployment and actual OS permission grants remain runtime integration gates.</w:t>
      </w:r>
    </w:p>
    <w:p>
      <w:pPr>
        <w:pStyle w:val="Heading2"/>
        <w:keepNext/>
        <w:spacing w:after="90" w:line="260" w:lineRule="auto"/>
      </w:pPr>
      <w:r>
        <w:rPr>
          <w:rFonts w:ascii="DejaVu Sans" w:hAnsi="DejaVu Sans"/>
          <w:b/>
          <w:sz w:val="25"/>
        </w:rPr>
        <w:t xml:space="preserve">Effective overlays, semantic identity and bounded execution</w:t>
      </w:r>
    </w:p>
    <w:p>
      <w:pPr>
        <w:spacing w:after="90" w:line="260" w:lineRule="auto"/>
      </w:pPr>
      <w:r>
        <w:rPr>
          <w:rFonts w:ascii="DejaVu Sans" w:hAnsi="DejaVu Sans"/>
          <w:sz w:val="21"/>
        </w:rPr>
        <w:t xml:space="preserve">The startup coordinator uses effective_device_inventory to capture the selected immutable registry and all local overlays in one read transaction. Full inventory includes local additions and tombstones as well as suppressed/conflicting rows. Catalog exposure state is separate from version existence and per-client grants: suppressing a type does not claim it ceased to exist, but known typed dispatch through that type is denied. New local entries without imported applicability evidence remain unknown. Overridden fields update the enclosing structured type contract and dependent schema closure. Capture pins registry/overlay generations, local revisions and canonical effective document hashes; generation changes invalidate the view. Generated aliases and generic/known-raw plans use the same selected schema, type graph and current effective metadata. A stale metadata/document pin rejects even when a metadata-only edit leaves the semantic schema hash unchanged.</w:t>
      </w:r>
    </w:p>
    <w:p>
      <w:pPr>
        <w:spacing w:after="90" w:line="260" w:lineRule="auto"/>
      </w:pPr>
      <w:r>
        <w:rPr>
          <w:rFonts w:ascii="DejaVu Sans" w:hAnsi="DejaVu Sans"/>
          <w:sz w:val="21"/>
        </w:rPr>
        <w:t xml:space="preserve">Semantic contract format3 includes normalized type parameters, declared supertypes, parameter directions, known wire type annotations, inherited oneway and HIDL result types. Type-reference proof prose, source revisions and raw lifecycle headers stay outside semantic shape hashes. Unknown syntax, generic instantiation, imports and wire layouts remain explicit. Missing or unknown Entry.kind cannot be guessed into an invocable binding. Structured fields/enumerants and type nodes remain in inventory, with method aliases generated only for actual binding kinds.</w:t>
      </w:r>
    </w:p>
    <w:p>
      <w:pPr>
        <w:spacing w:after="90" w:line="260" w:lineRule="auto"/>
      </w:pPr>
      <w:r>
        <w:rPr>
          <w:rFonts w:ascii="DejaVu Sans" w:hAnsi="DejaVu Sans"/>
          <w:sz w:val="21"/>
        </w:rPr>
        <w:t xml:space="preserve">The full offline Python checkpoint projected/resolved 799,527 historical008 entries using fixture37.2 facts: 432,590 available and366,937 unknown, including392,959 bindings and39,631 types with positive applicability evidence. This is neither an observed device nor a new catalog publication. Resolution/validation took565.6seconds and the whole desktop probe peaked at4.30GiB; it does not meet the headless runtime memory targets below. The preserved checkpoint predates the subsequent format3/overlay delta. Runtime design therefore uses indexed SQLite staging and bounded batches rather than materializing all documents: evaluate version variants, maintain available dependency adjacency and reverse worklists, traverse coherent type closures with bounded scratch storage, stream canonical hash input, then seal and activate the complete snapshot. The executable DDL includes device_type_edges and reverse indexes. UI/listener health remains separate from resolving readiness; no call is admitted through a partial/stale view. Android latency/memory measurements remain a release gate.</w:t>
      </w:r>
    </w:p>
    <w:p>
      <w:pPr>
        <w:pStyle w:val="Heading2"/>
        <w:keepNext/>
        <w:spacing w:after="90" w:line="260" w:lineRule="auto"/>
      </w:pPr>
      <w:r>
        <w:rPr>
          <w:rFonts w:ascii="DejaVu Sans" w:hAnsi="DejaVu Sans"/>
          <w:b/>
          <w:sz w:val="25"/>
        </w:rPr>
        <w:t xml:space="preserve">Requirement and acceptance traceability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ID</w:t>
            </w:r>
          </w:p>
        </w:tc>
        <w:tc>
          <w:tcPr>
            <w:tcW w:w="3987" w:type="dxa"/>
            <w:shd w:fill="E4EDF5"/>
            <w:vAlign w:val="top"/>
          </w:tcPr>
          <w:p>
            <w:pPr>
              <w:spacing w:after="60" w:line="235" w:lineRule="auto"/>
            </w:pPr>
            <w:r>
              <w:rPr>
                <w:rFonts w:ascii="DejaVu Sans" w:hAnsi="DejaVu Sans"/>
                <w:b/>
                <w:sz w:val="18"/>
              </w:rPr>
              <w:t xml:space="preserve">Requirement and acceptance</w:t>
            </w:r>
          </w:p>
        </w:tc>
        <w:tc>
          <w:tcPr>
            <w:tcW w:w="3988" w:type="dxa"/>
            <w:shd w:fill="E4EDF5"/>
            <w:vAlign w:val="top"/>
          </w:tcPr>
          <w:p>
            <w:pPr>
              <w:spacing w:after="60" w:line="235" w:lineRule="auto"/>
            </w:pPr>
            <w:r>
              <w:rPr>
                <w:rFonts w:ascii="DejaVu Sans" w:hAnsi="DejaVu Sans"/>
                <w:b/>
                <w:sz w:val="18"/>
              </w:rPr>
              <w:t xml:space="preserve">Evidence</w:t>
            </w:r>
          </w:p>
        </w:tc>
      </w:tr>
      <w:tr>
        <w:trPr>
          <w:cantSplit/>
        </w:trPr>
        <w:tc>
          <w:tcPr>
            <w:tcW w:w="2249" w:type="dxa"/>
            <w:shd w:fill="FFFFFF"/>
            <w:vAlign w:val="top"/>
          </w:tcPr>
          <w:p>
            <w:pPr>
              <w:spacing w:after="60" w:line="235" w:lineRule="auto"/>
            </w:pPr>
            <w:r>
              <w:rPr>
                <w:rFonts w:ascii="DejaVu Sans" w:hAnsi="DejaVu Sans"/>
                <w:sz w:val="18"/>
              </w:rPr>
              <w:t xml:space="preserve">FR-DEV-01 / AC-DEV-01</w:t>
            </w:r>
          </w:p>
        </w:tc>
        <w:tc>
          <w:tcPr>
            <w:tcW w:w="3987" w:type="dxa"/>
            <w:shd w:fill="FFFFFF"/>
            <w:vAlign w:val="top"/>
          </w:tcPr>
          <w:p>
            <w:pPr>
              <w:spacing w:after="60" w:line="235" w:lineRule="auto"/>
            </w:pPr>
            <w:r>
              <w:rPr>
                <w:rFonts w:ascii="DejaVu Sans" w:hAnsi="DejaVu Sans"/>
                <w:sz w:val="18"/>
              </w:rPr>
              <w:t xml:space="preserve">Startup resolves bindings and types for the running platform major/minor; unavailable/unknown entities remain in full inventory</w:t>
            </w:r>
          </w:p>
        </w:tc>
        <w:tc>
          <w:tcPr>
            <w:tcW w:w="3988" w:type="dxa"/>
            <w:shd w:fill="FFFFFF"/>
            <w:vAlign w:val="top"/>
          </w:tcPr>
          <w:p>
            <w:pPr>
              <w:spacing w:after="60" w:line="235" w:lineRule="auto"/>
            </w:pPr>
            <w:r>
              <w:rPr>
                <w:rFonts w:ascii="DejaVu Sans" w:hAnsi="DejaVu Sans"/>
                <w:sz w:val="18"/>
              </w:rPr>
              <w:t xml:space="preserve">DeviceResolution2.1.0 / DeviceView3.0.0, full producer/Entry/inventory/resolver/SQLite fixtures and genuine-index lifecycle audit</w:t>
            </w:r>
          </w:p>
        </w:tc>
      </w:tr>
      <w:tr>
        <w:trPr>
          <w:cantSplit/>
        </w:trPr>
        <w:tc>
          <w:tcPr>
            <w:tcW w:w="2249" w:type="dxa"/>
            <w:shd w:fill="FFFFFF"/>
            <w:vAlign w:val="top"/>
          </w:tcPr>
          <w:p>
            <w:pPr>
              <w:spacing w:after="60" w:line="235" w:lineRule="auto"/>
            </w:pPr>
            <w:r>
              <w:rPr>
                <w:rFonts w:ascii="DejaVu Sans" w:hAnsi="DejaVu Sans"/>
                <w:sz w:val="18"/>
              </w:rPr>
              <w:t xml:space="preserve">FR-DEV-02 / AC-DEV-02</w:t>
            </w:r>
          </w:p>
        </w:tc>
        <w:tc>
          <w:tcPr>
            <w:tcW w:w="3987" w:type="dxa"/>
            <w:shd w:fill="FFFFFF"/>
            <w:vAlign w:val="top"/>
          </w:tcPr>
          <w:p>
            <w:pPr>
              <w:spacing w:after="60" w:line="235" w:lineRule="auto"/>
            </w:pPr>
            <w:r>
              <w:rPr>
                <w:rFonts w:ascii="DejaVu Sans" w:hAnsi="DejaVu Sans"/>
                <w:sz w:val="18"/>
              </w:rPr>
              <w:t xml:space="preserve">Extension/module/OEM/interface facts refine availability without API-level guesses or permission conflation</w:t>
            </w:r>
          </w:p>
        </w:tc>
        <w:tc>
          <w:tcPr>
            <w:tcW w:w="3988" w:type="dxa"/>
            <w:shd w:fill="FFFFFF"/>
            <w:vAlign w:val="top"/>
          </w:tcPr>
          <w:p>
            <w:pPr>
              <w:spacing w:after="60" w:line="235" w:lineRule="auto"/>
            </w:pPr>
            <w:r>
              <w:rPr>
                <w:rFonts w:ascii="DejaVu Sans" w:hAnsi="DejaVu Sans"/>
                <w:sz w:val="18"/>
              </w:rPr>
              <w:t xml:space="preserve">Collector contract; extension alternatives, module/OEM, interface hash/denial fixtures</w:t>
            </w:r>
          </w:p>
        </w:tc>
      </w:tr>
      <w:tr>
        <w:trPr>
          <w:cantSplit/>
        </w:trPr>
        <w:tc>
          <w:tcPr>
            <w:tcW w:w="2249" w:type="dxa"/>
            <w:shd w:fill="FFFFFF"/>
            <w:vAlign w:val="top"/>
          </w:tcPr>
          <w:p>
            <w:pPr>
              <w:spacing w:after="60" w:line="235" w:lineRule="auto"/>
            </w:pPr>
            <w:r>
              <w:rPr>
                <w:rFonts w:ascii="DejaVu Sans" w:hAnsi="DejaVu Sans"/>
                <w:sz w:val="18"/>
              </w:rPr>
              <w:t xml:space="preserve">TR-DEV-01 / AC-DEV-03</w:t>
            </w:r>
          </w:p>
        </w:tc>
        <w:tc>
          <w:tcPr>
            <w:tcW w:w="3987" w:type="dxa"/>
            <w:shd w:fill="FFFFFF"/>
            <w:vAlign w:val="top"/>
          </w:tcPr>
          <w:p>
            <w:pPr>
              <w:spacing w:after="60" w:line="235" w:lineRule="auto"/>
            </w:pPr>
            <w:r>
              <w:rPr>
                <w:rFonts w:ascii="DejaVu Sans" w:hAnsi="DejaVu Sans"/>
                <w:sz w:val="18"/>
              </w:rPr>
              <w:t xml:space="preserve">One coherent type graph; missing/ambiguous/removed required types cannot yield an available binding; recursive types supported</w:t>
            </w:r>
          </w:p>
        </w:tc>
        <w:tc>
          <w:tcPr>
            <w:tcW w:w="3988" w:type="dxa"/>
            <w:shd w:fill="FFFFFF"/>
            <w:vAlign w:val="top"/>
          </w:tcPr>
          <w:p>
            <w:pPr>
              <w:spacing w:after="60" w:line="235" w:lineRule="auto"/>
            </w:pPr>
            <w:r>
              <w:rPr>
                <w:rFonts w:ascii="DejaVu Sans" w:hAnsi="DejaVu Sans"/>
                <w:sz w:val="18"/>
              </w:rPr>
              <w:t xml:space="preserve">Resolver dependency, schema mismatch, ambiguity and cycle fixtures</w:t>
            </w:r>
          </w:p>
        </w:tc>
      </w:tr>
      <w:tr>
        <w:trPr>
          <w:cantSplit/>
        </w:trPr>
        <w:tc>
          <w:tcPr>
            <w:tcW w:w="2249" w:type="dxa"/>
            <w:shd w:fill="FFFFFF"/>
            <w:vAlign w:val="top"/>
          </w:tcPr>
          <w:p>
            <w:pPr>
              <w:spacing w:after="60" w:line="235" w:lineRule="auto"/>
            </w:pPr>
            <w:r>
              <w:rPr>
                <w:rFonts w:ascii="DejaVu Sans" w:hAnsi="DejaVu Sans"/>
                <w:sz w:val="18"/>
              </w:rPr>
              <w:t xml:space="preserve">TR-DEV-02 / AC-DEV-04</w:t>
            </w:r>
          </w:p>
        </w:tc>
        <w:tc>
          <w:tcPr>
            <w:tcW w:w="3987" w:type="dxa"/>
            <w:shd w:fill="FFFFFF"/>
            <w:vAlign w:val="top"/>
          </w:tcPr>
          <w:p>
            <w:pPr>
              <w:spacing w:after="60" w:line="235" w:lineRule="auto"/>
            </w:pPr>
            <w:r>
              <w:rPr>
                <w:rFonts w:ascii="DejaVu Sans" w:hAnsi="DejaVu Sans"/>
                <w:sz w:val="18"/>
              </w:rPr>
              <w:t xml:space="preserve">Atomic complete activation and generation/epoch CAS; no partial view; stale/cross-target snapshots reject</w:t>
            </w:r>
          </w:p>
        </w:tc>
        <w:tc>
          <w:tcPr>
            <w:tcW w:w="3988" w:type="dxa"/>
            <w:shd w:fill="FFFFFF"/>
            <w:vAlign w:val="top"/>
          </w:tcPr>
          <w:p>
            <w:pPr>
              <w:spacing w:after="60" w:line="235" w:lineRule="auto"/>
            </w:pPr>
            <w:r>
              <w:rPr>
                <w:rFonts w:ascii="DejaVu Sans" w:hAnsi="DejaVu Sans"/>
                <w:sz w:val="18"/>
              </w:rPr>
              <w:t xml:space="preserve">Executable device_view_storage SQLite CAS/invalidation/count/type-graph fixtures; sealed view tables and fresh projections</w:t>
            </w:r>
          </w:p>
        </w:tc>
      </w:tr>
      <w:tr>
        <w:trPr>
          <w:cantSplit/>
        </w:trPr>
        <w:tc>
          <w:tcPr>
            <w:tcW w:w="2249" w:type="dxa"/>
            <w:shd w:fill="FFFFFF"/>
            <w:vAlign w:val="top"/>
          </w:tcPr>
          <w:p>
            <w:pPr>
              <w:spacing w:after="60" w:line="235" w:lineRule="auto"/>
            </w:pPr>
            <w:r>
              <w:rPr>
                <w:rFonts w:ascii="DejaVu Sans" w:hAnsi="DejaVu Sans"/>
                <w:sz w:val="18"/>
              </w:rPr>
              <w:t xml:space="preserve">FR-BIND-01 / AC-BIND-01</w:t>
            </w:r>
          </w:p>
        </w:tc>
        <w:tc>
          <w:tcPr>
            <w:tcW w:w="3987" w:type="dxa"/>
            <w:shd w:fill="FFFFFF"/>
            <w:vAlign w:val="top"/>
          </w:tcPr>
          <w:p>
            <w:pPr>
              <w:spacing w:after="60" w:line="235" w:lineRule="auto"/>
            </w:pPr>
            <w:r>
              <w:rPr>
                <w:rFonts w:ascii="DejaVu Sans" w:hAnsi="DejaVu Sans"/>
                <w:sz w:val="18"/>
              </w:rPr>
              <w:t xml:space="preserve">Generic Binder engine uses proven wire/codec contracts and the shared canonical policy plan; unknown wire stays unsupported</w:t>
            </w:r>
          </w:p>
        </w:tc>
        <w:tc>
          <w:tcPr>
            <w:tcW w:w="3988" w:type="dxa"/>
            <w:shd w:fill="FFFFFF"/>
            <w:vAlign w:val="top"/>
          </w:tcPr>
          <w:p>
            <w:pPr>
              <w:spacing w:after="60" w:line="235" w:lineRule="auto"/>
            </w:pPr>
            <w:r>
              <w:rPr>
                <w:rFonts w:ascii="DejaVu Sans" w:hAnsi="DejaVu Sans"/>
                <w:sz w:val="18"/>
              </w:rPr>
              <w:t xml:space="preserve">Existing policy/known-raw fixtures plus wire-contract planning specification</w:t>
            </w:r>
          </w:p>
        </w:tc>
      </w:tr>
      <w:tr>
        <w:trPr>
          <w:cantSplit/>
        </w:trPr>
        <w:tc>
          <w:tcPr>
            <w:tcW w:w="2249" w:type="dxa"/>
            <w:shd w:fill="FFFFFF"/>
            <w:vAlign w:val="top"/>
          </w:tcPr>
          <w:p>
            <w:pPr>
              <w:spacing w:after="60" w:line="235" w:lineRule="auto"/>
            </w:pPr>
            <w:r>
              <w:rPr>
                <w:rFonts w:ascii="DejaVu Sans" w:hAnsi="DejaVu Sans"/>
                <w:sz w:val="18"/>
              </w:rPr>
              <w:t xml:space="preserve">TR-DEV-03 / AC-DEV-05</w:t>
            </w:r>
          </w:p>
        </w:tc>
        <w:tc>
          <w:tcPr>
            <w:tcW w:w="3987" w:type="dxa"/>
            <w:shd w:fill="FFFFFF"/>
            <w:vAlign w:val="top"/>
          </w:tcPr>
          <w:p>
            <w:pPr>
              <w:spacing w:after="60" w:line="235" w:lineRule="auto"/>
            </w:pPr>
            <w:r>
              <w:rPr>
                <w:rFonts w:ascii="DejaVu Sans" w:hAnsi="DejaVu Sans"/>
                <w:sz w:val="18"/>
              </w:rPr>
              <w:t xml:space="preserve">Relevant capability/catalog changes invalidate and refresh the view; availability never grants OS or client authority</w:t>
            </w:r>
          </w:p>
        </w:tc>
        <w:tc>
          <w:tcPr>
            <w:tcW w:w="3988" w:type="dxa"/>
            <w:shd w:fill="FFFFFF"/>
            <w:vAlign w:val="top"/>
          </w:tcPr>
          <w:p>
            <w:pPr>
              <w:spacing w:after="60" w:line="235" w:lineRule="auto"/>
            </w:pPr>
            <w:r>
              <w:rPr>
                <w:rFonts w:ascii="DejaVu Sans" w:hAnsi="DejaVu Sans"/>
                <w:sz w:val="18"/>
              </w:rPr>
              <w:t xml:space="preserve">Event/invalidation contract and permission-separation fixtures</w:t>
            </w:r>
          </w:p>
        </w:tc>
      </w:tr>
    </w:tbl>
    <w:p>
      <w:pPr>
        <w:spacing w:after="90" w:line="260" w:lineRule="auto"/>
      </w:pPr>
    </w:p>
    <w:p>
      <w:pPr>
        <w:spacing w:after="90" w:line="260" w:lineRule="auto"/>
      </w:pPr>
      <w:r>
        <w:rPr>
          <w:rFonts w:ascii="DejaVu Sans" w:hAnsi="DejaVu Sans"/>
          <w:sz w:val="21"/>
        </w:rPr>
        <w:t xml:space="preserve">Retain every earlier requirement: Avalonia12, SQLite configuration/client mapping and logging, persistent headless MCP, optional boot and truthful AppBar/status, separate ADB health, paired same-device ADB and host loopback forwarding, on-demand screen/tap, optional Android RemoteControl, all-source inventory/provenance, CRUD/local overrides and future compatibility. No deployment, device/security change or source-corpus completeness claim is made by these additions. Round011 independently assessed design95/95, contracts93/93, extractor94/92 and overall93/84 (NOT_READY). It verified the prior artifact fixes and found point-applicability/membership defects plus lower-severity parser/contract gaps. The corrected candidate now has explicit point evidence, digest-pinned membership and transitive schema identity; these later changes require fresh independent review; no98/98 agreement is claimed.</w:t>
      </w:r>
    </w:p>
    <w:p>
      <w:pPr>
        <w:pStyle w:val="Heading1"/>
        <w:keepNext/>
        <w:spacing w:after="90" w:line="260" w:lineRule="auto"/>
      </w:pPr>
      <w:r>
        <w:rPr>
          <w:rFonts w:ascii="DejaVu Sans" w:hAnsi="DejaVu Sans"/>
          <w:b/>
          <w:sz w:val="30"/>
        </w:rPr>
        <w:t xml:space="preserve">19 Acceptance tests and delivery sequence</w:t>
      </w:r>
    </w:p>
    <w:p>
      <w:pPr>
        <w:spacing w:after="90" w:line="260" w:lineRule="auto"/>
      </w:pPr>
      <w:r>
        <w:rPr>
          <w:rFonts w:ascii="DejaVu Sans" w:hAnsi="DejaVu Sans"/>
          <w:sz w:val="21"/>
        </w:rPr>
        <w:t xml:space="preserve">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Test area</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Policy properties</w:t>
            </w:r>
          </w:p>
        </w:tc>
        <w:tc>
          <w:tcPr>
            <w:tcW w:w="7668" w:type="dxa"/>
            <w:shd w:fill="FFFFFF"/>
            <w:vAlign w:val="top"/>
          </w:tcPr>
          <w:p>
            <w:pPr>
              <w:spacing w:after="60" w:line="235" w:lineRule="auto"/>
            </w:pPr>
            <w:r>
              <w:rPr>
                <w:rFonts w:ascii="DejaVu Sans" w:hAnsi="DejaVu Sans"/>
                <w:sz w:val="18"/>
              </w:rPr>
              <w:t xml:space="preserve">Unknown client/tool/schema, empty scopes and unknown constraint keys deny. Global deny dominates. Ask never widens scope. Output fields and pagination remain constrained.</w:t>
            </w:r>
          </w:p>
        </w:tc>
      </w:tr>
      <w:tr>
        <w:trPr>
          <w:cantSplit/>
        </w:trPr>
        <w:tc>
          <w:tcPr>
            <w:tcW w:w="2556" w:type="dxa"/>
            <w:shd w:fill="FFFFFF"/>
            <w:vAlign w:val="top"/>
          </w:tcPr>
          <w:p>
            <w:pPr>
              <w:spacing w:after="60" w:line="235" w:lineRule="auto"/>
            </w:pPr>
            <w:r>
              <w:rPr>
                <w:rFonts w:ascii="DejaVu Sans" w:hAnsi="DejaVu Sans"/>
                <w:sz w:val="18"/>
              </w:rPr>
              <w:t xml:space="preserve">Approval binding</w:t>
            </w:r>
          </w:p>
        </w:tc>
        <w:tc>
          <w:tcPr>
            <w:tcW w:w="7668" w:type="dxa"/>
            <w:shd w:fill="FFFFFF"/>
            <w:vAlign w:val="top"/>
          </w:tcPr>
          <w:p>
            <w:pPr>
              <w:spacing w:after="60" w:line="235" w:lineRule="auto"/>
            </w:pPr>
            <w:r>
              <w:rPr>
                <w:rFonts w:ascii="DejaVu Sans" w:hAnsi="DejaVu Sans"/>
                <w:sz w:val="18"/>
              </w:rPr>
              <w:t xml:space="preserve">Changing any argument, target, output field, credential epoch, policy revision or schema invalidates approval. Concurrent double use admits once. Expiry survives clock rollback; restart invalidates all approvals.</w:t>
            </w:r>
          </w:p>
        </w:tc>
      </w:tr>
      <w:tr>
        <w:trPr>
          <w:cantSplit/>
        </w:trPr>
        <w:tc>
          <w:tcPr>
            <w:tcW w:w="2556" w:type="dxa"/>
            <w:shd w:fill="FFFFFF"/>
            <w:vAlign w:val="top"/>
          </w:tcPr>
          <w:p>
            <w:pPr>
              <w:spacing w:after="60" w:line="235" w:lineRule="auto"/>
            </w:pPr>
            <w:r>
              <w:rPr>
                <w:rFonts w:ascii="DejaVu Sans" w:hAnsi="DejaVu Sans"/>
                <w:sz w:val="18"/>
              </w:rPr>
              <w:t xml:space="preserve">Authorization races</w:t>
            </w:r>
          </w:p>
        </w:tc>
        <w:tc>
          <w:tcPr>
            <w:tcW w:w="7668" w:type="dxa"/>
            <w:shd w:fill="FFFFFF"/>
            <w:vAlign w:val="top"/>
          </w:tcPr>
          <w:p>
            <w:pPr>
              <w:spacing w:after="60" w:line="235" w:lineRule="auto"/>
            </w:pPr>
            <w:r>
              <w:rPr>
                <w:rFonts w:ascii="DejaVu Sans" w:hAnsi="DejaVu Sans"/>
                <w:sz w:val="18"/>
              </w:rPr>
              <w:t xml:space="preserve">Barrier tests race Apply/Revoke with admission and SSE emission. No request admitted after the revocation commit uses old authority. In flight outcomes are labeled accurately.</w:t>
            </w:r>
          </w:p>
        </w:tc>
      </w:tr>
      <w:tr>
        <w:trPr>
          <w:cantSplit/>
        </w:trPr>
        <w:tc>
          <w:tcPr>
            <w:tcW w:w="2556" w:type="dxa"/>
            <w:shd w:fill="FFFFFF"/>
            <w:vAlign w:val="top"/>
          </w:tcPr>
          <w:p>
            <w:pPr>
              <w:spacing w:after="60" w:line="235" w:lineRule="auto"/>
            </w:pPr>
            <w:r>
              <w:rPr>
                <w:rFonts w:ascii="DejaVu Sans" w:hAnsi="DejaVu Sans"/>
                <w:sz w:val="18"/>
              </w:rPr>
              <w:t xml:space="preserve">Identity and transport</w:t>
            </w:r>
          </w:p>
        </w:tc>
        <w:tc>
          <w:tcPr>
            <w:tcW w:w="7668" w:type="dxa"/>
            <w:shd w:fill="FFFFFF"/>
            <w:vAlign w:val="top"/>
          </w:tcPr>
          <w:p>
            <w:pPr>
              <w:spacing w:after="60" w:line="235" w:lineRule="auto"/>
            </w:pPr>
            <w:r>
              <w:rPr>
                <w:rFonts w:ascii="DejaVu Sans" w:hAnsi="DejaVu Sans"/>
                <w:sz w:val="18"/>
              </w:rPr>
              <w:t xml:space="preserve">Spoofed clientInfo or package header cannot choose another principal. Missing auth, cross client session IDs, hostile Origin/Host, reconnect and oversized JSON are rejected.</w:t>
            </w:r>
          </w:p>
        </w:tc>
      </w:tr>
      <w:tr>
        <w:trPr>
          <w:cantSplit/>
        </w:trPr>
        <w:tc>
          <w:tcPr>
            <w:tcW w:w="2556" w:type="dxa"/>
            <w:shd w:fill="FFFFFF"/>
            <w:vAlign w:val="top"/>
          </w:tcPr>
          <w:p>
            <w:pPr>
              <w:spacing w:after="60" w:line="235" w:lineRule="auto"/>
            </w:pPr>
            <w:r>
              <w:rPr>
                <w:rFonts w:ascii="DejaVu Sans" w:hAnsi="DejaVu Sans"/>
                <w:sz w:val="18"/>
              </w:rPr>
              <w:t xml:space="preserve">Endpoint identity</w:t>
            </w:r>
          </w:p>
        </w:tc>
        <w:tc>
          <w:tcPr>
            <w:tcW w:w="7668" w:type="dxa"/>
            <w:shd w:fill="FFFFFF"/>
            <w:vAlign w:val="top"/>
          </w:tcPr>
          <w:p>
            <w:pPr>
              <w:spacing w:after="60" w:line="235" w:lineRule="auto"/>
            </w:pPr>
            <w:r>
              <w:rPr>
                <w:rFonts w:ascii="DejaVu Sans" w:hAnsi="DejaVu Sans"/>
                <w:sz w:val="18"/>
              </w:rPr>
              <w:t xml:space="preserve">A fake listener on the old port cannot obtain a credential in the preferred paired TLS profile. Compatibility clients and any lower assurance mode are explicitly documented.</w:t>
            </w:r>
          </w:p>
        </w:tc>
      </w:tr>
      <w:tr>
        <w:trPr>
          <w:cantSplit/>
        </w:trPr>
        <w:tc>
          <w:tcPr>
            <w:tcW w:w="2556" w:type="dxa"/>
            <w:shd w:fill="FFFFFF"/>
            <w:vAlign w:val="top"/>
          </w:tcPr>
          <w:p>
            <w:pPr>
              <w:spacing w:after="60" w:line="235" w:lineRule="auto"/>
            </w:pPr>
            <w:r>
              <w:rPr>
                <w:rFonts w:ascii="DejaVu Sans" w:hAnsi="DejaVu Sans"/>
                <w:sz w:val="18"/>
              </w:rPr>
              <w:t xml:space="preserve">SQLite durability</w:t>
            </w:r>
          </w:p>
        </w:tc>
        <w:tc>
          <w:tcPr>
            <w:tcW w:w="7668" w:type="dxa"/>
            <w:shd w:fill="FFFFFF"/>
            <w:vAlign w:val="top"/>
          </w:tcPr>
          <w:p>
            <w:pPr>
              <w:spacing w:after="60" w:line="235" w:lineRule="auto"/>
            </w:pPr>
            <w:r>
              <w:rPr>
                <w:rFonts w:ascii="DejaVu Sans" w:hAnsi="DejaVu Sans"/>
                <w:sz w:val="18"/>
              </w:rPr>
              <w:t xml:space="preserve">Constraint failures roll back all rule changes. Conflict edits never overwrite silently. Crash injection covers migration, policy commit, admission and outbox delivery; no permissive fallback.</w:t>
            </w:r>
          </w:p>
        </w:tc>
      </w:tr>
      <w:tr>
        <w:trPr>
          <w:cantSplit/>
        </w:trPr>
        <w:tc>
          <w:tcPr>
            <w:tcW w:w="2556" w:type="dxa"/>
            <w:shd w:fill="FFFFFF"/>
            <w:vAlign w:val="top"/>
          </w:tcPr>
          <w:p>
            <w:pPr>
              <w:spacing w:after="60" w:line="235" w:lineRule="auto"/>
            </w:pPr>
            <w:r>
              <w:rPr>
                <w:rFonts w:ascii="DejaVu Sans" w:hAnsi="DejaVu Sans"/>
                <w:sz w:val="18"/>
              </w:rPr>
              <w:t xml:space="preserve">Android integration</w:t>
            </w:r>
          </w:p>
        </w:tc>
        <w:tc>
          <w:tcPr>
            <w:tcW w:w="7668" w:type="dxa"/>
            <w:shd w:fill="FFFFFF"/>
            <w:vAlign w:val="top"/>
          </w:tcPr>
          <w:p>
            <w:pPr>
              <w:spacing w:after="60" w:line="235" w:lineRule="auto"/>
            </w:pPr>
            <w:r>
              <w:rPr>
                <w:rFonts w:ascii="DejaVu Sans" w:hAnsi="DejaVu Sans"/>
                <w:sz w:val="18"/>
              </w:rPr>
              <w:t xml:space="preserve">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w="2556" w:type="dxa"/>
            <w:shd w:fill="FFFFFF"/>
            <w:vAlign w:val="top"/>
          </w:tcPr>
          <w:p>
            <w:pPr>
              <w:spacing w:after="60" w:line="235" w:lineRule="auto"/>
            </w:pPr>
            <w:r>
              <w:rPr>
                <w:rFonts w:ascii="DejaVu Sans" w:hAnsi="DejaVu Sans"/>
                <w:sz w:val="18"/>
              </w:rPr>
              <w:t xml:space="preserve">Lifecycle</w:t>
            </w:r>
          </w:p>
        </w:tc>
        <w:tc>
          <w:tcPr>
            <w:tcW w:w="7668" w:type="dxa"/>
            <w:shd w:fill="FFFFFF"/>
            <w:vAlign w:val="top"/>
          </w:tcPr>
          <w:p>
            <w:pPr>
              <w:spacing w:after="60" w:line="235" w:lineRule="auto"/>
            </w:pPr>
            <w:r>
              <w:rPr>
                <w:rFonts w:ascii="DejaVu Sans" w:hAnsi="DejaVu Sans"/>
                <w:sz w:val="18"/>
              </w:rPr>
              <w:t xml:space="preserve">Test rotation, activity recreation, backgrounding, process kill, force stop, reboot, device lock and approved foreground service mode across supported Android versions and vendor devices.</w:t>
            </w:r>
          </w:p>
        </w:tc>
      </w:tr>
      <w:tr>
        <w:trPr>
          <w:cantSplit/>
        </w:trPr>
        <w:tc>
          <w:tcPr>
            <w:tcW w:w="2556" w:type="dxa"/>
            <w:shd w:fill="FFFFFF"/>
            <w:vAlign w:val="top"/>
          </w:tcPr>
          <w:p>
            <w:pPr>
              <w:spacing w:after="60" w:line="235" w:lineRule="auto"/>
            </w:pPr>
            <w:r>
              <w:rPr>
                <w:rFonts w:ascii="DejaVu Sans" w:hAnsi="DejaVu Sans"/>
                <w:sz w:val="18"/>
              </w:rPr>
              <w:t xml:space="preserve">UI accessibility</w:t>
            </w:r>
          </w:p>
        </w:tc>
        <w:tc>
          <w:tcPr>
            <w:tcW w:w="7668" w:type="dxa"/>
            <w:shd w:fill="FFFFFF"/>
            <w:vAlign w:val="top"/>
          </w:tcPr>
          <w:p>
            <w:pPr>
              <w:spacing w:after="60" w:line="235" w:lineRule="auto"/>
            </w:pPr>
            <w:r>
              <w:rPr>
                <w:rFonts w:ascii="DejaVu Sans" w:hAnsi="DejaVu Sans"/>
                <w:sz w:val="18"/>
              </w:rPr>
              <w:t xml:space="preserve">Phone and tablet, large text, screen reader and keyboard navigation work. Deny/Ask/Allow remains distinct from OS status. Dirty drafts, conflicts, revocation and expiry are understandable.</w:t>
            </w:r>
          </w:p>
        </w:tc>
      </w:tr>
      <w:tr>
        <w:trPr>
          <w:cantSplit/>
        </w:trPr>
        <w:tc>
          <w:tcPr>
            <w:tcW w:w="2556" w:type="dxa"/>
            <w:shd w:fill="FFFFFF"/>
            <w:vAlign w:val="top"/>
          </w:tcPr>
          <w:p>
            <w:pPr>
              <w:spacing w:after="60" w:line="235" w:lineRule="auto"/>
            </w:pPr>
            <w:r>
              <w:rPr>
                <w:rFonts w:ascii="DejaVu Sans" w:hAnsi="DejaVu Sans"/>
                <w:sz w:val="18"/>
              </w:rPr>
              <w:t xml:space="preserve">Privacy and performance</w:t>
            </w:r>
          </w:p>
        </w:tc>
        <w:tc>
          <w:tcPr>
            <w:tcW w:w="7668" w:type="dxa"/>
            <w:shd w:fill="FFFFFF"/>
            <w:vAlign w:val="top"/>
          </w:tcPr>
          <w:p>
            <w:pPr>
              <w:spacing w:after="60" w:line="235" w:lineRule="auto"/>
            </w:pPr>
            <w:r>
              <w:rPr>
                <w:rFonts w:ascii="DejaVu Sans" w:hAnsi="DejaVu Sans"/>
                <w:sz w:val="18"/>
              </w:rPr>
              <w:t xml:space="preserve">Automated secret canaries never appear in logs/exports. Limits stop queue growth. Measure request overhead, DB contention, memory and battery before setting service level targets.</w:t>
            </w:r>
          </w:p>
        </w:tc>
      </w:tr>
    </w:tbl>
    <w:p>
      <w:pPr>
        <w:spacing w:after="90" w:line="260" w:lineRule="auto"/>
      </w:pPr>
    </w:p>
    <w:p>
      <w:pPr>
        <w:pStyle w:val="Heading2"/>
        <w:keepNext/>
        <w:spacing w:after="90" w:line="260" w:lineRule="auto"/>
      </w:pPr>
      <w:r>
        <w:rPr>
          <w:rFonts w:ascii="DejaVu Sans" w:hAnsi="DejaVu Sans"/>
          <w:b/>
          <w:sz w:val="25"/>
        </w:rPr>
        <w:t xml:space="preserve">Delivery sequence and exit criteria</w:t>
      </w:r>
    </w:p>
    <w:p>
      <w:pPr>
        <w:numPr>
          <w:ilvl w:val="0"/>
          <w:numId w:val="1024"/>
        </w:numPr>
        <w:spacing w:after="90" w:line="260" w:lineRule="auto"/>
      </w:pPr>
      <w:r>
        <w:rPr>
          <w:rFonts w:ascii="DejaVu Sans" w:hAnsi="DejaVu Sans"/>
          <w:sz w:val="21"/>
        </w:rPr>
        <w:t xml:space="preserve">Compatibility spike: prove Avalonia 12 Android release build, persistent/boot service, HTTP host, MCP baseline, SQLite, Keystore and full-source registry generation. Exit with supported device/client matrix and exact pinned versions.</w:t>
      </w:r>
    </w:p>
    <w:p>
      <w:pPr>
        <w:numPr>
          <w:ilvl w:val="0"/>
          <w:numId w:val="1024"/>
        </w:numPr>
        <w:spacing w:after="90" w:line="260" w:lineRule="auto"/>
      </w:pPr>
      <w:r>
        <w:rPr>
          <w:rFonts w:ascii="DejaVu Sans" w:hAnsi="DejaVu Sans"/>
          <w:sz w:val="21"/>
        </w:rPr>
        <w:t xml:space="preserve">Security core: implement policy shared by generated/generic/raw paths, marshalling, handle ownership, approvals, transactional edits and fake adapters. Exit with deterministic race and property tests passing.</w:t>
      </w:r>
    </w:p>
    <w:p>
      <w:pPr>
        <w:numPr>
          <w:ilvl w:val="0"/>
          <w:numId w:val="1024"/>
        </w:numPr>
        <w:spacing w:after="90" w:line="260" w:lineRule="auto"/>
      </w:pPr>
      <w:r>
        <w:rPr>
          <w:rFonts w:ascii="DejaVu Sans" w:hAnsi="DejaVu Sans"/>
          <w:sz w:val="21"/>
        </w:rPr>
        <w:t xml:space="preserve">Vertical slice: pair one MCP client and a self-ADB profile, read screen.state and issue one authorized input.tap against a test app. Verify image coordinates, stale-reference rejection, direct mode, unknown outcomes and configured Allow versus Ask.</w:t>
      </w:r>
    </w:p>
    <w:p>
      <w:pPr>
        <w:numPr>
          <w:ilvl w:val="0"/>
          <w:numId w:val="1024"/>
        </w:numPr>
        <w:spacing w:after="90" w:line="260" w:lineRule="auto"/>
      </w:pPr>
      <w:r>
        <w:rPr>
          <w:rFonts w:ascii="DejaVu Sans" w:hAnsi="DejaVu Sans"/>
          <w:sz w:val="21"/>
        </w:rPr>
        <w:t xml:space="preserve">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keepNext/>
        <w:spacing w:after="90" w:line="260" w:lineRule="auto"/>
      </w:pPr>
      <w:r>
        <w:rPr>
          <w:rFonts w:ascii="DejaVu Sans" w:hAnsi="DejaVu Sans"/>
          <w:b/>
          <w:sz w:val="30"/>
        </w:rPr>
        <w:t xml:space="preserve">20 Decisions and source references</w:t>
      </w:r>
    </w:p>
    <w:p>
      <w:pPr>
        <w:pStyle w:val="Heading2"/>
        <w:keepNext/>
        <w:spacing w:after="90" w:line="260" w:lineRule="auto"/>
      </w:pPr>
      <w:r>
        <w:rPr>
          <w:rFonts w:ascii="DejaVu Sans" w:hAnsi="DejaVu Sans"/>
          <w:b/>
          <w:sz w:val="25"/>
        </w:rPr>
        <w:t xml:space="preserve">Decisions to settle before implementation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Decision</w:t>
            </w:r>
          </w:p>
        </w:tc>
        <w:tc>
          <w:tcPr>
            <w:tcW w:w="7668" w:type="dxa"/>
            <w:shd w:fill="E4EDF5"/>
            <w:vAlign w:val="top"/>
          </w:tcPr>
          <w:p>
            <w:pPr>
              <w:spacing w:after="60" w:line="235" w:lineRule="auto"/>
            </w:pPr>
            <w:r>
              <w:rPr>
                <w:rFonts w:ascii="DejaVu Sans" w:hAnsi="DejaVu Sans"/>
                <w:b/>
                <w:sz w:val="18"/>
              </w:rPr>
              <w:t xml:space="preserve">Recommended starting point</w:t>
            </w:r>
          </w:p>
        </w:tc>
      </w:tr>
      <w:tr>
        <w:trPr>
          <w:cantSplit/>
        </w:trPr>
        <w:tc>
          <w:tcPr>
            <w:tcW w:w="2556" w:type="dxa"/>
            <w:shd w:fill="FFFFFF"/>
            <w:vAlign w:val="top"/>
          </w:tcPr>
          <w:p>
            <w:pPr>
              <w:spacing w:after="60" w:line="235" w:lineRule="auto"/>
            </w:pPr>
            <w:r>
              <w:rPr>
                <w:rFonts w:ascii="DejaVu Sans" w:hAnsi="DejaVu Sans"/>
                <w:sz w:val="18"/>
              </w:rPr>
              <w:t xml:space="preserve">Exposed surface</w:t>
            </w:r>
          </w:p>
        </w:tc>
        <w:tc>
          <w:tcPr>
            <w:tcW w:w="7668" w:type="dxa"/>
            <w:shd w:fill="FFFFFF"/>
            <w:vAlign w:val="top"/>
          </w:tcPr>
          <w:p>
            <w:pPr>
              <w:spacing w:after="60" w:line="235" w:lineRule="auto"/>
            </w:pPr>
            <w:r>
              <w:rPr>
                <w:rFonts w:ascii="DejaVu Sans" w:hAnsi="DejaVu Sans"/>
                <w:sz w:val="18"/>
              </w:rPr>
              <w:t xml:space="preserve">Complete declared SDK/AIDL/protocol inventory with generated and generic invocation; screen.state/input.tap and native wrappers are conveniences, not a curated limit.</w:t>
            </w:r>
          </w:p>
        </w:tc>
      </w:tr>
      <w:tr>
        <w:trPr>
          <w:cantSplit/>
        </w:trPr>
        <w:tc>
          <w:tcPr>
            <w:tcW w:w="2556" w:type="dxa"/>
            <w:shd w:fill="FFFFFF"/>
            <w:vAlign w:val="top"/>
          </w:tcPr>
          <w:p>
            <w:pPr>
              <w:spacing w:after="60" w:line="235" w:lineRule="auto"/>
            </w:pPr>
            <w:r>
              <w:rPr>
                <w:rFonts w:ascii="DejaVu Sans" w:hAnsi="DejaVu Sans"/>
                <w:sz w:val="18"/>
              </w:rPr>
              <w:t xml:space="preserve">Client authentication</w:t>
            </w:r>
          </w:p>
        </w:tc>
        <w:tc>
          <w:tcPr>
            <w:tcW w:w="7668" w:type="dxa"/>
            <w:shd w:fill="FFFFFF"/>
            <w:vAlign w:val="top"/>
          </w:tcPr>
          <w:p>
            <w:pPr>
              <w:spacing w:after="60" w:line="235" w:lineRule="auto"/>
            </w:pPr>
            <w:r>
              <w:rPr>
                <w:rFonts w:ascii="DejaVu Sans" w:hAnsi="DejaVu Sans"/>
                <w:sz w:val="18"/>
              </w:rPr>
              <w:t xml:space="preserve">Manual paired bearer profile for compatible on device agents; preferred pinned loopback TLS. Add standards based authorization only when required by target clients.</w:t>
            </w:r>
          </w:p>
        </w:tc>
      </w:tr>
      <w:tr>
        <w:trPr>
          <w:cantSplit/>
        </w:trPr>
        <w:tc>
          <w:tcPr>
            <w:tcW w:w="2556" w:type="dxa"/>
            <w:shd w:fill="FFFFFF"/>
            <w:vAlign w:val="top"/>
          </w:tcPr>
          <w:p>
            <w:pPr>
              <w:spacing w:after="60" w:line="235" w:lineRule="auto"/>
            </w:pPr>
            <w:r>
              <w:rPr>
                <w:rFonts w:ascii="DejaVu Sans" w:hAnsi="DejaVu Sans"/>
                <w:sz w:val="18"/>
              </w:rPr>
              <w:t xml:space="preserve">Runtime availability</w:t>
            </w:r>
          </w:p>
        </w:tc>
        <w:tc>
          <w:tcPr>
            <w:tcW w:w="7668" w:type="dxa"/>
            <w:shd w:fill="FFFFFF"/>
            <w:vAlign w:val="top"/>
          </w:tcPr>
          <w:p>
            <w:pPr>
              <w:spacing w:after="60" w:line="235" w:lineRule="auto"/>
            </w:pPr>
            <w:r>
              <w:rPr>
                <w:rFonts w:ascii="DejaVu Sans" w:hAnsi="DejaVu Sans"/>
                <w:sz w:val="18"/>
              </w:rPr>
              <w:t xml:space="preserve">Persistent foreground MCP service independent of UI, optional boot start, truthful AppBar/status notification, restart recovery and explicit OS-blocked states.</w:t>
            </w:r>
          </w:p>
        </w:tc>
      </w:tr>
      <w:tr>
        <w:trPr>
          <w:cantSplit/>
        </w:trPr>
        <w:tc>
          <w:tcPr>
            <w:tcW w:w="2556" w:type="dxa"/>
            <w:shd w:fill="FFFFFF"/>
            <w:vAlign w:val="top"/>
          </w:tcPr>
          <w:p>
            <w:pPr>
              <w:spacing w:after="60" w:line="235" w:lineRule="auto"/>
            </w:pPr>
            <w:r>
              <w:rPr>
                <w:rFonts w:ascii="DejaVu Sans" w:hAnsi="DejaVu Sans"/>
                <w:sz w:val="18"/>
              </w:rPr>
              <w:t xml:space="preserve">Android support floor</w:t>
            </w:r>
          </w:p>
        </w:tc>
        <w:tc>
          <w:tcPr>
            <w:tcW w:w="7668" w:type="dxa"/>
            <w:shd w:fill="FFFFFF"/>
            <w:vAlign w:val="top"/>
          </w:tcPr>
          <w:p>
            <w:pPr>
              <w:spacing w:after="60" w:line="235" w:lineRule="auto"/>
            </w:pPr>
            <w:r>
              <w:rPr>
                <w:rFonts w:ascii="DejaVu Sans" w:hAnsi="DejaVu Sans"/>
                <w:sz w:val="18"/>
              </w:rPr>
              <w:t xml:space="preserve">Set after compatibility spike and intended device inventory. Test real supported devices; do not infer support from successful desktop tests.</w:t>
            </w:r>
          </w:p>
        </w:tc>
      </w:tr>
      <w:tr>
        <w:trPr>
          <w:cantSplit/>
        </w:trPr>
        <w:tc>
          <w:tcPr>
            <w:tcW w:w="2556" w:type="dxa"/>
            <w:shd w:fill="FFFFFF"/>
            <w:vAlign w:val="top"/>
          </w:tcPr>
          <w:p>
            <w:pPr>
              <w:spacing w:after="60" w:line="235" w:lineRule="auto"/>
            </w:pPr>
            <w:r>
              <w:rPr>
                <w:rFonts w:ascii="DejaVu Sans" w:hAnsi="DejaVu Sans"/>
                <w:sz w:val="18"/>
              </w:rPr>
              <w:t xml:space="preserve">Privacy level</w:t>
            </w:r>
          </w:p>
        </w:tc>
        <w:tc>
          <w:tcPr>
            <w:tcW w:w="7668" w:type="dxa"/>
            <w:shd w:fill="FFFFFF"/>
            <w:vAlign w:val="top"/>
          </w:tcPr>
          <w:p>
            <w:pPr>
              <w:spacing w:after="60" w:line="235" w:lineRule="auto"/>
            </w:pPr>
            <w:r>
              <w:rPr>
                <w:rFonts w:ascii="DejaVu Sans" w:hAnsi="DejaVu Sans"/>
                <w:sz w:val="18"/>
              </w:rPr>
              <w:t xml:space="preserve">Local minimal audit and disabled client restore. Decide whether sensitive scope identifiers require encrypted storage and exports.</w:t>
            </w:r>
          </w:p>
        </w:tc>
      </w:tr>
      <w:tr>
        <w:trPr>
          <w:cantSplit/>
        </w:trPr>
        <w:tc>
          <w:tcPr>
            <w:tcW w:w="2556" w:type="dxa"/>
            <w:shd w:fill="FFFFFF"/>
            <w:vAlign w:val="top"/>
          </w:tcPr>
          <w:p>
            <w:pPr>
              <w:spacing w:after="60" w:line="235" w:lineRule="auto"/>
            </w:pPr>
            <w:r>
              <w:rPr>
                <w:rFonts w:ascii="DejaVu Sans" w:hAnsi="DejaVu Sans"/>
                <w:sz w:val="18"/>
              </w:rPr>
              <w:t xml:space="preserve">Partner Binder integration</w:t>
            </w:r>
          </w:p>
        </w:tc>
        <w:tc>
          <w:tcPr>
            <w:tcW w:w="7668" w:type="dxa"/>
            <w:shd w:fill="FFFFFF"/>
            <w:vAlign w:val="top"/>
          </w:tcPr>
          <w:p>
            <w:pPr>
              <w:spacing w:after="60" w:line="235" w:lineRule="auto"/>
            </w:pPr>
            <w:r>
              <w:rPr>
                <w:rFonts w:ascii="DejaVu Sans" w:hAnsi="DejaVu Sans"/>
                <w:sz w:val="18"/>
              </w:rPr>
              <w:t xml:space="preserve">Native Binder needs a known contract. Arbitrary-app UI control uses authorized ADB; optional Avalonia.RemoteControl requires an instrumented target and extra integration gates.</w:t>
            </w:r>
          </w:p>
        </w:tc>
      </w:tr>
    </w:tbl>
    <w:p>
      <w:pPr>
        <w:spacing w:after="90" w:line="260" w:lineRule="auto"/>
      </w:pPr>
    </w:p>
    <w:p>
      <w:pPr>
        <w:pStyle w:val="Heading2"/>
        <w:keepNext/>
        <w:spacing w:after="90" w:line="260" w:lineRule="auto"/>
      </w:pPr>
      <w:r>
        <w:rPr>
          <w:rFonts w:ascii="DejaVu Sans" w:hAnsi="DejaVu Sans"/>
          <w:b/>
          <w:sz w:val="25"/>
        </w:rPr>
        <w:t xml:space="preserve">Primary references</w:t>
      </w:r>
    </w:p>
    <w:p>
      <w:pPr>
        <w:spacing w:after="90" w:line="260" w:lineRule="auto"/>
      </w:pPr>
      <w:r>
        <w:rPr>
          <w:rFonts w:ascii="DejaVu Sans" w:hAnsi="DejaVu Sans"/>
          <w:sz w:val="21"/>
        </w:rPr>
        <w:t xml:space="preserve">Platform facts were checked against the following primary documentation on 26 October 2026. References are linked by title. Numeric limits, project names, UI layouts and policy semantics in this document are proposed design choices, not vendor requirements.</w:t>
      </w:r>
    </w:p>
    <w:p>
      <w:pPr>
        <w:spacing w:after="90" w:line="260" w:lineRule="auto"/>
      </w:pPr>
      <w:hyperlink r:id="rIdDesign1007">
        <w:r>
          <w:rPr>
            <w:rFonts w:ascii="DejaVu Sans" w:hAnsi="DejaVu Sans"/>
            <w:color w:val="24577A"/>
            <w:sz w:val="21"/>
            <w:u w:val="single"/>
          </w:rPr>
          <w:t xml:space="preserve">[S1] Avalonia 12 breaking changes and Android .NET requirement</w:t>
        </w:r>
      </w:hyperlink>
    </w:p>
    <w:p>
      <w:pPr>
        <w:spacing w:after="90" w:line="260" w:lineRule="auto"/>
      </w:pPr>
      <w:hyperlink r:id="rIdDesign1008">
        <w:r>
          <w:rPr>
            <w:rFonts w:ascii="DejaVu Sans" w:hAnsi="DejaVu Sans"/>
            <w:color w:val="24577A"/>
            <w:sz w:val="21"/>
            <w:u w:val="single"/>
          </w:rPr>
          <w:t xml:space="preserve">[S2] Microsoft Data Sqlite custom versions and native providers</w:t>
        </w:r>
      </w:hyperlink>
    </w:p>
    <w:p>
      <w:pPr>
        <w:spacing w:after="90" w:line="260" w:lineRule="auto"/>
      </w:pPr>
      <w:hyperlink r:id="rIdDesign1009">
        <w:r>
          <w:rPr>
            <w:rFonts w:ascii="DejaVu Sans" w:hAnsi="DejaVu Sans"/>
            <w:color w:val="24577A"/>
            <w:sz w:val="21"/>
            <w:u w:val="single"/>
          </w:rPr>
          <w:t xml:space="preserve">[S3] Android foreground service types and prerequisites</w:t>
        </w:r>
      </w:hyperlink>
    </w:p>
    <w:p>
      <w:pPr>
        <w:spacing w:after="90" w:line="260" w:lineRule="auto"/>
      </w:pPr>
      <w:hyperlink r:id="rIdDesign1010">
        <w:r>
          <w:rPr>
            <w:rFonts w:ascii="DejaVu Sans" w:hAnsi="DejaVu Sans"/>
            <w:color w:val="24577A"/>
            <w:sz w:val="21"/>
            <w:u w:val="single"/>
          </w:rPr>
          <w:t xml:space="preserve">[S4] MCP 2025 11 25 Streamable HTTP transport specification</w:t>
        </w:r>
      </w:hyperlink>
    </w:p>
    <w:p>
      <w:pPr>
        <w:spacing w:after="90" w:line="260" w:lineRule="auto"/>
      </w:pPr>
      <w:hyperlink r:id="rIdDesign1011">
        <w:r>
          <w:rPr>
            <w:rFonts w:ascii="DejaVu Sans" w:hAnsi="DejaVu Sans"/>
            <w:color w:val="24577A"/>
            <w:sz w:val="21"/>
            <w:u w:val="single"/>
          </w:rPr>
          <w:t xml:space="preserve">[S5] MCP 2025 11 25 authorization specification</w:t>
        </w:r>
      </w:hyperlink>
    </w:p>
    <w:p>
      <w:pPr>
        <w:spacing w:after="90" w:line="260" w:lineRule="auto"/>
      </w:pPr>
      <w:hyperlink r:id="rIdDesign1012">
        <w:r>
          <w:rPr>
            <w:rFonts w:ascii="DejaVu Sans" w:hAnsi="DejaVu Sans"/>
            <w:color w:val="24577A"/>
            <w:sz w:val="21"/>
            <w:u w:val="single"/>
          </w:rPr>
          <w:t xml:space="preserve">[S6] Android security checklist and application permissions</w:t>
        </w:r>
      </w:hyperlink>
    </w:p>
    <w:p>
      <w:pPr>
        <w:spacing w:after="90" w:line="260" w:lineRule="auto"/>
      </w:pPr>
      <w:hyperlink r:id="rIdDesign1013">
        <w:r>
          <w:rPr>
            <w:rFonts w:ascii="DejaVu Sans" w:hAnsi="DejaVu Sans"/>
            <w:color w:val="24577A"/>
            <w:sz w:val="21"/>
            <w:u w:val="single"/>
          </w:rPr>
          <w:t xml:space="preserve">[S7] Android foreground service background start restrictions</w:t>
        </w:r>
      </w:hyperlink>
    </w:p>
    <w:p>
      <w:pPr>
        <w:spacing w:after="90" w:line="260" w:lineRule="auto"/>
      </w:pPr>
      <w:hyperlink r:id="rIdDesign1014">
        <w:r>
          <w:rPr>
            <w:rFonts w:ascii="DejaVu Sans" w:hAnsi="DejaVu Sans"/>
            <w:color w:val="24577A"/>
            <w:sz w:val="21"/>
            <w:u w:val="single"/>
          </w:rPr>
          <w:t xml:space="preserve">[S8] SQLite foreign key support and connection settings</w:t>
        </w:r>
      </w:hyperlink>
    </w:p>
    <w:p>
      <w:pPr>
        <w:spacing w:after="90" w:line="260" w:lineRule="auto"/>
      </w:pPr>
      <w:hyperlink r:id="rIdDesign1015">
        <w:r>
          <w:rPr>
            <w:rFonts w:ascii="DejaVu Sans" w:hAnsi="DejaVu Sans"/>
            <w:color w:val="24577A"/>
            <w:sz w:val="21"/>
            <w:u w:val="single"/>
          </w:rPr>
          <w:t xml:space="preserve">[S9] SQLite write ahead logging and checkpointing</w:t>
        </w:r>
      </w:hyperlink>
    </w:p>
    <w:p>
      <w:pPr>
        <w:spacing w:after="90" w:line="260" w:lineRule="auto"/>
      </w:pPr>
      <w:hyperlink r:id="rIdDesign1016">
        <w:r>
          <w:rPr>
            <w:rFonts w:ascii="DejaVu Sans" w:hAnsi="DejaVu Sans"/>
            <w:color w:val="24577A"/>
            <w:sz w:val="21"/>
            <w:u w:val="single"/>
          </w:rPr>
          <w:t xml:space="preserve">[S10] Android Keystore security properties</w:t>
        </w:r>
      </w:hyperlink>
    </w:p>
    <w:p>
      <w:pPr>
        <w:spacing w:after="90" w:line="260" w:lineRule="auto"/>
      </w:pPr>
      <w:hyperlink r:id="rIdDesign1017">
        <w:r>
          <w:rPr>
            <w:rFonts w:ascii="DejaVu Sans" w:hAnsi="DejaVu Sans"/>
            <w:color w:val="24577A"/>
            <w:sz w:val="21"/>
            <w:u w:val="single"/>
          </w:rPr>
          <w:t xml:space="preserve">[S11] SQLite online backup API</w:t>
        </w:r>
      </w:hyperlink>
    </w:p>
    <w:p>
      <w:pPr>
        <w:spacing w:after="90" w:line="260" w:lineRule="auto"/>
      </w:pPr>
      <w:hyperlink r:id="rIdDesign1018">
        <w:r>
          <w:rPr>
            <w:rFonts w:ascii="DejaVu Sans" w:hAnsi="DejaVu Sans"/>
            <w:color w:val="24577A"/>
            <w:sz w:val="21"/>
            <w:u w:val="single"/>
          </w:rPr>
          <w:t xml:space="preserve">[S12] Android Contacts Provider overview</w:t>
        </w:r>
      </w:hyperlink>
    </w:p>
    <w:p>
      <w:pPr>
        <w:spacing w:after="90" w:line="260" w:lineRule="auto"/>
      </w:pPr>
      <w:hyperlink r:id="rIdDesign1019">
        <w:r>
          <w:rPr>
            <w:rFonts w:ascii="DejaVu Sans" w:hAnsi="DejaVu Sans"/>
            <w:color w:val="24577A"/>
            <w:sz w:val="21"/>
            <w:u w:val="single"/>
          </w:rPr>
          <w:t xml:space="preserve">[S13] Android AIDL contracts and threading</w:t>
        </w:r>
      </w:hyperlink>
    </w:p>
    <w:p>
      <w:pPr>
        <w:spacing w:after="90" w:line="260" w:lineRule="auto"/>
      </w:pPr>
      <w:hyperlink r:id="rIdDesign1020">
        <w:r>
          <w:rPr>
            <w:rFonts w:ascii="DejaVu Sans" w:hAnsi="DejaVu Sans"/>
            <w:color w:val="24577A"/>
            <w:sz w:val="21"/>
            <w:u w:val="single"/>
          </w:rPr>
          <w:t xml:space="preserve">[S14] Android backup and device transfer rules</w:t>
        </w:r>
      </w:hyperlink>
    </w:p>
    <w:p>
      <w:pPr>
        <w:spacing w:after="90" w:line="260" w:lineRule="auto"/>
      </w:pPr>
      <w:hyperlink r:id="rIdDesign1021">
        <w:r>
          <w:rPr>
            <w:rFonts w:ascii="DejaVu Sans" w:hAnsi="DejaVu Sans"/>
            <w:color w:val="24577A"/>
            <w:sz w:val="21"/>
            <w:u w:val="single"/>
          </w:rPr>
          <w:t xml:space="preserve">[S15] Android Settings System brightness and write permission</w:t>
        </w:r>
      </w:hyperlink>
    </w:p>
    <w:p>
      <w:pPr>
        <w:spacing w:after="90" w:line="260" w:lineRule="auto"/>
      </w:pPr>
      <w:hyperlink r:id="rIdDesign1022">
        <w:r>
          <w:rPr>
            <w:rFonts w:ascii="DejaVu Sans" w:hAnsi="DejaVu Sans"/>
            <w:color w:val="24577A"/>
            <w:sz w:val="21"/>
            <w:u w:val="single"/>
          </w:rPr>
          <w:t xml:space="preserve">[S16] Android sensors framework and lifecycle</w:t>
        </w:r>
      </w:hyperlink>
    </w:p>
    <w:p>
      <w:pPr>
        <w:pStyle w:val="Heading1"/>
        <w:keepNext/>
        <w:spacing w:after="90" w:line="260" w:lineRule="auto"/>
      </w:pPr>
      <w:r>
        <w:rPr>
          <w:rFonts w:ascii="DejaVu Sans" w:hAnsi="DejaVu Sans"/>
          <w:b/>
          <w:sz w:val="30"/>
        </w:rPr>
        <w:t xml:space="preserve">Integration source references</w:t>
      </w:r>
    </w:p>
    <w:p>
      <w:pPr>
        <w:spacing w:after="90" w:line="260" w:lineRule="auto"/>
      </w:pPr>
      <w:r>
        <w:rPr>
          <w:rFonts w:ascii="DejaVu Sans" w:hAnsi="DejaVu Sans"/>
          <w:sz w:val="21"/>
        </w:rPr>
        <w:t xml:space="preserve">Additional sources for the authorized ADB and specialized Avalonia runtime designs. Upstream implementation details describe the inspected source, not an established compatibility guarantee for this bridge.</w:t>
      </w:r>
    </w:p>
    <w:p>
      <w:pPr>
        <w:spacing w:after="90" w:line="260" w:lineRule="auto"/>
      </w:pPr>
      <w:hyperlink r:id="rIdDesign1023">
        <w:r>
          <w:rPr>
            <w:rFonts w:ascii="DejaVu Sans" w:hAnsi="DejaVu Sans"/>
            <w:color w:val="24577A"/>
            <w:sz w:val="21"/>
            <w:u w:val="single"/>
          </w:rPr>
          <w:t xml:space="preserve">[S17] LADB local Android Debug Bridge feasibility example</w:t>
        </w:r>
      </w:hyperlink>
    </w:p>
    <w:p>
      <w:pPr>
        <w:spacing w:after="90" w:line="260" w:lineRule="auto"/>
      </w:pPr>
      <w:hyperlink r:id="rIdDesign1024">
        <w:r>
          <w:rPr>
            <w:rFonts w:ascii="DejaVu Sans" w:hAnsi="DejaVu Sans"/>
            <w:color w:val="24577A"/>
            <w:sz w:val="21"/>
            <w:u w:val="single"/>
          </w:rPr>
          <w:t xml:space="preserve">[S18] Android wireless debugging architecture and pairing</w:t>
        </w:r>
      </w:hyperlink>
    </w:p>
    <w:p>
      <w:pPr>
        <w:spacing w:after="90" w:line="260" w:lineRule="auto"/>
      </w:pPr>
      <w:hyperlink r:id="rIdDesign1025">
        <w:r>
          <w:rPr>
            <w:rFonts w:ascii="DejaVu Sans" w:hAnsi="DejaVu Sans"/>
            <w:color w:val="24577A"/>
            <w:sz w:val="21"/>
            <w:u w:val="single"/>
          </w:rPr>
          <w:t xml:space="preserve">[S19] AOSP adb command manual and forwarding</w:t>
        </w:r>
      </w:hyperlink>
    </w:p>
    <w:p>
      <w:pPr>
        <w:spacing w:after="90" w:line="260" w:lineRule="auto"/>
      </w:pPr>
      <w:hyperlink r:id="rIdDesign1026">
        <w:r>
          <w:rPr>
            <w:rFonts w:ascii="DejaVu Sans" w:hAnsi="DejaVu Sans"/>
            <w:color w:val="24577A"/>
            <w:sz w:val="21"/>
            <w:u w:val="single"/>
          </w:rPr>
          <w:t xml:space="preserve">[S20] Avalonia RemoteControl Android bridge architecture</w:t>
        </w:r>
      </w:hyperlink>
    </w:p>
    <w:p>
      <w:pPr>
        <w:spacing w:after="90" w:line="260" w:lineRule="auto"/>
      </w:pPr>
      <w:hyperlink r:id="rIdDesign1027">
        <w:r>
          <w:rPr>
            <w:rFonts w:ascii="DejaVu Sans" w:hAnsi="DejaVu Sans"/>
            <w:color w:val="24577A"/>
            <w:sz w:val="21"/>
            <w:u w:val="single"/>
          </w:rPr>
          <w:t xml:space="preserve">[S21] Android secure activity and capture protections</w:t>
        </w:r>
      </w:hyperlink>
    </w:p>
    <w:p>
      <w:pPr>
        <w:spacing w:after="90" w:line="260" w:lineRule="auto"/>
      </w:pPr>
      <w:hyperlink r:id="rIdDesign1028">
        <w:r>
          <w:rPr>
            <w:rFonts w:ascii="DejaVu Sans" w:hAnsi="DejaVu Sans"/>
            <w:color w:val="24577A"/>
            <w:sz w:val="21"/>
            <w:u w:val="single"/>
          </w:rPr>
          <w:t xml:space="preserve">[S22] AOSP input shell command implementation</w:t>
        </w:r>
      </w:hyperlink>
    </w:p>
    <w:p>
      <w:pPr>
        <w:spacing w:after="90" w:line="260" w:lineRule="auto"/>
      </w:pPr>
      <w:hyperlink r:id="rIdDesign1029">
        <w:r>
          <w:rPr>
            <w:rFonts w:ascii="DejaVu Sans" w:hAnsi="DejaVu Sans"/>
            <w:color w:val="24577A"/>
            <w:sz w:val="21"/>
            <w:u w:val="single"/>
          </w:rPr>
          <w:t xml:space="preserve">[S23] Android debugger eligibility and setup</w:t>
        </w:r>
      </w:hyperlink>
    </w:p>
    <w:p>
      <w:pPr>
        <w:spacing w:after="90" w:line="260" w:lineRule="auto"/>
      </w:pPr>
      <w:hyperlink r:id="rIdDesign1030">
        <w:r>
          <w:rPr>
            <w:rFonts w:ascii="DejaVu Sans" w:hAnsi="DejaVu Sans"/>
            <w:color w:val="24577A"/>
            <w:sz w:val="21"/>
            <w:u w:val="single"/>
          </w:rPr>
          <w:t xml:space="preserve">[S24] AOSP run as command restrictions</w:t>
        </w:r>
      </w:hyperlink>
    </w:p>
    <w:p>
      <w:pPr>
        <w:spacing w:after="90" w:line="260" w:lineRule="auto"/>
      </w:pPr>
      <w:hyperlink r:id="rIdDesign1031">
        <w:r>
          <w:rPr>
            <w:rFonts w:ascii="DejaVu Sans" w:hAnsi="DejaVu Sans"/>
            <w:color w:val="24577A"/>
            <w:sz w:val="21"/>
            <w:u w:val="single"/>
          </w:rPr>
          <w:t xml:space="preserve">[S25] Pele renderer API</w:t>
        </w:r>
      </w:hyperlink>
    </w:p>
    <w:p>
      <w:pPr>
        <w:spacing w:after="90" w:line="260" w:lineRule="auto"/>
      </w:pPr>
      <w:hyperlink r:id="rIdDesign1032">
        <w:r>
          <w:rPr>
            <w:rFonts w:ascii="DejaVu Sans" w:hAnsi="DejaVu Sans"/>
            <w:color w:val="24577A"/>
            <w:sz w:val="21"/>
            <w:u w:val="single"/>
          </w:rPr>
          <w:t xml:space="preserve">[S26] Android 15 foreground service changes</w:t>
        </w:r>
      </w:hyperlink>
    </w:p>
    <w:p>
      <w:pPr>
        <w:spacing w:after="90" w:line="260" w:lineRule="auto"/>
      </w:pPr>
      <w:hyperlink r:id="rIdDesign1033">
        <w:r>
          <w:rPr>
            <w:rFonts w:ascii="DejaVu Sans" w:hAnsi="DejaVu Sans"/>
            <w:color w:val="24577A"/>
            <w:sz w:val="21"/>
            <w:u w:val="single"/>
          </w:rPr>
          <w:t xml:space="preserve">[S27] Android notification runtime permission</w:t>
        </w:r>
      </w:hyperlink>
    </w:p>
    <w:p>
      <w:pPr>
        <w:spacing w:after="90" w:line="260" w:lineRule="auto"/>
      </w:pPr>
      <w:hyperlink r:id="rIdDesign1034">
        <w:r>
          <w:rPr>
            <w:rFonts w:ascii="DejaVu Sans" w:hAnsi="DejaVu Sans"/>
            <w:color w:val="24577A"/>
            <w:sz w:val="21"/>
            <w:u w:val="single"/>
          </w:rPr>
          <w:t xml:space="preserve">[S28] .NET Android Java binding metadata</w:t>
        </w:r>
      </w:hyperlink>
    </w:p>
    <w:p>
      <w:pPr>
        <w:spacing w:after="90" w:line="260" w:lineRule="auto"/>
      </w:pPr>
      <w:hyperlink r:id="rIdDesign1035">
        <w:r>
          <w:rPr>
            <w:rFonts w:ascii="DejaVu Sans" w:hAnsi="DejaVu Sans"/>
            <w:color w:val="24577A"/>
            <w:sz w:val="21"/>
            <w:u w:val="single"/>
          </w:rPr>
          <w:t xml:space="preserve">[S29] Android IBinder interface</w:t>
        </w:r>
      </w:hyperlink>
    </w:p>
    <w:p>
      <w:pPr>
        <w:spacing w:after="90" w:line="260" w:lineRule="auto"/>
      </w:pPr>
      <w:hyperlink r:id="rIdDesign1036">
        <w:r>
          <w:rPr>
            <w:rFonts w:ascii="DejaVu Sans" w:hAnsi="DejaVu Sans"/>
            <w:color w:val="24577A"/>
            <w:sz w:val="21"/>
            <w:u w:val="single"/>
          </w:rPr>
          <w:t xml:space="preserve">[S30] Stable AIDL version and hash</w:t>
        </w:r>
      </w:hyperlink>
    </w:p>
    <w:p>
      <w:pPr>
        <w:spacing w:after="90" w:line="260" w:lineRule="auto"/>
      </w:pPr>
      <w:hyperlink r:id="rIdDesign1037">
        <w:r>
          <w:rPr>
            <w:rFonts w:ascii="DejaVu Sans" w:hAnsi="DejaVu Sans"/>
            <w:color w:val="24577A"/>
            <w:sz w:val="21"/>
            <w:u w:val="single"/>
          </w:rPr>
          <w:t xml:space="preserve">[S31] Android non SDK interface restrictions</w:t>
        </w:r>
      </w:hyperlink>
    </w:p>
    <w:p>
      <w:pPr>
        <w:spacing w:after="90" w:line="260" w:lineRule="auto"/>
      </w:pPr>
      <w:hyperlink r:id="rIdDesign1038">
        <w:r>
          <w:rPr>
            <w:rFonts w:ascii="DejaVu Sans" w:hAnsi="DejaVu Sans"/>
            <w:color w:val="24577A"/>
            <w:sz w:val="21"/>
            <w:u w:val="single"/>
          </w:rPr>
          <w:t xml:space="preserve">[S32] Android RequiresPermission annotation</w:t>
        </w:r>
      </w:hyperlink>
    </w:p>
    <w:p>
      <w:pPr>
        <w:spacing w:after="90" w:line="260" w:lineRule="auto"/>
      </w:pPr>
      <w:hyperlink r:id="rIdDesign1039">
        <w:r>
          <w:rPr>
            <w:rFonts w:ascii="DejaVu Sans" w:hAnsi="DejaVu Sans"/>
            <w:color w:val="24577A"/>
            <w:sz w:val="21"/>
            <w:u w:val="single"/>
          </w:rPr>
          <w:t xml:space="preserve">[S33] AOSP AIDL permission annotation definitions</w:t>
        </w:r>
      </w:hyperlink>
    </w:p>
    <w:p>
      <w:pPr>
        <w:spacing w:after="90" w:line="260" w:lineRule="auto"/>
      </w:pPr>
      <w:hyperlink r:id="rIdDesign1040">
        <w:r>
          <w:rPr>
            <w:rFonts w:ascii="DejaVu Sans" w:hAnsi="DejaVu Sans"/>
            <w:color w:val="24577A"/>
            <w:sz w:val="21"/>
            <w:u w:val="single"/>
          </w:rPr>
          <w:t xml:space="preserve">[S34] AOSP AppOps design and permission interactions</w:t>
        </w:r>
      </w:hyperlink>
    </w:p>
    <w:p>
      <w:pPr>
        <w:spacing w:after="90" w:line="260" w:lineRule="auto"/>
      </w:pPr>
      <w:r>
        <w:rPr>
          <w:rFonts w:ascii="DejaVu Sans" w:hAnsi="DejaVu Sans"/>
          <w:sz w:val="21"/>
        </w:rPr>
        <w:t xml:space="preserve">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pStyle w:val="Heading2"/>
        <w:keepNext/>
        <w:spacing w:after="90" w:line="260" w:lineRule="auto"/>
      </w:pPr>
      <w:r>
        <w:rPr>
          <w:rFonts w:ascii="DejaVu Sans" w:hAnsi="DejaVu Sans"/>
          <w:b/>
          <w:sz w:val="25"/>
        </w:rPr>
        <w:t xml:space="preserve">Architecture diagram</w:t>
      </w:r>
    </w:p>
    <w:p>
      <w:pPr>
        <w:pStyle w:val="Heading2"/>
        <w:keepNext/>
        <w:pageBreakBefore/>
        <w:spacing w:after="90" w:line="260" w:lineRule="auto"/>
      </w:pPr>
      <w:r>
        <w:rPr>
          <w:rFonts w:ascii="DejaVu Sans" w:hAnsi="DejaVu Sans"/>
          <w:b/>
          <w:sz w:val="25"/>
        </w:rPr>
        <w:t xml:space="preserve">Architecture diagram rendered with Pele</w:t>
      </w:r>
    </w:p>
    <w:p>
      <w:pPr>
        <w:spacing w:after="90" w:line="260" w:lineRule="auto"/>
        <w:jc w:val="center"/>
      </w:pPr>
      <w:r>
        <w:drawing>
          <wp:inline distT="0" distB="0" distL="0" distR="0">
            <wp:extent cx="6400800" cy="6137655"/>
            <wp:docPr id="3" name="Architecture diagram rendered with Pele" descr="Architecture diagram rendered with Pele"/>
            <a:graphic>
              <a:graphicData uri="http://schemas.openxmlformats.org/drawingml/2006/picture">
                <pic:pic>
                  <pic:nvPicPr>
                    <pic:cNvPr id="0" name="design-3.png"/>
                    <pic:cNvPicPr/>
                  </pic:nvPicPr>
                  <pic:blipFill>
                    <a:blip r:embed="rIdDesign1041"/>
                    <a:stretch>
                      <a:fillRect/>
                    </a:stretch>
                  </pic:blipFill>
                  <pic:spPr>
                    <a:xfrm>
                      <a:off x="0" y="0"/>
                      <a:ext cx="6400800" cy="6137655"/>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generated registry exposes the declared binding surface. Every invocation shares policy; ADB supplies generic screen state and taps, and Avalonia runtime is optional.</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flowchart TD</w:t>
      </w:r>
    </w:p>
    <w:p>
      <w:pPr>
        <w:shd w:fill="F2F6FA"/>
        <w:spacing w:after="0" w:line="220" w:lineRule="auto"/>
      </w:pPr>
      <w:r>
        <w:rPr>
          <w:rFonts w:ascii="DejaVu Sans Mono" w:hAnsi="DejaVu Sans Mono"/>
          <w:sz w:val="18"/>
        </w:rPr>
        <w:t xml:space="preserve">    Client[Agent or ADB-forwarded host] --&gt; Server[Persistent MCP service]</w:t>
      </w:r>
    </w:p>
    <w:p>
      <w:pPr>
        <w:shd w:fill="F2F6FA"/>
        <w:spacing w:after="0" w:line="220" w:lineRule="auto"/>
      </w:pPr>
      <w:r>
        <w:rPr>
          <w:rFonts w:ascii="DejaVu Sans Mono" w:hAnsi="DejaVu Sans Mono"/>
          <w:sz w:val="18"/>
        </w:rPr>
        <w:t xml:space="preserve">    Server --&gt; Plan[Canonical dispatch planner]</w:t>
      </w:r>
    </w:p>
    <w:p>
      <w:pPr>
        <w:shd w:fill="F2F6FA"/>
        <w:spacing w:after="0" w:line="220" w:lineRule="auto"/>
      </w:pPr>
      <w:r>
        <w:rPr>
          <w:rFonts w:ascii="DejaVu Sans Mono" w:hAnsi="DejaVu Sans Mono"/>
          <w:sz w:val="18"/>
        </w:rPr>
        <w:t xml:space="preserve">    Sources[SDK AIDL and protocol metadata] --&gt; Registry[Full bindings and types inventory]</w:t>
      </w:r>
    </w:p>
    <w:p>
      <w:pPr>
        <w:shd w:fill="F2F6FA"/>
        <w:spacing w:after="0" w:line="220" w:lineRule="auto"/>
      </w:pPr>
      <w:r>
        <w:rPr>
          <w:rFonts w:ascii="DejaVu Sans Mono" w:hAnsi="DejaVu Sans Mono"/>
          <w:sz w:val="18"/>
        </w:rPr>
        <w:t xml:space="preserve">    Device[Device capability snapshot] --&gt; Resolve[Version and type resolver]</w:t>
      </w:r>
    </w:p>
    <w:p>
      <w:pPr>
        <w:shd w:fill="F2F6FA"/>
        <w:spacing w:after="0" w:line="220" w:lineRule="auto"/>
      </w:pPr>
      <w:r>
        <w:rPr>
          <w:rFonts w:ascii="DejaVu Sans Mono" w:hAnsi="DejaVu Sans Mono"/>
          <w:sz w:val="18"/>
        </w:rPr>
        <w:t xml:space="preserve">    Registry --&gt; Resolve</w:t>
      </w:r>
    </w:p>
    <w:p>
      <w:pPr>
        <w:shd w:fill="F2F6FA"/>
        <w:spacing w:after="0" w:line="220" w:lineRule="auto"/>
      </w:pPr>
      <w:r>
        <w:rPr>
          <w:rFonts w:ascii="DejaVu Sans Mono" w:hAnsi="DejaVu Sans Mono"/>
          <w:sz w:val="18"/>
        </w:rPr>
        <w:t xml:space="preserve">    Resolve --&gt; View[Atomic resolved device view]</w:t>
      </w:r>
    </w:p>
    <w:p>
      <w:pPr>
        <w:shd w:fill="F2F6FA"/>
        <w:spacing w:after="0" w:line="220" w:lineRule="auto"/>
      </w:pPr>
      <w:r>
        <w:rPr>
          <w:rFonts w:ascii="DejaVu Sans Mono" w:hAnsi="DejaVu Sans Mono"/>
          <w:sz w:val="18"/>
        </w:rPr>
        <w:t xml:space="preserve">    View --&gt; Plan</w:t>
      </w:r>
    </w:p>
    <w:p>
      <w:pPr>
        <w:shd w:fill="F2F6FA"/>
        <w:spacing w:after="0" w:line="220" w:lineRule="auto"/>
      </w:pPr>
      <w:r>
        <w:rPr>
          <w:rFonts w:ascii="DejaVu Sans Mono" w:hAnsi="DejaVu Sans Mono"/>
          <w:sz w:val="18"/>
        </w:rPr>
        <w:t xml:space="preserve">    Plan --&gt; Gate[Shared client policy gate]</w:t>
      </w:r>
    </w:p>
    <w:p>
      <w:pPr>
        <w:shd w:fill="F2F6FA"/>
        <w:spacing w:after="0" w:line="220" w:lineRule="auto"/>
      </w:pPr>
      <w:r>
        <w:rPr>
          <w:rFonts w:ascii="DejaVu Sans Mono" w:hAnsi="DejaVu Sans Mono"/>
          <w:sz w:val="18"/>
        </w:rPr>
        <w:t xml:space="preserve">    Owner[Local owner UI] --&gt; Gate</w:t>
      </w:r>
    </w:p>
    <w:p>
      <w:pPr>
        <w:shd w:fill="F2F6FA"/>
        <w:spacing w:after="0" w:line="220" w:lineRule="auto"/>
      </w:pPr>
      <w:r>
        <w:rPr>
          <w:rFonts w:ascii="DejaVu Sans Mono" w:hAnsi="DejaVu Sans Mono"/>
          <w:sz w:val="18"/>
        </w:rPr>
        <w:t xml:space="preserve">    Gate --&gt; Binding[Generic Binder engine]</w:t>
      </w:r>
    </w:p>
    <w:p>
      <w:pPr>
        <w:shd w:fill="F2F6FA"/>
        <w:spacing w:after="0" w:line="220" w:lineRule="auto"/>
      </w:pPr>
      <w:r>
        <w:rPr>
          <w:rFonts w:ascii="DejaVu Sans Mono" w:hAnsi="DejaVu Sans Mono"/>
          <w:sz w:val="18"/>
        </w:rPr>
        <w:t xml:space="preserve">    Contracts[Verified wire contracts and codecs] --&gt; Binding</w:t>
      </w:r>
    </w:p>
    <w:p>
      <w:pPr>
        <w:shd w:fill="F2F6FA"/>
        <w:spacing w:after="0" w:line="220" w:lineRule="auto"/>
      </w:pPr>
      <w:r>
        <w:rPr>
          <w:rFonts w:ascii="DejaVu Sans Mono" w:hAnsi="DejaVu Sans Mono"/>
          <w:sz w:val="18"/>
        </w:rPr>
        <w:t xml:space="preserve">    Gate --&gt; ADB[Paired ADB screen and tap]</w:t>
      </w:r>
    </w:p>
    <w:p>
      <w:pPr>
        <w:shd w:fill="F2F6FA"/>
        <w:spacing w:after="0" w:line="220" w:lineRule="auto"/>
      </w:pPr>
      <w:r>
        <w:rPr>
          <w:rFonts w:ascii="DejaVu Sans Mono" w:hAnsi="DejaVu Sans Mono"/>
          <w:sz w:val="18"/>
        </w:rPr>
        <w:t xml:space="preserve">    Gate --&gt; Runtime[Optional Avalonia runtime]</w:t>
      </w:r>
    </w:p>
    <w:p>
      <w:pPr>
        <w:shd w:fill="F2F6FA"/>
        <w:spacing w:after="0" w:line="220" w:lineRule="auto"/>
      </w:pPr>
      <w:r>
        <w:rPr>
          <w:rFonts w:ascii="DejaVu Sans Mono" w:hAnsi="DejaVu Sans Mono"/>
          <w:sz w:val="18"/>
        </w:rPr>
        <w:t xml:space="preserve">    Gate --&gt; Data[SQLite audit and configuration]</w:t>
      </w:r>
    </w:p>
    <w:p>
      <w:pPr>
        <w:shd w:fill="F2F6FA"/>
        <w:spacing w:after="0" w:line="220" w:lineRule="auto"/>
      </w:pPr>
      <w:r>
        <w:rPr>
          <w:rFonts w:ascii="DejaVu Sans Mono" w:hAnsi="DejaVu Sans Mono"/>
          <w:sz w:val="18"/>
        </w:rPr>
        <w:t xml:space="preserve">    Data --&gt; Logs[Per-client optional logs]</w:t>
      </w:r>
    </w:p>
    <w:p>
      <w:pPr>
        <w:pStyle w:val="Heading2"/>
        <w:keepNext/>
        <w:spacing w:after="90" w:line="260" w:lineRule="auto"/>
      </w:pPr>
      <w:r>
        <w:rPr>
          <w:rFonts w:ascii="DejaVu Sans" w:hAnsi="DejaVu Sans"/>
          <w:b/>
          <w:sz w:val="25"/>
        </w:rPr>
        <w:t xml:space="preserve">Request and approval sequence</w:t>
      </w:r>
    </w:p>
    <w:p>
      <w:pPr>
        <w:pStyle w:val="Heading2"/>
        <w:keepNext/>
        <w:pageBreakBefore/>
        <w:spacing w:after="90" w:line="260" w:lineRule="auto"/>
      </w:pPr>
      <w:r>
        <w:rPr>
          <w:rFonts w:ascii="DejaVu Sans" w:hAnsi="DejaVu Sans"/>
          <w:b/>
          <w:sz w:val="25"/>
        </w:rPr>
        <w:t xml:space="preserve">Request and approval sequence rendered with Pele</w:t>
      </w:r>
    </w:p>
    <w:p>
      <w:pPr>
        <w:spacing w:after="90" w:line="260" w:lineRule="auto"/>
        <w:jc w:val="center"/>
      </w:pPr>
      <w:r>
        <w:drawing>
          <wp:inline distT="0" distB="0" distL="0" distR="0">
            <wp:extent cx="6400800" cy="4896612"/>
            <wp:docPr id="4" name="Request and approval sequence rendered with Pele" descr="Request and approval sequence rendered with Pele"/>
            <a:graphic>
              <a:graphicData uri="http://schemas.openxmlformats.org/drawingml/2006/picture">
                <pic:pic>
                  <pic:nvPicPr>
                    <pic:cNvPr id="0" name="design-4.png"/>
                    <pic:cNvPicPr/>
                  </pic:nvPicPr>
                  <pic:blipFill>
                    <a:blip r:embed="rIdDesign1042"/>
                    <a:stretch>
                      <a:fillRect/>
                    </a:stretch>
                  </pic:blipFill>
                  <pic:spPr>
                    <a:xfrm>
                      <a:off x="0" y="0"/>
                      <a:ext cx="6400800" cy="4896612"/>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local owner approves immutable Ask requests. Logging is optional and bounded; mandatory admission audit precedes dispatch.</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sequenceDiagram</w:t>
      </w:r>
    </w:p>
    <w:p>
      <w:pPr>
        <w:shd w:fill="F2F6FA"/>
        <w:spacing w:after="0" w:line="220" w:lineRule="auto"/>
      </w:pPr>
      <w:r>
        <w:rPr>
          <w:rFonts w:ascii="DejaVu Sans Mono" w:hAnsi="DejaVu Sans Mono"/>
          <w:sz w:val="18"/>
        </w:rPr>
        <w:t xml:space="preserve">    participant C as Client</w:t>
      </w:r>
    </w:p>
    <w:p>
      <w:pPr>
        <w:shd w:fill="F2F6FA"/>
        <w:spacing w:after="0" w:line="220" w:lineRule="auto"/>
      </w:pPr>
      <w:r>
        <w:rPr>
          <w:rFonts w:ascii="DejaVu Sans Mono" w:hAnsi="DejaVu Sans Mono"/>
          <w:sz w:val="18"/>
        </w:rPr>
        <w:t xml:space="preserve">    participant P as Policy</w:t>
      </w:r>
    </w:p>
    <w:p>
      <w:pPr>
        <w:shd w:fill="F2F6FA"/>
        <w:spacing w:after="0" w:line="220" w:lineRule="auto"/>
      </w:pPr>
      <w:r>
        <w:rPr>
          <w:rFonts w:ascii="DejaVu Sans Mono" w:hAnsi="DejaVu Sans Mono"/>
          <w:sz w:val="18"/>
        </w:rPr>
        <w:t xml:space="preserve">    participant V as Device view</w:t>
      </w:r>
    </w:p>
    <w:p>
      <w:pPr>
        <w:shd w:fill="F2F6FA"/>
        <w:spacing w:after="0" w:line="220" w:lineRule="auto"/>
      </w:pPr>
      <w:r>
        <w:rPr>
          <w:rFonts w:ascii="DejaVu Sans Mono" w:hAnsi="DejaVu Sans Mono"/>
          <w:sz w:val="18"/>
        </w:rPr>
        <w:t xml:space="preserve">    participant U as Owner</w:t>
      </w:r>
    </w:p>
    <w:p>
      <w:pPr>
        <w:shd w:fill="F2F6FA"/>
        <w:spacing w:after="0" w:line="220" w:lineRule="auto"/>
      </w:pPr>
      <w:r>
        <w:rPr>
          <w:rFonts w:ascii="DejaVu Sans Mono" w:hAnsi="DejaVu Sans Mono"/>
          <w:sz w:val="18"/>
        </w:rPr>
        <w:t xml:space="preserve">    participant G as Gate</w:t>
      </w:r>
    </w:p>
    <w:p>
      <w:pPr>
        <w:shd w:fill="F2F6FA"/>
        <w:spacing w:after="0" w:line="220" w:lineRule="auto"/>
      </w:pPr>
      <w:r>
        <w:rPr>
          <w:rFonts w:ascii="DejaVu Sans Mono" w:hAnsi="DejaVu Sans Mono"/>
          <w:sz w:val="18"/>
        </w:rPr>
        <w:t xml:space="preserve">    participant A as Adapter</w:t>
      </w:r>
    </w:p>
    <w:p>
      <w:pPr>
        <w:shd w:fill="F2F6FA"/>
        <w:spacing w:after="0" w:line="220" w:lineRule="auto"/>
      </w:pPr>
      <w:r>
        <w:rPr>
          <w:rFonts w:ascii="DejaVu Sans Mono" w:hAnsi="DejaVu Sans Mono"/>
          <w:sz w:val="18"/>
        </w:rPr>
        <w:t xml:space="preserve">    C-&gt;&gt;P: Authenticated call</w:t>
      </w:r>
    </w:p>
    <w:p>
      <w:pPr>
        <w:shd w:fill="F2F6FA"/>
        <w:spacing w:after="0" w:line="220" w:lineRule="auto"/>
      </w:pPr>
      <w:r>
        <w:rPr>
          <w:rFonts w:ascii="DejaVu Sans Mono" w:hAnsi="DejaVu Sans Mono"/>
          <w:sz w:val="18"/>
        </w:rPr>
        <w:t xml:space="preserve">    P-&gt;&gt;V: Pin binding types and capability epoch</w:t>
      </w:r>
    </w:p>
    <w:p>
      <w:pPr>
        <w:shd w:fill="F2F6FA"/>
        <w:spacing w:after="0" w:line="220" w:lineRule="auto"/>
      </w:pPr>
      <w:r>
        <w:rPr>
          <w:rFonts w:ascii="DejaVu Sans Mono" w:hAnsi="DejaVu Sans Mono"/>
          <w:sz w:val="18"/>
        </w:rPr>
        <w:t xml:space="preserve">    P-&gt;&gt;P: Validate plan</w:t>
      </w:r>
    </w:p>
    <w:p>
      <w:pPr>
        <w:shd w:fill="F2F6FA"/>
        <w:spacing w:after="0" w:line="220" w:lineRule="auto"/>
      </w:pPr>
      <w:r>
        <w:rPr>
          <w:rFonts w:ascii="DejaVu Sans Mono" w:hAnsi="DejaVu Sans Mono"/>
          <w:sz w:val="18"/>
        </w:rPr>
        <w:t xml:space="preserve">    opt Ask configured</w:t>
      </w:r>
    </w:p>
    <w:p>
      <w:pPr>
        <w:shd w:fill="F2F6FA"/>
        <w:spacing w:after="0" w:line="220" w:lineRule="auto"/>
      </w:pPr>
      <w:r>
        <w:rPr>
          <w:rFonts w:ascii="DejaVu Sans Mono" w:hAnsi="DejaVu Sans Mono"/>
          <w:sz w:val="18"/>
        </w:rPr>
        <w:t xml:space="preserve">        P-&gt;&gt;U: Bound request</w:t>
      </w:r>
    </w:p>
    <w:p>
      <w:pPr>
        <w:shd w:fill="F2F6FA"/>
        <w:spacing w:after="0" w:line="220" w:lineRule="auto"/>
      </w:pPr>
      <w:r>
        <w:rPr>
          <w:rFonts w:ascii="DejaVu Sans Mono" w:hAnsi="DejaVu Sans Mono"/>
          <w:sz w:val="18"/>
        </w:rPr>
        <w:t xml:space="preserve">        U-&gt;&gt;P: Decision</w:t>
      </w:r>
    </w:p>
    <w:p>
      <w:pPr>
        <w:shd w:fill="F2F6FA"/>
        <w:spacing w:after="0" w:line="220" w:lineRule="auto"/>
      </w:pPr>
      <w:r>
        <w:rPr>
          <w:rFonts w:ascii="DejaVu Sans Mono" w:hAnsi="DejaVu Sans Mono"/>
          <w:sz w:val="18"/>
        </w:rPr>
        <w:t xml:space="preserve">        break Denied or expired</w:t>
      </w:r>
    </w:p>
    <w:p>
      <w:pPr>
        <w:shd w:fill="F2F6FA"/>
        <w:spacing w:after="0" w:line="220" w:lineRule="auto"/>
      </w:pPr>
      <w:r>
        <w:rPr>
          <w:rFonts w:ascii="DejaVu Sans Mono" w:hAnsi="DejaVu Sans Mono"/>
          <w:sz w:val="18"/>
        </w:rPr>
        <w:t xml:space="preserve">            P--&gt;&gt;C: No dispatch</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P-&gt;&gt;G: Plan and revisions</w:t>
      </w:r>
    </w:p>
    <w:p>
      <w:pPr>
        <w:shd w:fill="F2F6FA"/>
        <w:spacing w:after="0" w:line="220" w:lineRule="auto"/>
      </w:pPr>
      <w:r>
        <w:rPr>
          <w:rFonts w:ascii="DejaVu Sans Mono" w:hAnsi="DejaVu Sans Mono"/>
          <w:sz w:val="18"/>
        </w:rPr>
        <w:t xml:space="preserve">    G-&gt;&gt;G: Recheck and audit</w:t>
      </w:r>
    </w:p>
    <w:p>
      <w:pPr>
        <w:shd w:fill="F2F6FA"/>
        <w:spacing w:after="0" w:line="220" w:lineRule="auto"/>
      </w:pPr>
      <w:r>
        <w:rPr>
          <w:rFonts w:ascii="DejaVu Sans Mono" w:hAnsi="DejaVu Sans Mono"/>
          <w:sz w:val="18"/>
        </w:rPr>
        <w:t xml:space="preserve">    G-&gt;&gt;V: Reject stale or changed device view</w:t>
      </w:r>
    </w:p>
    <w:p>
      <w:pPr>
        <w:shd w:fill="F2F6FA"/>
        <w:spacing w:after="0" w:line="220" w:lineRule="auto"/>
      </w:pPr>
      <w:r>
        <w:rPr>
          <w:rFonts w:ascii="DejaVu Sans Mono" w:hAnsi="DejaVu Sans Mono"/>
          <w:sz w:val="18"/>
        </w:rPr>
        <w:t xml:space="preserve">    G-&gt;&gt;A: Typed operation</w:t>
      </w:r>
    </w:p>
    <w:p>
      <w:pPr>
        <w:shd w:fill="F2F6FA"/>
        <w:spacing w:after="0" w:line="220" w:lineRule="auto"/>
      </w:pPr>
      <w:r>
        <w:rPr>
          <w:rFonts w:ascii="DejaVu Sans Mono" w:hAnsi="DejaVu Sans Mono"/>
          <w:sz w:val="18"/>
        </w:rPr>
        <w:t xml:space="preserve">    A--&gt;&gt;P: Result or unknown</w:t>
      </w:r>
    </w:p>
    <w:p>
      <w:pPr>
        <w:shd w:fill="F2F6FA"/>
        <w:spacing w:after="0" w:line="220" w:lineRule="auto"/>
      </w:pPr>
      <w:r>
        <w:rPr>
          <w:rFonts w:ascii="DejaVu Sans Mono" w:hAnsi="DejaVu Sans Mono"/>
          <w:sz w:val="18"/>
        </w:rPr>
        <w:t xml:space="preserve">    P-&gt;&gt;P: Filter and bounded log</w:t>
      </w:r>
    </w:p>
    <w:p>
      <w:pPr>
        <w:shd w:fill="F2F6FA"/>
        <w:spacing w:after="0" w:line="220" w:lineRule="auto"/>
      </w:pPr>
      <w:r>
        <w:rPr>
          <w:rFonts w:ascii="DejaVu Sans Mono" w:hAnsi="DejaVu Sans Mono"/>
          <w:sz w:val="18"/>
        </w:rPr>
        <w:t xml:space="preserve">    P--&gt;&gt;C: Response</w:t>
      </w:r>
    </w:p>
    <w:p>
      <w:pPr>
        <w:shd w:fill="F2F6FA"/>
        <w:spacing w:after="0" w:line="220" w:lineRule="auto"/>
      </w:pPr>
      <w:r>
        <w:rPr>
          <w:rFonts w:ascii="DejaVu Sans Mono" w:hAnsi="DejaVu Sans Mono"/>
          <w:sz w:val="18"/>
        </w:rPr>
        <w:t xml:space="preserve">    Note over G,A: No replay of uncertain taps</w:t>
      </w:r>
    </w:p>
    <w:p>
      <w:pPr>
        <w:pStyle w:val="Heading2"/>
        <w:keepNext/>
        <w:spacing w:after="90" w:line="260" w:lineRule="auto"/>
      </w:pPr>
      <w:r>
        <w:rPr>
          <w:rFonts w:ascii="DejaVu Sans" w:hAnsi="DejaVu Sans"/>
          <w:b/>
          <w:sz w:val="25"/>
        </w:rPr>
        <w:t xml:space="preserve">Remediation contract precedence</w:t>
      </w:r>
    </w:p>
    <w:p>
      <w:pPr>
        <w:spacing w:after="90" w:line="260" w:lineRule="auto"/>
      </w:pPr>
      <w:r>
        <w:rPr>
          <w:rFonts w:ascii="DejaVu Sans" w:hAnsi="DejaVu Sans"/>
          <w:sz w:val="21"/>
        </w:rPr>
        <w:t xml:space="preserve">This revision addresses the recovered design/contract findings; the source-coverage finding remains open and is tracked in the latest ledger. Stable source-signature IDs are shared across imported occurrences and local overrides; registry schema/permission changes are revisions, not new random identities. No universal OEM/private introspection is promised: unsupported declarations and schemas remain discoverable with evidence and reasons. Catalog metadata is distinct from OS authority and MCP grants. </w:t>
      </w:r>
      <w:r>
        <w:rPr>
          <w:rFonts w:ascii="DejaVu Sans Mono" w:hAnsi="DejaVu Sans Mono"/>
          <w:sz w:val="18"/>
        </w:rPr>
        <w:t xml:space="preserve">catalog/API-CONTRACT.md</w:t>
      </w:r>
      <w:r>
        <w:rPr>
          <w:rFonts w:ascii="DejaVu Sans" w:hAnsi="DejaVu Sans"/>
          <w:sz w:val="21"/>
        </w:rPr>
        <w:t xml:space="preserve"> defines all CRUD states, CAS and cursor rules; </w:t>
      </w:r>
      <w:r>
        <w:rPr>
          <w:rFonts w:ascii="DejaVu Sans Mono" w:hAnsi="DejaVu Sans Mono"/>
          <w:sz w:val="18"/>
        </w:rPr>
        <w:t xml:space="preserve">catalog/bridge-config.sql</w:t>
      </w:r>
      <w:r>
        <w:rPr>
          <w:rFonts w:ascii="DejaVu Sans" w:hAnsi="DejaVu Sans"/>
          <w:sz w:val="21"/>
        </w:rPr>
        <w:t xml:space="preserve"> makes configuration invariants executable; </w:t>
      </w:r>
      <w:r>
        <w:rPr>
          <w:rFonts w:ascii="DejaVu Sans Mono" w:hAnsi="DejaVu Sans Mono"/>
          <w:sz w:val="18"/>
        </w:rPr>
        <w:t xml:space="preserve">catalog/tooling/policy_reference.py</w:t>
      </w:r>
      <w:r>
        <w:rPr>
          <w:rFonts w:ascii="DejaVu Sans" w:hAnsi="DejaVu Sans"/>
          <w:sz w:val="21"/>
        </w:rPr>
        <w:t xml:space="preserve"> and </w:t>
      </w:r>
      <w:r>
        <w:rPr>
          <w:rFonts w:ascii="DejaVu Sans Mono" w:hAnsi="DejaVu Sans Mono"/>
          <w:sz w:val="18"/>
        </w:rPr>
        <w:t xml:space="preserve">dispatch_manifest.py</w:t>
      </w:r>
      <w:r>
        <w:rPr>
          <w:rFonts w:ascii="DejaVu Sans" w:hAnsi="DejaVu Sans"/>
          <w:sz w:val="21"/>
        </w:rPr>
        <w:t xml:space="preserve"> provide offline contract fixtures, not a running bridge. Existing section diagrams remain editable Mermaid; Pele 1.10.0 rendering is a separate packaging check.</w:t>
      </w:r>
    </w:p>
    <w:p>
      <w:pPr>
        <w:spacing w:after="90" w:line="260" w:lineRule="auto"/>
      </w:pPr>
      <w:r>
        <w:rPr>
          <w:rFonts w:ascii="DejaVu Sans" w:hAnsi="DejaVu Sans"/>
          <w:sz w:val="21"/>
        </w:rPr>
        <w:t xml:space="preserve">The catalog SQL and bridge-config.sql can coexist in the same app-private SQLite database; the offline catalog may also be distributed as an immutable standalone file. A serving administration service must use one transactional database for active registry, overlays, policy epochs and audit/outbox, avoiding cross-database atomicity claims. registry_entries stores immutable (registry_id, entry_id) variants; effective_entries selects only active_registry. Publication switches that pointer and increments registry_generation atomically. Raw unknown calls consult explicit client_raw_grants keyed by connection/descriptor and bounded transaction codes/flags, with ordinary binding grants unable to widen that authority.</w:t>
      </w:r>
    </w:p>
    <w:p>
      <w:pPr>
        <w:spacing w:after="90" w:line="260" w:lineRule="auto"/>
      </w:pPr>
      <w:r>
        <w:rPr>
          <w:rFonts w:ascii="DejaVu Sans" w:hAnsi="DejaVu Sans"/>
          <w:sz w:val="21"/>
        </w:rPr>
        <w:t xml:space="preserve">The raw grant DDL is client_raw_grants(client_id, connection_id, descriptor, code_min, code_max, flags_mask, contract_hash, effect, constraints_json, row_version). constraints_json is scope-only (allowed_targets, allowed_handles, allowed_displays, max_items); connection, descriptor, inclusive code range, flags mask, contract hash and effect are authoritative SQL columns. Empty scope sets deny, and there is no implicit wildcard. Resolve known transactions before checking raw grants: a raw grant can never substitute for a known binding rule. Unknown raw access is a broad authority with explicitly limited observability; ask/allow is available only within every stated bound.</w:t>
      </w:r>
    </w:p>
    <w:p>
      <w:pPr>
        <w:pStyle w:val="Heading2"/>
        <w:keepNext/>
        <w:spacing w:after="90" w:line="260" w:lineRule="auto"/>
      </w:pPr>
      <w:r>
        <w:rPr>
          <w:rFonts w:ascii="DejaVu Sans" w:hAnsi="DejaVu Sans"/>
          <w:b/>
          <w:sz w:val="25"/>
        </w:rPr>
        <w:t xml:space="preserve">Canonical permission entry points and retained unknown metadata</w:t>
      </w:r>
    </w:p>
    <w:p>
      <w:pPr>
        <w:spacing w:after="90" w:line="260" w:lineRule="auto"/>
      </w:pPr>
      <w:r>
        <w:rPr>
          <w:rFonts w:ascii="DejaVu Sans" w:hAnsi="DejaVu Sans"/>
          <w:sz w:val="21"/>
        </w:rPr>
        <w:t xml:space="preserve">Generated per-binding MCP tool names and binding.invoke share the single policy tool_id </w:t>
      </w:r>
      <w:r>
        <w:rPr>
          <w:rFonts w:ascii="DejaVu Sans Mono" w:hAnsi="DejaVu Sans Mono"/>
          <w:sz w:val="18"/>
        </w:rPr>
        <w:t xml:space="preserve">binding.invoke</w:t>
      </w:r>
      <w:r>
        <w:rPr>
          <w:rFonts w:ascii="DejaVu Sans" w:hAnsi="DejaVu Sans"/>
          <w:sz w:val="21"/>
        </w:rPr>
        <w:t xml:space="preserve">. The protocol alias name is stored separately in tool_binding_aliases.alias_name; tools/client_tool_rules represent the shared policy entry point, not hundreds of thousands of independent shadow permission rows. Editing a generated alias in the UI edits its canonical client_binding_rules row. Convenience wrappers have their own restrictive entry-point rules in addition to every required binding grant. A known binder.transact call must also satisfy binding.invoke and its canonical binding rules, then the extra binder.transact restriction; unknown raw calls use their separate explicit raw grants and binder.transact rule. Equal route constraints produce equal decisions; an extra route-specific restriction can only narrow access.</w:t>
      </w:r>
    </w:p>
    <w:p>
      <w:pPr>
        <w:spacing w:after="90" w:line="260" w:lineRule="auto"/>
      </w:pPr>
      <w:r>
        <w:rPr>
          <w:rFonts w:ascii="DejaVu Sans" w:hAnsi="DejaVu Sans"/>
          <w:sz w:val="21"/>
        </w:rPr>
        <w:t xml:space="preserve">PermissionExpression accepts only known op values. Future x- properties on known nodes are retained; an unrecognized semantic node is quarantined as a known unknown wrapper with reason plus exact parsed JSON value in x-raw-node (and required_semantics as appropriate), never interpreted as permission-free. Original imported bytes remain in versioned evidence. Unsupported major versions stay unsupported for invocation.</w:t>
      </w:r>
    </w:p>
    <w:p>
      <w:pPr>
        <w:spacing w:after="90" w:line="260" w:lineRule="auto"/>
      </w:pPr>
      <w:r>
        <w:rPr>
          <w:rFonts w:ascii="DejaVu Sans" w:hAnsi="DejaVu Sans"/>
          <w:sz w:val="21"/>
        </w:rPr>
        <w:t xml:space="preserve">settings.brightness.get reports the actual observed signed32-bit rawValue without clamping, plus withinDocumentedRange and the cited documentedRange1..255. An out-of-range observation (including0 on a differing device) is returned with an anomaly flag, rather than fabricated as a valid documented setting or rejected by the output range. The write policy remains bounded to the documented range with default16..240; no automatic mode change is implied.</w:t>
      </w:r>
    </w:p>
    <w:p>
      <w:pPr>
        <w:spacing w:after="90" w:line="260" w:lineRule="auto"/>
      </w:pPr>
      <w:r>
        <w:rPr>
          <w:rFonts w:ascii="DejaVu Sans" w:hAnsi="DejaVu Sans"/>
          <w:sz w:val="21"/>
        </w:rPr>
        <w:t xml:space="preserve">Native availability uses the reserved target_key platform:local; app/runtime targets must exist in target_app_profiles. Audit retention is a separate authenticated local-owner maintenance transaction: set bridge_config.audit_retention_authorized=1, perform bounded retention deletes, append maintenance audit evidence, reset the flag to0 before commit. Startup resets a stale flag before admitting calls. No remote catalog or MCP device endpoint can enable maintenance or issue SQL. Optional client-log purge remains separate from mandatory audit retention.</w:t>
      </w:r>
    </w:p>
    <w:p>
      <w:pPr>
        <w:spacing w:after="90" w:line="260" w:lineRule="auto"/>
      </w:pPr>
      <w:r>
        <w:rPr>
          <w:rFonts w:ascii="DejaVu Sans" w:hAnsi="DejaVu Sans"/>
          <w:sz w:val="21"/>
        </w:rPr>
        <w:t xml:space="preserve">permission_reader.read is the offline future semantic-node reader: unknown operators become validated unknown wrappers with x-raw-node, preserving the parsed JSON value; original lexical bytes remain in immutable source/import evidence. Known malformed ASTs are rejected. Generated extractor AST validation remains strict. No extension/raw node is interpreted as authority. Runtime/HTTP reader integration remains a release gate for bridge implementation.</w:t>
      </w:r>
    </w:p>
    <w:p>
      <w:pPr>
        <w:spacing w:after="90" w:line="260" w:lineRule="auto"/>
      </w:pPr>
      <w:r>
        <w:rPr>
          <w:rFonts w:ascii="DejaVu Sans" w:hAnsi="DejaVu Sans"/>
          <w:sz w:val="21"/>
        </w:rPr>
        <w:t xml:space="preserve">Offline catalog source occurrences are occurrences(binding_id,source_id,line), joined to binding_declarations at the same key. The separate bridge-config.sql projection is binding_occurrences(binding_id,source_id,locator,record_hash,provenance_json): its locator is </w:t>
      </w:r>
      <w:r>
        <w:rPr>
          <w:rFonts w:ascii="DejaVu Sans Mono" w:hAnsi="DejaVu Sans Mono"/>
          <w:sz w:val="18"/>
        </w:rPr>
        <w:t xml:space="preserve">line:&lt;positive physical source line&gt;</w:t>
      </w:r>
      <w:r>
        <w:rPr>
          <w:rFonts w:ascii="DejaVu Sans" w:hAnsi="DejaVu Sans"/>
          <w:sz w:val="21"/>
        </w:rPr>
        <w:t xml:space="preserve"> for an imported declaration, record_hash is that declaration's record_sha256, and provenance_json retains the source evidence. This projection shares IDs and never replaces the immutable catalog occurrences. External annotation_evidence uses its own source_id/locator key. Every new owner CRUD mutation persists its reason in append-only entry_history_reasons(entry_id,revision,reason), in the same transaction as entry_history; HistoryEvent joins and returns it. Legacy/system events without supplied justification omit the optional reason rather than fabricate one.</w:t>
      </w:r>
    </w:p>
    <w:p>
      <w:pPr>
        <w:spacing w:after="90" w:line="260" w:lineRule="auto"/>
      </w:pPr>
      <w:r>
        <w:rPr>
          <w:rFonts w:ascii="DejaVu Sans" w:hAnsi="DejaVu Sans"/>
          <w:sz w:val="21"/>
        </w:rPr>
        <w:t xml:space="preserve">One protocol alias may require multiple canonical bindings. tool_binding_aliases stores one row per (alias_name,binding_id), while all rows sharing an alias_name must use one policy tool_id. Generated binding aliases share binding.invoke; convenience plans additionally require every referenced binding grant and their own restrictive entry-point rule. The alias constraint never replaces per-binding or OS authority checks.</w:t>
      </w:r>
    </w:p>
    <w:p>
      <w:pPr>
        <w:pStyle w:val="Heading2"/>
        <w:keepNext/>
        <w:spacing w:after="90" w:line="260" w:lineRule="auto"/>
      </w:pPr>
      <w:r>
        <w:rPr>
          <w:rFonts w:ascii="DejaVu Sans" w:hAnsi="DejaVu Sans"/>
          <w:b/>
          <w:sz w:val="25"/>
        </w:rPr>
        <w:t xml:space="preserve">Device capacity and latency acceptance budgets</w:t>
      </w:r>
    </w:p>
    <w:p>
      <w:pPr>
        <w:spacing w:after="90" w:line="260" w:lineRule="auto"/>
      </w:pPr>
      <w:r>
        <w:rPr>
          <w:rFonts w:ascii="DejaVu Sans" w:hAnsi="DejaVu Sans"/>
          <w:sz w:val="21"/>
        </w:rPr>
        <w:t xml:space="preserve">These are engineering acceptance targets, not claimed measurements. The reference deployment profile is64-bit Android35+ with8GiB RAM and128GB storage. Broader support must meet the same budgets and all platform gates. The measured release010 reference SQLite catalog is10,276,548,608 bytes (about9.57GiB), SHA-256 3eb7a2d1ae0fdeeb2743aa1814fe3bf9d2ac5f167d3dec1bde3ac900c0497eb7; evidence/catalog-size-release010.json identifies the owner final manifest hash and own stable file-size check. It contains44,397 imported sources in that frozen checkpoint; this does not establish global coverage. The newer inventory projection and derived device views may increase storage, so preflight uses actual active/incoming bytes and configured view quotas rather than this historical reference size. Raw source archives and JSON audit exports stay off-device. Keep the entire admitted inventory, never a curated subset to meet a budget.</w:t>
      </w:r>
    </w:p>
    <w:p>
      <w:pPr>
        <w:spacing w:after="90" w:line="260" w:lineRule="auto"/>
      </w:pPr>
      <w:r>
        <w:rPr>
          <w:rFonts w:ascii="DejaVu Sans" w:hAnsi="DejaVu Sans"/>
          <w:sz w:val="21"/>
        </w:rPr>
        <w:t xml:space="preserve">Before accepting an atomic catalog replacement, require additional free space &gt;= incoming_catalog_bytes + bounded_staging_scratch_bytes + remaining_configured_log_and_config_quota +1GiB safety reserve. Conservatively budget scratch at incoming_catalog_bytes. With an existing active catalog of the same release010 reference size, this requires at least21GiB additional free space plus the configured quota; the total peak catalog footprint, including that already allocated active copy, rounds up to30GiB plus the quota. Do not count the existing active file twice when comparing against reported free space. Retain the previous immutable catalog until validation and pointer publication succeed; insufficient space yields CATALOG_CAPACITY_REQUIRED and no partial publication. Bridge health reports catalog readiness separately from listener and ADB health.</w:t>
      </w:r>
    </w:p>
    <w:p>
      <w:pPr>
        <w:spacing w:after="90" w:line="260" w:lineRule="auto"/>
      </w:pPr>
      <w:r>
        <w:rPr>
          <w:rFonts w:ascii="DejaVu Sans" w:hAnsi="DejaVu Sans"/>
          <w:sz w:val="21"/>
        </w:rPr>
        <w:t xml:space="preserve">The headless service target is &lt;=256MiB idle RSS and &lt;=384MiB peak excluding OS-owned graphics buffers, SQLite page cache &lt;=32MiB, one bounded on-demand capture at a time, and no preload of all catalog documents. All-bindings UI lists use indexed queries and virtualization: default100 entries per page, hard maximum1000 through application query interfaces over local SQLite; the administration API remains capped at500 per request. Device targets: p95 &lt;=150ms for a metadata page/query, &lt;=25ms for local policy lookup, &lt;=250ms for an owner permission commit, and &lt;=2s to first management view. Backend/ADB/network dispatch latency is measured separately and never hidden in the policy number.</w:t>
      </w:r>
    </w:p>
    <w:p>
      <w:pPr>
        <w:spacing w:after="90" w:line="260" w:lineRule="auto"/>
      </w:pPr>
      <w:r>
        <w:rPr>
          <w:rFonts w:ascii="DejaVu Sans" w:hAnsi="DejaVu Sans"/>
          <w:sz w:val="21"/>
        </w:rPr>
        <w:t xml:space="preserve">Validate these budgets on each supported device/OS using the complete registry, cold/warm caches and the configured maximum client/rule/log quotas before claiming runtime readiness. Budget failures block that device profile or publication; they do not justify dropping inventory rows or claiming measured feasibility from host tests. No device benchmark or phone operation was performed in this deliverable phase.</w:t>
      </w:r>
    </w:p>
    <w:p>
      <w:pPr>
        <w:spacing w:after="90" w:line="260" w:lineRule="auto"/>
      </w:pPr>
      <w:r>
        <w:rPr>
          <w:rFonts w:ascii="DejaVu Sans" w:hAnsi="DejaVu Sans"/>
          <w:sz w:val="21"/>
        </w:rPr>
        <w:t xml:space="preserve">Derived device views have a configured byte quota and bounded history. Pin snapshots used by admitted calls and live cursors; collect only unreferenced expired derived snapshots through trusted maintenance. Never delete immutable catalog/source or audit evidence for view-cache pressure. If a complete view cannot be staged within quota, retain the old snapshot as stale and report capacity failure; no partial activation. Package extension_level metadata is the SDK package's base extension metadata, not an observation of the running device.</w:t>
      </w:r>
    </w:p>
    <w:p>
      <w:pPr>
        <w:pStyle w:val="Heading2"/>
        <w:keepNext/>
        <w:spacing w:after="90" w:line="260" w:lineRule="auto"/>
      </w:pPr>
      <w:r>
        <w:rPr>
          <w:rFonts w:ascii="DejaVu Sans" w:hAnsi="DejaVu Sans"/>
          <w:b/>
          <w:sz w:val="25"/>
        </w:rPr>
        <w:t xml:space="preserve">Catalog-driven callbacks and bounded event delivery</w:t>
      </w:r>
    </w:p>
    <w:p>
      <w:pPr>
        <w:spacing w:after="90" w:line="260" w:lineRule="auto"/>
      </w:pPr>
      <w:r>
        <w:rPr>
          <w:rFonts w:ascii="DejaVu Sans" w:hAnsi="DejaVu Sans"/>
          <w:sz w:val="21"/>
        </w:rPr>
        <w:t xml:space="preserve">This extension records the user's callback and functional tool-group requirements. It is a design and catalog contract, with offline reference validation planned below; it does not claim a deployed subscription service or complete callback extraction. It preserves the complete inventory, startup device resolution, existing authority gates, Avalonia12 management UI, headless service, SQLite configuration, ADB convenience operations and optional Android RemoteControl integration.</w:t>
      </w:r>
    </w:p>
    <w:p>
      <w:pPr>
        <w:pStyle w:val="Heading3"/>
        <w:keepNext/>
        <w:spacing w:after="90" w:line="260" w:lineRule="auto"/>
      </w:pPr>
      <w:r>
        <w:rPr>
          <w:rFonts w:ascii="DejaVu Sans" w:hAnsi="DejaVu Sans"/>
          <w:b/>
          <w:sz w:val="22"/>
        </w:rPr>
        <w:t xml:space="preserve">Callback inventory and evidence</w:t>
      </w:r>
    </w:p>
    <w:p>
      <w:pPr>
        <w:spacing w:after="90" w:line="260" w:lineRule="auto"/>
      </w:pPr>
      <w:r>
        <w:rPr>
          <w:rFonts w:ascii="DejaVu Sans" w:hAnsi="DejaVu Sans"/>
          <w:sz w:val="21"/>
        </w:rPr>
        <w:t xml:space="preserve">Every imported binding and type receives a callback-classification disposition: proven callback, candidate, proven non-callback, or unknown with a reason. The global index retains unclassified and unreachable records. Extract all source-declared callback interfaces, listener/delegate types and abstract callback classes, their inherited methods, and methods accepting or returning them. Binder one-way syntax proves call semantics; a name ending in Listener or Callback alone proves only a candidate. An ordinary synchronous Binder interface can also be a callback. Registration patterns inferred from names remain candidates until supported by signature, documentation, annotations, implementation direction or explicit reviewed source evidence. HIDL generates clauses describe RPC completion results and must not automatically become durable subscriptions.</w:t>
      </w:r>
    </w:p>
    <w:p>
      <w:pPr>
        <w:spacing w:after="90" w:line="260" w:lineRule="auto"/>
      </w:pPr>
      <w:r>
        <w:rPr>
          <w:rFonts w:ascii="DejaVu Sans" w:hAnsi="DejaVu Sans"/>
          <w:sz w:val="21"/>
        </w:rPr>
        <w:t xml:space="preserve">Each versioned CallbackDescriptor records stable callback-type and method IDs; normalized type and method schema hashes; declaration/source locator and immutable import hash; platform, extension, module and interface applicability; role and confidence; argument direction and zero-based formal argument position; registration, replacement and cleanup binding IDs; and registration-token/receiver identity mapping. A relationship may be many-to-many or unresolved. Overloads use canonical IDs, never names alone. Registration/cleanup pair evidence must establish token ownership and argument mapping; unsupported, ambiguous and unknown cases remain searchable. No absent evidence is converted into an Android availability claim. Callback metadata follows immutable imports plus provenance-qualified local overrides, revisions, history and ETag/CAS rules used by other catalog entries. Overrides cannot manufacture runtime wire proof or Android authority.</w:t>
      </w:r>
    </w:p>
    <w:p>
      <w:pPr>
        <w:spacing w:after="90" w:line="260" w:lineRule="auto"/>
      </w:pPr>
      <w:r>
        <w:rPr>
          <w:rFonts w:ascii="DejaVu Sans" w:hAnsi="DejaVu Sans"/>
          <w:sz w:val="21"/>
        </w:rPr>
        <w:t xml:space="preserve">The device-resolved view includes callback types and the coherent closure of event argument types, response types, registration results and cleanup arguments. Callback roles are independent from existence, reachability, verified codec/wire contract, OS authority and MCP client grants. The same canonical permission plan covers generated, generic and raw invocation, callback registration, event reception, local reply policy and cleanup. A generic raw transaction cannot bypass that plan by supplying a callback object as an opaque argument. Unknown callback ABI, return semantics, cleanup mapping or sender-verification requirements yield an explicit unsupported reason for registration; their source records remain in the inventory.</w:t>
      </w:r>
    </w:p>
    <w:p>
      <w:pPr>
        <w:pStyle w:val="Heading3"/>
        <w:keepNext/>
        <w:spacing w:after="90" w:line="260" w:lineRule="auto"/>
      </w:pPr>
      <w:r>
        <w:rPr>
          <w:rFonts w:ascii="DejaVu Sans" w:hAnsi="DejaVu Sans"/>
          <w:b/>
          <w:sz w:val="22"/>
        </w:rPr>
        <w:t xml:space="preserve">Invocation and subscription lifecycle</w:t>
      </w:r>
    </w:p>
    <w:p>
      <w:pPr>
        <w:spacing w:after="90" w:line="260" w:lineRule="auto"/>
      </w:pPr>
      <w:r>
        <w:rPr>
          <w:rFonts w:ascii="DejaVu Sans" w:hAnsi="DejaVu Sans"/>
          <w:sz w:val="21"/>
        </w:rPr>
        <w:t xml:space="preserve">The existing binding.invoke tool adds an optional callback_bindings array. Each item identifies the formal parameter position, CallbackDescriptor ID/revision/hash, selected callback method IDs, delivery policy, retention limits, lease, and a bounded local response policy when needed. Supplying arbitrary executable code, an external callback URL or an untyped Binder object is not supported. The resolved registration/cleanup/type/wire contracts and the client's current grants are checked before proxy creation. The backend validates the callback sender using its supported UID/endpoint capability checks; inability to establish the required sender boundary is explicit, not inferred from a client-supplied identity.</w:t>
      </w:r>
    </w:p>
    <w:p>
      <w:pPr>
        <w:spacing w:after="90" w:line="260" w:lineRule="auto"/>
      </w:pPr>
      <w:r>
        <w:rPr>
          <w:rFonts w:ascii="DejaVu Sans" w:hAnsi="DejaVu Sans"/>
          <w:sz w:val="21"/>
        </w:rPr>
        <w:t xml:space="preserve">Registration is a bounded operation with one final tools/call response. The response includes registration outcome (active, failed or outcome_unknown), the ordinary invocation result, and subscription descriptors. An active descriptor contains subscription_id, stream_epoch, events_uri, initial application cursor, cancellation handle, lease expiry, effective buffer quotas and schema pins. The URI and handle are opaque locators, not bearer authority. Registration idempotency keys are scoped to client principal, credential epoch, target/user/backend epoch and exact contract hash; reuse with different arguments conflicts. If a device transaction may have executed but its reply is lost, persist outcome_unknown and do not blindly register again. Callbacks arriving during registration enter a provisional bounded journal and become visible only with an active registration; a failed or uncertain registration retains a restricted diagnostic disposition and cleanup obligation.</w:t>
      </w:r>
    </w:p>
    <w:p>
      <w:pPr>
        <w:spacing w:after="90" w:line="260" w:lineRule="auto"/>
      </w:pPr>
      <w:r>
        <w:rPr>
          <w:rFonts w:ascii="DejaVu Sans" w:hAnsi="DejaVu Sans"/>
          <w:sz w:val="21"/>
        </w:rPr>
        <w:t xml:space="preserve">The persistent headless service owns CallbackBroker and the journal; closing the Avalonia window does not stop it. Subscription records and retained events may survive transport reconnect and bridge restart. Android callback registrations generally do not survive bridge/device/backend death. Recovery marks those registrations orphaned, records the reason and attempts only verified cleanup/reconciliation; it does not claim a durable live Binder proxy or automatically replay a side-effecting registration. Lifecycle states are registering, active, cancelling, closed, orphaned and outcome_unknown. Every transition has a revision and reason. Terminal states cannot be silently reactivated; a new registration gets a new stream epoch/handle.</w:t>
      </w:r>
    </w:p>
    <w:p>
      <w:pPr>
        <w:spacing w:after="90" w:line="260" w:lineRule="auto"/>
      </w:pPr>
      <w:r>
        <w:rPr>
          <w:rFonts w:ascii="DejaVu Sans" w:hAnsi="DejaVu Sans"/>
          <w:sz w:val="21"/>
        </w:rPr>
        <w:t xml:space="preserve">An explicit callback.cancel tool performs idempotent cancellation and verified unregister/dispose using the recorded token mapping. Its result distinguishes locally closed delivery from confirmed remote cleanup and cleanup_unknown. Binder death, target uninstall, device/backend epoch change, permission revocation and lease expiry invalidate delivery. Authorization is rechecked on reads and before event publication; revocation immediately suppresses payload access and queues least-privileged recorded cleanup. It never authorizes an arbitrary new operation on behalf of a revoked client. Transport disconnect alone is not cancellation. A configured lease/grace bounds disconnected retention; a client must explicitly renew within its authorized maximum. resources/unsubscribe stops resource-update hints only; it does not unregister the Android callback. Deactivating a tool group does not orphan subscriptions: the bootstrap cancel/status tools remain available.</w:t>
      </w:r>
    </w:p>
    <w:p>
      <w:pPr>
        <w:pStyle w:val="Heading3"/>
        <w:keepNext/>
        <w:spacing w:after="90" w:line="260" w:lineRule="auto"/>
      </w:pPr>
      <w:r>
        <w:rPr>
          <w:rFonts w:ascii="DejaVu Sans" w:hAnsi="DejaVu Sans"/>
          <w:b/>
          <w:sz w:val="22"/>
        </w:rPr>
        <w:t xml:space="preserve">MCP2025-11-25 transport contract</w:t>
      </w:r>
    </w:p>
    <w:p>
      <w:pPr>
        <w:spacing w:after="90" w:line="260" w:lineRule="auto"/>
      </w:pPr>
      <w:r>
        <w:rPr>
          <w:rFonts w:ascii="DejaVu Sans" w:hAnsi="DejaVu Sans"/>
          <w:sz w:val="21"/>
        </w:rPr>
        <w:t xml:space="preserve">The interoperable baseline uses standard MCP resources. The server advertises resources.subscribe support. The invocation result returns a resource link and events_uri such as android-callback://subscription-id/events. The client may subscribe to that exact URI with resources/subscribe. A coalescible notifications/resources/updated notification contains the URI only. The client then uses resources/read on the advertised URI template android-callback://subscription-id/events{?cursor,limit,max_bytes} to obtain a finite application/json journal page. The no-query URI reads the earliest retained page. A page contains events, next_cursor, has_more, oldest_retained_cursor, terminal state and any explicit loss range. The implementation validates and canonicalizes the URI, checks ownership, enforces fixed maxima, and never treats path/query values as SQL or file paths. Cursors bind subscription, stream epoch, principal/credential scope and retention revision; they are integrity-protected and opaque. An expired cursor returns cursor_expired with the available retention boundary, never a fabricated contiguous replay.</w:t>
      </w:r>
    </w:p>
    <w:p>
      <w:pPr>
        <w:spacing w:after="90" w:line="260" w:lineRule="auto"/>
      </w:pPr>
      <w:r>
        <w:rPr>
          <w:rFonts w:ascii="DejaVu Sans" w:hAnsi="DejaVu Sans"/>
          <w:sz w:val="21"/>
        </w:rPr>
        <w:t xml:space="preserve">On StreamableHTTP, standard notifications can arrive on the client's GET SSE stream; on stdio they are ordinary MCP notification messages. A POST tools/call may use SSE while registration runs, then produces its single final JSON-RPC response and normally terminates that request stream. Callback events do not become additional final responses or indefinite progress updates. Clients lacking resource-subscription support can explicitly perform bounded reads; this is caller-driven retrieval, not a bridge business-monitoring scheduler. A resource link is not a promise that every MCP host automatically subscribes or inserts payloads into agent context.</w:t>
      </w:r>
    </w:p>
    <w:p>
      <w:pPr>
        <w:spacing w:after="90" w:line="260" w:lineRule="auto"/>
      </w:pPr>
      <w:r>
        <w:rPr>
          <w:rFonts w:ascii="DejaVu Sans" w:hAnsi="DejaVu Sans"/>
          <w:sz w:val="21"/>
        </w:rPr>
        <w:t xml:space="preserve">Direct payload SSE is optional and disabled by default. A future implementation may expose a separately authenticated subscription stream, or a fully documented mutually negotiated experimental extension. It must advertise its exact transport, authorization, schema, limits and cancellation rules and retain the standard resource-read fallback. No custom method is represented as an MCP standard notification. The baseline requires no extension and does not depend on an LLM host implementing one.</w:t>
      </w:r>
    </w:p>
    <w:p>
      <w:pPr>
        <w:spacing w:after="90" w:line="260" w:lineRule="auto"/>
      </w:pPr>
      <w:r>
        <w:rPr>
          <w:rFonts w:ascii="DejaVu Sans" w:hAnsi="DejaVu Sans"/>
          <w:sz w:val="21"/>
        </w:rPr>
        <w:t xml:space="preserve">Transport Last-Event-ID is an MCP stream-replay token, subject to session/stream routing and server retention; it is distinct from the callback application's journal cursor. Reconnecting transport may replay a resource-update hint but does not advance or acknowledge journal consumption. Client deduplication uses (subscription_id, stream_epoch, sequence), not the SSE event ID. Standard progress tokens stop with the original operation and are not used as permanent subscription channels. These are application patterns composed from the pinned standard, not new MCP guarantees. Sources: </w:t>
      </w:r>
      <w:hyperlink r:id="rIdDesign1043">
        <w:r>
          <w:rPr>
            <w:rFonts w:ascii="DejaVu Sans" w:hAnsi="DejaVu Sans"/>
            <w:color w:val="24577A"/>
            <w:sz w:val="21"/>
            <w:u w:val="single"/>
          </w:rPr>
          <w:t xml:space="preserve">MCP transports</w:t>
        </w:r>
      </w:hyperlink>
      <w:r>
        <w:rPr>
          <w:rFonts w:ascii="DejaVu Sans" w:hAnsi="DejaVu Sans"/>
          <w:sz w:val="21"/>
        </w:rPr>
        <w:t xml:space="preserve">, </w:t>
      </w:r>
      <w:hyperlink r:id="rIdDesign1044">
        <w:r>
          <w:rPr>
            <w:rFonts w:ascii="DejaVu Sans" w:hAnsi="DejaVu Sans"/>
            <w:color w:val="24577A"/>
            <w:sz w:val="21"/>
            <w:u w:val="single"/>
          </w:rPr>
          <w:t xml:space="preserve">MCP resources</w:t>
        </w:r>
      </w:hyperlink>
      <w:r>
        <w:rPr>
          <w:rFonts w:ascii="DejaVu Sans" w:hAnsi="DejaVu Sans"/>
          <w:sz w:val="21"/>
        </w:rPr>
        <w:t xml:space="preserve">, </w:t>
      </w:r>
      <w:hyperlink r:id="rIdDesign1045">
        <w:r>
          <w:rPr>
            <w:rFonts w:ascii="DejaVu Sans" w:hAnsi="DejaVu Sans"/>
            <w:color w:val="24577A"/>
            <w:sz w:val="21"/>
            <w:u w:val="single"/>
          </w:rPr>
          <w:t xml:space="preserve">MCP tools</w:t>
        </w:r>
      </w:hyperlink>
      <w:r>
        <w:rPr>
          <w:rFonts w:ascii="DejaVu Sans" w:hAnsi="DejaVu Sans"/>
          <w:sz w:val="21"/>
        </w:rPr>
        <w:t xml:space="preserve">, </w:t>
      </w:r>
      <w:hyperlink r:id="rIdDesign1046">
        <w:r>
          <w:rPr>
            <w:rFonts w:ascii="DejaVu Sans" w:hAnsi="DejaVu Sans"/>
            <w:color w:val="24577A"/>
            <w:sz w:val="21"/>
            <w:u w:val="single"/>
          </w:rPr>
          <w:t xml:space="preserve">MCP progress</w:t>
        </w:r>
      </w:hyperlink>
      <w:r>
        <w:rPr>
          <w:rFonts w:ascii="DejaVu Sans" w:hAnsi="DejaVu Sans"/>
          <w:sz w:val="21"/>
        </w:rPr>
        <w:t xml:space="preserve">.</w:t>
      </w:r>
    </w:p>
    <w:p>
      <w:pPr>
        <w:pStyle w:val="Heading3"/>
        <w:keepNext/>
        <w:spacing w:after="90" w:line="260" w:lineRule="auto"/>
      </w:pPr>
      <w:r>
        <w:rPr>
          <w:rFonts w:ascii="DejaVu Sans" w:hAnsi="DejaVu Sans"/>
          <w:b/>
          <w:sz w:val="22"/>
        </w:rPr>
        <w:t xml:space="preserve">Event envelope, bounds and synchronous replies</w:t>
      </w:r>
    </w:p>
    <w:p>
      <w:pPr>
        <w:spacing w:after="90" w:line="260" w:lineRule="auto"/>
      </w:pPr>
      <w:r>
        <w:rPr>
          <w:rFonts w:ascii="DejaVu Sans" w:hAnsi="DejaVu Sans"/>
          <w:sz w:val="21"/>
        </w:rPr>
        <w:t xml:space="preserve">Each accepted event has subscription_id, stream_epoch, a decimal-string sequence, event_id, callback method ID, immutable schema hash, registration correlation ID, observed UTC timestamp, monotonic capture offset and either typed payload, scoped payload-resource reference, or typed error. Sequence order is assigned atomically when appending within one subscription across concurrent Binder threads; it is not a claim about physical ordering across threads, callbacks or subscriptions. Replay is at-least-once for retained accepted journal events; Android source delivery and crashes before durable acceptance are not exactly-once guarantees. Source omissions and known loss ranges are exposed. No acknowledgement deletes another consumer's events; any explicit acknowledgement is consumer-scoped and retention still honors the shared bounded quota.</w:t>
      </w:r>
    </w:p>
    <w:p>
      <w:pPr>
        <w:spacing w:after="90" w:line="260" w:lineRule="auto"/>
      </w:pPr>
      <w:r>
        <w:rPr>
          <w:rFonts w:ascii="DejaVu Sans" w:hAnsi="DejaVu Sans"/>
          <w:sz w:val="21"/>
        </w:rPr>
        <w:t xml:space="preserve">Default proposed limits are 256 events or1MiB per subscription (whichever comes first), 64KiB inline event, 64 events/128KiB per read, 10-minute journal retention, 5-minute renewable lease and a global per-client journal quota. These are configurable engineering defaults pending Android measurement, not published platform limits. Admission reserves space for terminal/loss metadata and applies the lower server/client quota. Payload-resource references consume the same quota and cannot bypass it. The default overflow policy closes delivery and reports buffer_overflow; optional drop_oldest/drop_newest is explicitly chosen and reports exact lost sequence ranges. Coalescing requires semantic evidence and opt-in, otherwise it can erase meaningful events. Oversized/unsupported payloads produce a bounded typed error or scoped resource, never silent truncation. Binder threads release native resources promptly; no producer waits for a remote consumer to drain the buffer. Disk-full marks durability_failed and closes the stream; it does not acknowledge a durable append. Reads and resource hints do not log payloads by default.</w:t>
      </w:r>
    </w:p>
    <w:p>
      <w:pPr>
        <w:spacing w:after="90" w:line="260" w:lineRule="auto"/>
      </w:pPr>
      <w:r>
        <w:rPr>
          <w:rFonts w:ascii="DejaVu Sans" w:hAnsi="DejaVu Sans"/>
          <w:sz w:val="21"/>
        </w:rPr>
        <w:t xml:space="preserve">For return-valued synchronous callbacks, the reply path is local. Registration must select an allowlisted typed constant or bounded deterministic handler with method-specific evidence that the response is valid. It must also declare a monotonic deadline no longer than the verified caller allowance and an approved typed timeout/error/default policy. There is no universal safe default or universal Binder deadline. Unknown deadlines/default semantics or unbounded handlers mean unsupported_synchronous_reply. The event may still report the locally selected reply and reason after completion. A remote agent may update a future policy only by a separate authorized CAS mutation; no current synchronous call blocks on network, model inference, resource reads or agent approval. Void/one-way callbacks enqueue and return promptly; HIDL RPC completion adapters retain their finite call correlation and are not mislabeled as subscriptions.</w:t>
      </w:r>
    </w:p>
    <w:p>
      <w:pPr>
        <w:spacing w:after="90" w:line="260" w:lineRule="auto"/>
      </w:pPr>
      <w:r>
        <w:rPr>
          <w:rFonts w:ascii="DejaVu Sans" w:hAnsi="DejaVu Sans"/>
          <w:sz w:val="21"/>
        </w:rPr>
        <w:t xml:space="preserve">SQLite stores subscription metadata/revisions, exact contract pins, lease state, journal records keyed by subscription/epoch/sequence, per-client quotas, cleanup obligations and bounded replay cursors. Event-journal persistence is functional data storage, distinct from configurable call logging. Both use app-private storage, owner-controlled retention and per-client disclosure. Logging can record correlation/size/errors without payload; sensitive payload logging requires that client's explicit configuration. No callback can execute an app-specific decision workflow in the bridge.</w:t>
      </w:r>
    </w:p>
    <w:p>
      <w:pPr>
        <w:pStyle w:val="Heading2"/>
        <w:keepNext/>
        <w:pageBreakBefore/>
        <w:spacing w:after="90" w:line="260" w:lineRule="auto"/>
      </w:pPr>
      <w:r>
        <w:rPr>
          <w:rFonts w:ascii="DejaVu Sans" w:hAnsi="DejaVu Sans"/>
          <w:b/>
          <w:sz w:val="25"/>
        </w:rPr>
        <w:t xml:space="preserve">Callback architecture</w:t>
      </w:r>
    </w:p>
    <w:p>
      <w:pPr>
        <w:spacing w:after="90" w:line="260" w:lineRule="auto"/>
        <w:jc w:val="center"/>
      </w:pPr>
      <w:r>
        <w:drawing>
          <wp:inline distT="0" distB="0" distL="0" distR="0">
            <wp:extent cx="6022588" cy="7223759"/>
            <wp:docPr id="5" name="Callback architecture" descr="Callback architecture"/>
            <a:graphic>
              <a:graphicData uri="http://schemas.openxmlformats.org/drawingml/2006/picture">
                <pic:pic>
                  <pic:nvPicPr>
                    <pic:cNvPr id="0" name="design-5.png"/>
                    <pic:cNvPicPr/>
                  </pic:nvPicPr>
                  <pic:blipFill>
                    <a:blip r:embed="rIdDesign1047"/>
                    <a:stretch>
                      <a:fillRect/>
                    </a:stretch>
                  </pic:blipFill>
                  <pic:spPr>
                    <a:xfrm>
                      <a:off x="0" y="0"/>
                      <a:ext cx="6022588" cy="7223759"/>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pageBreakBefore/>
        <w:spacing w:after="90" w:line="260" w:lineRule="auto"/>
      </w:pPr>
      <w:r>
        <w:rPr>
          <w:rFonts w:ascii="DejaVu Sans" w:hAnsi="DejaVu Sans"/>
          <w:b/>
          <w:sz w:val="25"/>
        </w:rPr>
        <w:t xml:space="preserve">Callback registration and delivery</w:t>
      </w:r>
    </w:p>
    <w:p>
      <w:pPr>
        <w:spacing w:after="90" w:line="260" w:lineRule="auto"/>
        <w:jc w:val="center"/>
      </w:pPr>
      <w:r>
        <w:drawing>
          <wp:inline distT="0" distB="0" distL="0" distR="0">
            <wp:extent cx="6400800" cy="4313428"/>
            <wp:docPr id="6" name="Callback registration and delivery" descr="Callback registration and delivery"/>
            <a:graphic>
              <a:graphicData uri="http://schemas.openxmlformats.org/drawingml/2006/picture">
                <pic:pic>
                  <pic:nvPicPr>
                    <pic:cNvPr id="0" name="design-6.png"/>
                    <pic:cNvPicPr/>
                  </pic:nvPicPr>
                  <pic:blipFill>
                    <a:blip r:embed="rIdDesign1048"/>
                    <a:stretch>
                      <a:fillRect/>
                    </a:stretch>
                  </pic:blipFill>
                  <pic:spPr>
                    <a:xfrm>
                      <a:off x="0" y="0"/>
                      <a:ext cx="6400800" cy="4313428"/>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Small functional tool groups and job-based discovery</w:t>
      </w:r>
    </w:p>
    <w:p>
      <w:pPr>
        <w:spacing w:after="90" w:line="260" w:lineRule="auto"/>
      </w:pPr>
      <w:r>
        <w:rPr>
          <w:rFonts w:ascii="DejaVu Sans" w:hAnsi="DejaVu Sans"/>
          <w:sz w:val="21"/>
        </w:rPr>
        <w:t xml:space="preserve">The complete catalog remains available, but an agent starts with a small stable bootstrap tool set: android.groups.discover, android.groups.describe, android.groups.set_active, binding.invoke, callback.status and callback.cancel. Generic invocation accepts canonical IDs and validates the exact contract. Full schema enumeration is an explicit bounded operation. The management UI provides functional groups, current activation, estimated context cost, required grants, availability reasons and per-client logging controls alongside the existing client configuration. Discovery can locate unknown/unavailable capabilities without granting access to their invocation or revealing another client's private overrides/configuration.</w:t>
      </w:r>
    </w:p>
    <w:p>
      <w:pPr>
        <w:spacing w:after="90" w:line="260" w:lineRule="auto"/>
      </w:pPr>
      <w:r>
        <w:rPr>
          <w:rFonts w:ascii="DejaVu Sans" w:hAnsi="DejaVu Sans"/>
          <w:sz w:val="21"/>
        </w:rPr>
        <w:t xml:space="preserve">Groups represent a small coherent job capability, such as display brightness read/write, location subscription lifecycle, audio volume control, package metadata inspection or rendered-screen input. These are illustrative group shapes, not a curated allowlist or a claim that these source mappings are implemented. A group is neither one Java package nor an entire Android subsystem. Every entry has one or more provenance-qualified group memberships or an explicit unassigned reason and remains searchable by canonical ID/type/source. Shared types and permissions live in the global index, not duplicated as conflicting per-group definitions. Do not semantically re-shard the physical catalog as part of this design change.</w:t>
      </w:r>
    </w:p>
    <w:p>
      <w:pPr>
        <w:spacing w:after="90" w:line="260" w:lineRule="auto"/>
      </w:pPr>
      <w:r>
        <w:rPr>
          <w:rFonts w:ascii="DejaVu Sans" w:hAnsi="DejaVu Sans"/>
          <w:sz w:val="21"/>
        </w:rPr>
        <w:t xml:space="preserve">FunctionalGroup records stable group_id, revision, content hash, title, bounded description, searchable labels, immutable import provenance and override lineage; canonical binding memberships; required type closure; dependencies and optional related groups; lifecycle invariants; and measured serialized descriptor bytes plus an explicitly labeled token estimate. Registration/unregistration/replacement and token/type dependencies form one atomic lifecycle unit. A group cannot advertise registration while hiding the required cleanup operation. Unknown cleanup remains visible and blocks activation of that unsafe registration unit. Large coherent units can stay generic-invoke-only with an oversize reason; they cannot be partially loaded to satisfy a context budget. Dependencies use immutable revisions/hashes, cycle validation and bounded closure; unresolved dependency metadata is explicit.</w:t>
      </w:r>
    </w:p>
    <w:p>
      <w:pPr>
        <w:spacing w:after="90" w:line="260" w:lineRule="auto"/>
      </w:pPr>
      <w:r>
        <w:rPr>
          <w:rFonts w:ascii="DejaVu Sans" w:hAnsi="DejaVu Sans"/>
          <w:sz w:val="21"/>
        </w:rPr>
        <w:t xml:space="preserve">android.groups.discover accepts a task/job description, optional capability/backend/device constraints, availability and permission filters, maximum groups, maximum response bytes and optional estimated-token budget. The server deterministically searches normalized labels, descriptions, canonical symbols and source-derived functional annotations, then ranks stable ties by group ID. Optional semantic ranking may improve relevance only; the deterministic index remains usable without an LLM, and ranking never changes grants or device authority. Descriptions, user overrides and job text are untrusted data, never instructions executed by the bridge. The result returns ranked small summaries, IDs/revisions/hashes, relevant capability IDs, dependency counts, applicability/permission status with reasons and a scoped continuation cursor. It omits all full tool/type schemas. Bounded ranking is over the full index, not a preselected functional subset. Search bounds may stop work with an explicit partial-search flag and cursor; the response never claims exhaustive job suitability when a search was truncated.</w:t>
      </w:r>
    </w:p>
    <w:p>
      <w:pPr>
        <w:spacing w:after="90" w:line="260" w:lineRule="auto"/>
      </w:pPr>
      <w:r>
        <w:rPr>
          <w:rFonts w:ascii="DejaVu Sans" w:hAnsi="DejaVu Sans"/>
          <w:sz w:val="21"/>
        </w:rPr>
        <w:t xml:space="preserve">For example, “observe location changes, then stop” can return a location-subscription group summary including register/unregister/callback lifecycle and location payload-type dependency. The agent describes that group for exact contracts, asks to activate the coherent unit within its budget, invokes registration, consumes its bounded resource journal and cancels. The bridge makes no travel, app-specific or timing decision. If permission is denied or applicability unknown, discovery reports that status and activation cannot grant the missing authority.</w:t>
      </w:r>
    </w:p>
    <w:p>
      <w:pPr>
        <w:pStyle w:val="Heading3"/>
        <w:keepNext/>
        <w:spacing w:after="90" w:line="260" w:lineRule="auto"/>
      </w:pPr>
      <w:r>
        <w:rPr>
          <w:rFonts w:ascii="DejaVu Sans" w:hAnsi="DejaVu Sans"/>
          <w:b/>
          <w:sz w:val="22"/>
        </w:rPr>
        <w:t xml:space="preserve">Activation, concurrency and host compatibility</w:t>
      </w:r>
    </w:p>
    <w:p>
      <w:pPr>
        <w:spacing w:after="90" w:line="260" w:lineRule="auto"/>
      </w:pPr>
      <w:r>
        <w:rPr>
          <w:rFonts w:ascii="DejaVu Sans" w:hAnsi="DejaVu Sans"/>
          <w:sz w:val="21"/>
        </w:rPr>
        <w:t xml:space="preserve">Interest/activation is scoped to authenticated client, credential epoch and MCP session. It is separate from per-client permission grants and from the device's resolved availability. android.groups.set_active submits the entire desired group-ID/revision/hash set plus expected view ETag and byte/token-estimate budgets. The transaction resolves dependencies and types, checks current catalog/device/policy epochs, serializes the proposed descriptors and atomically accepts the complete set or returns a conflict/budget/unknown-dependency error without partial activation. Deactivation uses the same CAS operation. Stable tool names include canonical binding identity; names cannot be reused for different contracts after refresh. View cursors bind owner/session, activation revision, catalog/device/policy epochs and expiry. Foreign, stale or mismatched cursors are rejected. No client sees another session's activation or private mappings.</w:t>
      </w:r>
    </w:p>
    <w:p>
      <w:pPr>
        <w:spacing w:after="90" w:line="260" w:lineRule="auto"/>
      </w:pPr>
      <w:r>
        <w:rPr>
          <w:rFonts w:ascii="DejaVu Sans" w:hAnsi="DejaVu Sans"/>
          <w:sz w:val="21"/>
        </w:rPr>
        <w:t xml:space="preserve">There are two explicit presentation modes. The default portable mode exposes only the stable bootstrap tools through tools/list; active groups supply bounded schema manifests for generic binding.invoke. This prevents bridge-side eager exposure of thousands of generated tools even if a host exhausts tools/list pagination. A host that supports an explicitly negotiated group-view feature may opt into dynamic aliases for its active groups. In that mode, tools/list enumerates exactly the current session's coherent activated aliases plus bootstrap tools, with bounded pages and a revision-scoped cursor. Changes emit the standard notifications/tools/list_changed when advertised. This custom session-view feature and its cache contract are documented as an opt-in application feature, not a standard MCP selective-context guarantee. Unknown hosts use portable mode.</w:t>
      </w:r>
    </w:p>
    <w:p>
      <w:pPr>
        <w:spacing w:after="90" w:line="260" w:lineRule="auto"/>
      </w:pPr>
      <w:r>
        <w:rPr>
          <w:rFonts w:ascii="DejaVu Sans" w:hAnsi="DejaVu Sans"/>
          <w:sz w:val="21"/>
        </w:rPr>
        <w:t xml:space="preserve">Pagination alone cannot prevent an eager host fetching every page. list_changed support also does not guarantee that a host refreshes its cache or evicts old schemas from the model context. The bridge can bound its response sizes and exposed set; actual host context usage is a measured integration property. A client unable to apply dynamic changes retains bootstrap/generic-invoke mode and explicitly fetches only the required manifest pages. Token estimates are labeled with estimator/version and never treated as an exact host-model tokenizer budget. A strict UTF-8 serialized-byte maximum is enforced independently, including descriptions and dependency/type metadata; a single oversize unit is refused for alias loading.</w:t>
      </w:r>
    </w:p>
    <w:p>
      <w:pPr>
        <w:spacing w:after="90" w:line="260" w:lineRule="auto"/>
      </w:pPr>
      <w:r>
        <w:rPr>
          <w:rFonts w:ascii="DejaVu Sans" w:hAnsi="DejaVu Sans"/>
          <w:sz w:val="21"/>
        </w:rPr>
        <w:t xml:space="preserve">Catalog import, override revision, group mapping edits, device/backend change and permission revocation invalidate the matching caches. In-flight calls pin their admitted complete contract/type/policy plan. A harmless activation view change alone does not invalidate an already admitted call or live callback handle; a contract, capability or authority change revalidates or rejects it with stale_contract/revoked/epoch_changed. No cached schema grants continuing authority. Subscriptions retain explicit cancellation/status through bootstrap even when their group is removed. Safe descriptor-only group changes may preserve handles when their exact registration, callback and cleanup pins are unchanged; incompatible changes require explicit cancellation/re-registration, not silent retargeting.</w:t>
      </w:r>
    </w:p>
    <w:p>
      <w:pPr>
        <w:pStyle w:val="Heading3"/>
        <w:keepNext/>
        <w:spacing w:after="90" w:line="260" w:lineRule="auto"/>
      </w:pPr>
      <w:r>
        <w:rPr>
          <w:rFonts w:ascii="DejaVu Sans" w:hAnsi="DejaVu Sans"/>
          <w:b/>
          <w:sz w:val="22"/>
        </w:rPr>
        <w:t xml:space="preserve">Management, CRUD and component responsibilities</w:t>
      </w:r>
    </w:p>
    <w:p>
      <w:pPr>
        <w:spacing w:after="90" w:line="260" w:lineRule="auto"/>
      </w:pPr>
      <w:r>
        <w:rPr>
          <w:rFonts w:ascii="DejaVu Sans" w:hAnsi="DejaVu Sans"/>
          <w:sz w:val="21"/>
        </w:rPr>
        <w:t xml:space="preserve">The catalog CRUD contract adds immutable imported CallbackDescriptor and FunctionalGroup resources, append-only evidence, separate local overlays and CAS history. GET/list support bounded filters and stable cursors. Owner-authenticated PUT/PATCH/DELETE affects local mappings or tombstones; imported evidence is never rewritten. Deleting a referenced group mapping is rejected while an active view pins it or creates a new revision used only after explicit activation; existing evidence remains retrievable by revision. Activation is a session operation, not an import mutation. Client permission changes keep their existing independent grant API and immediately invalidate affected admission/cache epochs.</w:t>
      </w:r>
    </w:p>
    <w:p>
      <w:pPr>
        <w:spacing w:after="90" w:line="260" w:lineRule="auto"/>
      </w:pPr>
      <w:r>
        <w:rPr>
          <w:rFonts w:ascii="DejaVu Sans" w:hAnsi="DejaVu Sans"/>
          <w:sz w:val="21"/>
        </w:rPr>
        <w:t xml:space="preserve">Avalonia12 presents a functional-group editor and searchable unassigned queue, source/default versus local override provenance, dependency and callback pair inspection, context budget previews, active session views and subscription status/cancellation. UI edits use the same CAS APIs. It distinguishes source evidence, device applicability, permission denial and current activation. The persistent service remains operational independently of this UI, retains its running indicator and separate MCP/ADB health, and applies existing Android foreground-service and boot limits.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Component</w:t>
            </w:r>
          </w:p>
        </w:tc>
        <w:tc>
          <w:tcPr>
            <w:tcW w:w="7668" w:type="dxa"/>
            <w:shd w:fill="E4EDF5"/>
            <w:vAlign w:val="top"/>
          </w:tcPr>
          <w:p>
            <w:pPr>
              <w:spacing w:after="60" w:line="235" w:lineRule="auto"/>
            </w:pPr>
            <w:r>
              <w:rPr>
                <w:rFonts w:ascii="DejaVu Sans" w:hAnsi="DejaVu Sans"/>
                <w:b/>
                <w:sz w:val="18"/>
              </w:rPr>
              <w:t xml:space="preserve">Responsibility</w:t>
            </w:r>
          </w:p>
        </w:tc>
      </w:tr>
      <w:tr>
        <w:trPr>
          <w:cantSplit/>
        </w:trPr>
        <w:tc>
          <w:tcPr>
            <w:tcW w:w="2556" w:type="dxa"/>
            <w:shd w:fill="FFFFFF"/>
            <w:vAlign w:val="top"/>
          </w:tcPr>
          <w:p>
            <w:pPr>
              <w:spacing w:after="60" w:line="235" w:lineRule="auto"/>
            </w:pPr>
            <w:r>
              <w:rPr>
                <w:rFonts w:ascii="DejaVu Sans" w:hAnsi="DejaVu Sans"/>
                <w:sz w:val="18"/>
              </w:rPr>
              <w:t xml:space="preserve">ICallbackCatalogClassifier</w:t>
            </w:r>
          </w:p>
        </w:tc>
        <w:tc>
          <w:tcPr>
            <w:tcW w:w="7668" w:type="dxa"/>
            <w:shd w:fill="FFFFFF"/>
            <w:vAlign w:val="top"/>
          </w:tcPr>
          <w:p>
            <w:pPr>
              <w:spacing w:after="60" w:line="235" w:lineRule="auto"/>
            </w:pPr>
            <w:r>
              <w:rPr>
                <w:rFonts w:ascii="DejaVu Sans" w:hAnsi="DejaVu Sans"/>
                <w:sz w:val="18"/>
              </w:rPr>
              <w:t xml:space="preserve">Exhaustive disposition and evidence-qualified role/pair/type metadata; unknowns retained.</w:t>
            </w:r>
          </w:p>
        </w:tc>
      </w:tr>
      <w:tr>
        <w:trPr>
          <w:cantSplit/>
        </w:trPr>
        <w:tc>
          <w:tcPr>
            <w:tcW w:w="2556" w:type="dxa"/>
            <w:shd w:fill="FFFFFF"/>
            <w:vAlign w:val="top"/>
          </w:tcPr>
          <w:p>
            <w:pPr>
              <w:spacing w:after="60" w:line="235" w:lineRule="auto"/>
            </w:pPr>
            <w:r>
              <w:rPr>
                <w:rFonts w:ascii="DejaVu Sans" w:hAnsi="DejaVu Sans"/>
                <w:sz w:val="18"/>
              </w:rPr>
              <w:t xml:space="preserve">ICallbackAdmissionPlanner</w:t>
            </w:r>
          </w:p>
        </w:tc>
        <w:tc>
          <w:tcPr>
            <w:tcW w:w="7668" w:type="dxa"/>
            <w:shd w:fill="FFFFFF"/>
            <w:vAlign w:val="top"/>
          </w:tcPr>
          <w:p>
            <w:pPr>
              <w:spacing w:after="60" w:line="235" w:lineRule="auto"/>
            </w:pPr>
            <w:r>
              <w:rPr>
                <w:rFonts w:ascii="DejaVu Sans" w:hAnsi="DejaVu Sans"/>
                <w:sz w:val="18"/>
              </w:rPr>
              <w:t xml:space="preserve">Pin coherent registration/event/reply/cleanup contracts and apply canonical policy, OS and wire gates.</w:t>
            </w:r>
          </w:p>
        </w:tc>
      </w:tr>
      <w:tr>
        <w:trPr>
          <w:cantSplit/>
        </w:trPr>
        <w:tc>
          <w:tcPr>
            <w:tcW w:w="2556" w:type="dxa"/>
            <w:shd w:fill="FFFFFF"/>
            <w:vAlign w:val="top"/>
          </w:tcPr>
          <w:p>
            <w:pPr>
              <w:spacing w:after="60" w:line="235" w:lineRule="auto"/>
            </w:pPr>
            <w:r>
              <w:rPr>
                <w:rFonts w:ascii="DejaVu Sans" w:hAnsi="DejaVu Sans"/>
                <w:sz w:val="18"/>
              </w:rPr>
              <w:t xml:space="preserve">ICallbackProxyAdapter</w:t>
            </w:r>
          </w:p>
        </w:tc>
        <w:tc>
          <w:tcPr>
            <w:tcW w:w="7668" w:type="dxa"/>
            <w:shd w:fill="FFFFFF"/>
            <w:vAlign w:val="top"/>
          </w:tcPr>
          <w:p>
            <w:pPr>
              <w:spacing w:after="60" w:line="235" w:lineRule="auto"/>
            </w:pPr>
            <w:r>
              <w:rPr>
                <w:rFonts w:ascii="DejaVu Sans" w:hAnsi="DejaVu Sans"/>
                <w:sz w:val="18"/>
              </w:rPr>
              <w:t xml:space="preserve">Verify supported sender boundary, decode typed callbacks and provide bounded local synchronous replies.</w:t>
            </w:r>
          </w:p>
        </w:tc>
      </w:tr>
      <w:tr>
        <w:trPr>
          <w:cantSplit/>
        </w:trPr>
        <w:tc>
          <w:tcPr>
            <w:tcW w:w="2556" w:type="dxa"/>
            <w:shd w:fill="FFFFFF"/>
            <w:vAlign w:val="top"/>
          </w:tcPr>
          <w:p>
            <w:pPr>
              <w:spacing w:after="60" w:line="235" w:lineRule="auto"/>
            </w:pPr>
            <w:r>
              <w:rPr>
                <w:rFonts w:ascii="DejaVu Sans" w:hAnsi="DejaVu Sans"/>
                <w:sz w:val="18"/>
              </w:rPr>
              <w:t xml:space="preserve">ICallbackBroker / ISubscriptionJournal</w:t>
            </w:r>
          </w:p>
        </w:tc>
        <w:tc>
          <w:tcPr>
            <w:tcW w:w="7668" w:type="dxa"/>
            <w:shd w:fill="FFFFFF"/>
            <w:vAlign w:val="top"/>
          </w:tcPr>
          <w:p>
            <w:pPr>
              <w:spacing w:after="60" w:line="235" w:lineRule="auto"/>
            </w:pPr>
            <w:r>
              <w:rPr>
                <w:rFonts w:ascii="DejaVu Sans" w:hAnsi="DejaVu Sans"/>
                <w:sz w:val="18"/>
              </w:rPr>
              <w:t xml:space="preserve">Atomic ordered append, quotas, leases, replay, loss/terminal markers and cleanup obligations in the headless service.</w:t>
            </w:r>
          </w:p>
        </w:tc>
      </w:tr>
      <w:tr>
        <w:trPr>
          <w:cantSplit/>
        </w:trPr>
        <w:tc>
          <w:tcPr>
            <w:tcW w:w="2556" w:type="dxa"/>
            <w:shd w:fill="FFFFFF"/>
            <w:vAlign w:val="top"/>
          </w:tcPr>
          <w:p>
            <w:pPr>
              <w:spacing w:after="60" w:line="235" w:lineRule="auto"/>
            </w:pPr>
            <w:r>
              <w:rPr>
                <w:rFonts w:ascii="DejaVu Sans" w:hAnsi="DejaVu Sans"/>
                <w:sz w:val="18"/>
              </w:rPr>
              <w:t xml:space="preserve">IMcpCallbackResourceAdapter</w:t>
            </w:r>
          </w:p>
        </w:tc>
        <w:tc>
          <w:tcPr>
            <w:tcW w:w="7668" w:type="dxa"/>
            <w:shd w:fill="FFFFFF"/>
            <w:vAlign w:val="top"/>
          </w:tcPr>
          <w:p>
            <w:pPr>
              <w:spacing w:after="60" w:line="235" w:lineRule="auto"/>
            </w:pPr>
            <w:r>
              <w:rPr>
                <w:rFonts w:ascii="DejaVu Sans" w:hAnsi="DejaVu Sans"/>
                <w:sz w:val="18"/>
              </w:rPr>
              <w:t xml:space="preserve">Standard subscribe/update/read URI mapping, exact authorization and bounded pages; no custom standard notifications.</w:t>
            </w:r>
          </w:p>
        </w:tc>
      </w:tr>
      <w:tr>
        <w:trPr>
          <w:cantSplit/>
        </w:trPr>
        <w:tc>
          <w:tcPr>
            <w:tcW w:w="2556" w:type="dxa"/>
            <w:shd w:fill="FFFFFF"/>
            <w:vAlign w:val="top"/>
          </w:tcPr>
          <w:p>
            <w:pPr>
              <w:spacing w:after="60" w:line="235" w:lineRule="auto"/>
            </w:pPr>
            <w:r>
              <w:rPr>
                <w:rFonts w:ascii="DejaVu Sans" w:hAnsi="DejaVu Sans"/>
                <w:sz w:val="18"/>
              </w:rPr>
              <w:t xml:space="preserve">IFunctionalGroupIndex</w:t>
            </w:r>
          </w:p>
        </w:tc>
        <w:tc>
          <w:tcPr>
            <w:tcW w:w="7668" w:type="dxa"/>
            <w:shd w:fill="FFFFFF"/>
            <w:vAlign w:val="top"/>
          </w:tcPr>
          <w:p>
            <w:pPr>
              <w:spacing w:after="60" w:line="235" w:lineRule="auto"/>
            </w:pPr>
            <w:r>
              <w:rPr>
                <w:rFonts w:ascii="DejaVu Sans" w:hAnsi="DejaVu Sans"/>
                <w:sz w:val="18"/>
              </w:rPr>
              <w:t xml:space="preserve">Full-catalog searchable memberships/unassigned records and deterministic job ranking.</w:t>
            </w:r>
          </w:p>
        </w:tc>
      </w:tr>
      <w:tr>
        <w:trPr>
          <w:cantSplit/>
        </w:trPr>
        <w:tc>
          <w:tcPr>
            <w:tcW w:w="2556" w:type="dxa"/>
            <w:shd w:fill="FFFFFF"/>
            <w:vAlign w:val="top"/>
          </w:tcPr>
          <w:p>
            <w:pPr>
              <w:spacing w:after="60" w:line="235" w:lineRule="auto"/>
            </w:pPr>
            <w:r>
              <w:rPr>
                <w:rFonts w:ascii="DejaVu Sans" w:hAnsi="DejaVu Sans"/>
                <w:sz w:val="18"/>
              </w:rPr>
              <w:t xml:space="preserve">IGroupActivationPlanner</w:t>
            </w:r>
          </w:p>
        </w:tc>
        <w:tc>
          <w:tcPr>
            <w:tcW w:w="7668" w:type="dxa"/>
            <w:shd w:fill="FFFFFF"/>
            <w:vAlign w:val="top"/>
          </w:tcPr>
          <w:p>
            <w:pPr>
              <w:spacing w:after="60" w:line="235" w:lineRule="auto"/>
            </w:pPr>
            <w:r>
              <w:rPr>
                <w:rFonts w:ascii="DejaVu Sans" w:hAnsi="DejaVu Sans"/>
                <w:sz w:val="18"/>
              </w:rPr>
              <w:t xml:space="preserve">Complete dependency closure, serialized-byte budgeting and session-scoped CAS view activation.</w:t>
            </w:r>
          </w:p>
        </w:tc>
      </w:tr>
      <w:tr>
        <w:trPr>
          <w:cantSplit/>
        </w:trPr>
        <w:tc>
          <w:tcPr>
            <w:tcW w:w="2556" w:type="dxa"/>
            <w:shd w:fill="FFFFFF"/>
            <w:vAlign w:val="top"/>
          </w:tcPr>
          <w:p>
            <w:pPr>
              <w:spacing w:after="60" w:line="235" w:lineRule="auto"/>
            </w:pPr>
            <w:r>
              <w:rPr>
                <w:rFonts w:ascii="DejaVu Sans" w:hAnsi="DejaVu Sans"/>
                <w:sz w:val="18"/>
              </w:rPr>
              <w:t xml:space="preserve">IMcpToolViewAdapter</w:t>
            </w:r>
          </w:p>
        </w:tc>
        <w:tc>
          <w:tcPr>
            <w:tcW w:w="7668" w:type="dxa"/>
            <w:shd w:fill="FFFFFF"/>
            <w:vAlign w:val="top"/>
          </w:tcPr>
          <w:p>
            <w:pPr>
              <w:spacing w:after="60" w:line="235" w:lineRule="auto"/>
            </w:pPr>
            <w:r>
              <w:rPr>
                <w:rFonts w:ascii="DejaVu Sans" w:hAnsi="DejaVu Sans"/>
                <w:sz w:val="18"/>
              </w:rPr>
              <w:t xml:space="preserve">Stable bootstrap fallback; opt-in dynamic aliases and standard list_changed notification.</w:t>
            </w:r>
          </w:p>
        </w:tc>
      </w:tr>
    </w:tbl>
    <w:p>
      <w:pPr>
        <w:spacing w:after="90" w:line="260" w:lineRule="auto"/>
      </w:pPr>
    </w:p>
    <w:p>
      <w:pPr>
        <w:pStyle w:val="Heading2"/>
        <w:keepNext/>
        <w:pageBreakBefore/>
        <w:spacing w:after="90" w:line="260" w:lineRule="auto"/>
      </w:pPr>
      <w:r>
        <w:rPr>
          <w:rFonts w:ascii="DejaVu Sans" w:hAnsi="DejaVu Sans"/>
          <w:b/>
          <w:sz w:val="25"/>
        </w:rPr>
        <w:t xml:space="preserve">Functional group discovery and activation</w:t>
      </w:r>
    </w:p>
    <w:p>
      <w:pPr>
        <w:spacing w:after="90" w:line="260" w:lineRule="auto"/>
        <w:jc w:val="center"/>
      </w:pPr>
      <w:r>
        <w:drawing>
          <wp:inline distT="0" distB="0" distL="0" distR="0">
            <wp:extent cx="3530482" cy="7223759"/>
            <wp:docPr id="7" name="Functional group discovery and activation" descr="Functional group discovery and activation"/>
            <a:graphic>
              <a:graphicData uri="http://schemas.openxmlformats.org/drawingml/2006/picture">
                <pic:pic>
                  <pic:nvPicPr>
                    <pic:cNvPr id="0" name="design-7.png"/>
                    <pic:cNvPicPr/>
                  </pic:nvPicPr>
                  <pic:blipFill>
                    <a:blip r:embed="rIdDesign1049"/>
                    <a:stretch>
                      <a:fillRect/>
                    </a:stretch>
                  </pic:blipFill>
                  <pic:spPr>
                    <a:xfrm>
                      <a:off x="0" y="0"/>
                      <a:ext cx="3530482" cy="7223759"/>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3"/>
        <w:keepNext/>
        <w:spacing w:after="90" w:line="260" w:lineRule="auto"/>
      </w:pPr>
      <w:r>
        <w:rPr>
          <w:rFonts w:ascii="DejaVu Sans" w:hAnsi="DejaVu Sans"/>
          <w:b/>
          <w:sz w:val="22"/>
        </w:rPr>
        <w:t xml:space="preserve">Requirement and acceptance traceability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Requirement</w:t>
            </w:r>
          </w:p>
        </w:tc>
        <w:tc>
          <w:tcPr>
            <w:tcW w:w="3987" w:type="dxa"/>
            <w:shd w:fill="E4EDF5"/>
            <w:vAlign w:val="top"/>
          </w:tcPr>
          <w:p>
            <w:pPr>
              <w:spacing w:after="60" w:line="235" w:lineRule="auto"/>
            </w:pPr>
            <w:r>
              <w:rPr>
                <w:rFonts w:ascii="DejaVu Sans" w:hAnsi="DejaVu Sans"/>
                <w:b/>
                <w:sz w:val="18"/>
              </w:rPr>
              <w:t xml:space="preserve">Technical contract</w:t>
            </w:r>
          </w:p>
        </w:tc>
        <w:tc>
          <w:tcPr>
            <w:tcW w:w="3988" w:type="dxa"/>
            <w:shd w:fill="E4EDF5"/>
            <w:vAlign w:val="top"/>
          </w:tcPr>
          <w:p>
            <w:pPr>
              <w:spacing w:after="60" w:line="235" w:lineRule="auto"/>
            </w:pPr>
            <w:r>
              <w:rPr>
                <w:rFonts w:ascii="DejaVu Sans" w:hAnsi="DejaVu Sans"/>
                <w:b/>
                <w:sz w:val="18"/>
              </w:rPr>
              <w:t xml:space="preserve">Acceptance criteria and offline verification</w:t>
            </w:r>
          </w:p>
        </w:tc>
      </w:tr>
      <w:tr>
        <w:trPr>
          <w:cantSplit/>
        </w:trPr>
        <w:tc>
          <w:tcPr>
            <w:tcW w:w="2249" w:type="dxa"/>
            <w:shd w:fill="FFFFFF"/>
            <w:vAlign w:val="top"/>
          </w:tcPr>
          <w:p>
            <w:pPr>
              <w:spacing w:after="60" w:line="235" w:lineRule="auto"/>
            </w:pPr>
            <w:r>
              <w:rPr>
                <w:rFonts w:ascii="DejaVu Sans" w:hAnsi="DejaVu Sans"/>
                <w:sz w:val="18"/>
              </w:rPr>
              <w:t xml:space="preserve">FR-CB-01 identify all callbacks</w:t>
            </w:r>
          </w:p>
        </w:tc>
        <w:tc>
          <w:tcPr>
            <w:tcW w:w="3987" w:type="dxa"/>
            <w:shd w:fill="FFFFFF"/>
            <w:vAlign w:val="top"/>
          </w:tcPr>
          <w:p>
            <w:pPr>
              <w:spacing w:after="60" w:line="235" w:lineRule="auto"/>
            </w:pPr>
            <w:r>
              <w:rPr>
                <w:rFonts w:ascii="DejaVu Sans" w:hAnsi="DejaVu Sans"/>
                <w:sz w:val="18"/>
              </w:rPr>
              <w:t xml:space="preserve">TR-CB-01 exhaustive evidence-qualified dispositions, inherited methods, source/version pins, unresolved pair reasons</w:t>
            </w:r>
          </w:p>
        </w:tc>
        <w:tc>
          <w:tcPr>
            <w:tcW w:w="3988" w:type="dxa"/>
            <w:shd w:fill="FFFFFF"/>
            <w:vAlign w:val="top"/>
          </w:tcPr>
          <w:p>
            <w:pPr>
              <w:spacing w:after="60" w:line="235" w:lineRule="auto"/>
            </w:pPr>
            <w:r>
              <w:rPr>
                <w:rFonts w:ascii="DejaVu Sans" w:hAnsi="DejaVu Sans"/>
                <w:sz w:val="18"/>
              </w:rPr>
              <w:t xml:space="preserve">AC-CB-01 every input binding/type accounted for; overloaded/inherited/listener/Binder/HIDL completion fixtures preserve uncertain records without false classification.</w:t>
            </w:r>
          </w:p>
        </w:tc>
      </w:tr>
      <w:tr>
        <w:trPr>
          <w:cantSplit/>
        </w:trPr>
        <w:tc>
          <w:tcPr>
            <w:tcW w:w="2249" w:type="dxa"/>
            <w:shd w:fill="FFFFFF"/>
            <w:vAlign w:val="top"/>
          </w:tcPr>
          <w:p>
            <w:pPr>
              <w:spacing w:after="60" w:line="235" w:lineRule="auto"/>
            </w:pPr>
            <w:r>
              <w:rPr>
                <w:rFonts w:ascii="DejaVu Sans" w:hAnsi="DejaVu Sans"/>
                <w:sz w:val="18"/>
              </w:rPr>
              <w:t xml:space="preserve">FR-CB-02 invoke with callback bindings</w:t>
            </w:r>
          </w:p>
        </w:tc>
        <w:tc>
          <w:tcPr>
            <w:tcW w:w="3987" w:type="dxa"/>
            <w:shd w:fill="FFFFFF"/>
            <w:vAlign w:val="top"/>
          </w:tcPr>
          <w:p>
            <w:pPr>
              <w:spacing w:after="60" w:line="235" w:lineRule="auto"/>
            </w:pPr>
            <w:r>
              <w:rPr>
                <w:rFonts w:ascii="DejaVu Sans" w:hAnsi="DejaVu Sans"/>
                <w:sz w:val="18"/>
              </w:rPr>
              <w:t xml:space="preserve">TR-CB-02 typed parameter mapping and atomic admission; finite registration outcome and subscription descriptor</w:t>
            </w:r>
          </w:p>
        </w:tc>
        <w:tc>
          <w:tcPr>
            <w:tcW w:w="3988" w:type="dxa"/>
            <w:shd w:fill="FFFFFF"/>
            <w:vAlign w:val="top"/>
          </w:tcPr>
          <w:p>
            <w:pPr>
              <w:spacing w:after="60" w:line="235" w:lineRule="auto"/>
            </w:pPr>
            <w:r>
              <w:rPr>
                <w:rFonts w:ascii="DejaVu Sans" w:hAnsi="DejaVu Sans"/>
                <w:sz w:val="18"/>
              </w:rPr>
              <w:t xml:space="preserve">AC-CB-02 foreign descriptor/type/contract/target mismatch fails; uncertain registration is not duplicated; paired cleanup and type closure are tested.</w:t>
            </w:r>
          </w:p>
        </w:tc>
      </w:tr>
      <w:tr>
        <w:trPr>
          <w:cantSplit/>
        </w:trPr>
        <w:tc>
          <w:tcPr>
            <w:tcW w:w="2249" w:type="dxa"/>
            <w:shd w:fill="FFFFFF"/>
            <w:vAlign w:val="top"/>
          </w:tcPr>
          <w:p>
            <w:pPr>
              <w:spacing w:after="60" w:line="235" w:lineRule="auto"/>
            </w:pPr>
            <w:r>
              <w:rPr>
                <w:rFonts w:ascii="DejaVu Sans" w:hAnsi="DejaVu Sans"/>
                <w:sz w:val="18"/>
              </w:rPr>
              <w:t xml:space="preserve">FR-CB-03 consume bounded streaming events</w:t>
            </w:r>
          </w:p>
        </w:tc>
        <w:tc>
          <w:tcPr>
            <w:tcW w:w="3987" w:type="dxa"/>
            <w:shd w:fill="FFFFFF"/>
            <w:vAlign w:val="top"/>
          </w:tcPr>
          <w:p>
            <w:pPr>
              <w:spacing w:after="60" w:line="235" w:lineRule="auto"/>
            </w:pPr>
            <w:r>
              <w:rPr>
                <w:rFonts w:ascii="DejaVu Sans" w:hAnsi="DejaVu Sans"/>
                <w:sz w:val="18"/>
              </w:rPr>
              <w:t xml:space="preserve">TR-CB-03 standard resource journal protocol, application cursors, independent transport replay and quotas</w:t>
            </w:r>
          </w:p>
        </w:tc>
        <w:tc>
          <w:tcPr>
            <w:tcW w:w="3988" w:type="dxa"/>
            <w:shd w:fill="FFFFFF"/>
            <w:vAlign w:val="top"/>
          </w:tcPr>
          <w:p>
            <w:pPr>
              <w:spacing w:after="60" w:line="235" w:lineRule="auto"/>
            </w:pPr>
            <w:r>
              <w:rPr>
                <w:rFonts w:ascii="DejaVu Sans" w:hAnsi="DejaVu Sans"/>
                <w:sz w:val="18"/>
              </w:rPr>
              <w:t xml:space="preserve">AC-CB-03 finite page/read limits, replay/dedup, concurrent sequence allocation, cursor expiry, explicit gaps and overflow are tested; notification contains URI only.</w:t>
            </w:r>
          </w:p>
        </w:tc>
      </w:tr>
      <w:tr>
        <w:trPr>
          <w:cantSplit/>
        </w:trPr>
        <w:tc>
          <w:tcPr>
            <w:tcW w:w="2249" w:type="dxa"/>
            <w:shd w:fill="FFFFFF"/>
            <w:vAlign w:val="top"/>
          </w:tcPr>
          <w:p>
            <w:pPr>
              <w:spacing w:after="60" w:line="235" w:lineRule="auto"/>
            </w:pPr>
            <w:r>
              <w:rPr>
                <w:rFonts w:ascii="DejaVu Sans" w:hAnsi="DejaVu Sans"/>
                <w:sz w:val="18"/>
              </w:rPr>
              <w:t xml:space="preserve">FR-CB-04 safe callback lifecycle</w:t>
            </w:r>
          </w:p>
        </w:tc>
        <w:tc>
          <w:tcPr>
            <w:tcW w:w="3987" w:type="dxa"/>
            <w:shd w:fill="FFFFFF"/>
            <w:vAlign w:val="top"/>
          </w:tcPr>
          <w:p>
            <w:pPr>
              <w:spacing w:after="60" w:line="235" w:lineRule="auto"/>
            </w:pPr>
            <w:r>
              <w:rPr>
                <w:rFonts w:ascii="DejaVu Sans" w:hAnsi="DejaVu Sans"/>
                <w:sz w:val="18"/>
              </w:rPr>
              <w:t xml:space="preserve">TR-CB-04 cancel/death/revoke/disconnect/restart/lease semantics and bounded local synchronous policy</w:t>
            </w:r>
          </w:p>
        </w:tc>
        <w:tc>
          <w:tcPr>
            <w:tcW w:w="3988" w:type="dxa"/>
            <w:shd w:fill="FFFFFF"/>
            <w:vAlign w:val="top"/>
          </w:tcPr>
          <w:p>
            <w:pPr>
              <w:spacing w:after="60" w:line="235" w:lineRule="auto"/>
            </w:pPr>
            <w:r>
              <w:rPr>
                <w:rFonts w:ascii="DejaVu Sans" w:hAnsi="DejaVu Sans"/>
                <w:sz w:val="18"/>
              </w:rPr>
              <w:t xml:space="preserve">AC-CB-04 idempotent cancel, cleanup_unknown, revocation suppression, orphan recovery, deadline/default rejection and no remote synchronous reply are tested.</w:t>
            </w:r>
          </w:p>
        </w:tc>
      </w:tr>
      <w:tr>
        <w:trPr>
          <w:cantSplit/>
        </w:trPr>
        <w:tc>
          <w:tcPr>
            <w:tcW w:w="2249" w:type="dxa"/>
            <w:shd w:fill="FFFFFF"/>
            <w:vAlign w:val="top"/>
          </w:tcPr>
          <w:p>
            <w:pPr>
              <w:spacing w:after="60" w:line="235" w:lineRule="auto"/>
            </w:pPr>
            <w:r>
              <w:rPr>
                <w:rFonts w:ascii="DejaVu Sans" w:hAnsi="DejaVu Sans"/>
                <w:sz w:val="18"/>
              </w:rPr>
              <w:t xml:space="preserve">FR-GRP-01 small functional groups without catalog omission</w:t>
            </w:r>
          </w:p>
        </w:tc>
        <w:tc>
          <w:tcPr>
            <w:tcW w:w="3987" w:type="dxa"/>
            <w:shd w:fill="FFFFFF"/>
            <w:vAlign w:val="top"/>
          </w:tcPr>
          <w:p>
            <w:pPr>
              <w:spacing w:after="60" w:line="235" w:lineRule="auto"/>
            </w:pPr>
            <w:r>
              <w:rPr>
                <w:rFonts w:ascii="DejaVu Sans" w:hAnsi="DejaVu Sans"/>
                <w:sz w:val="18"/>
              </w:rPr>
              <w:t xml:space="preserve">TR-GRP-01 stable mappings/provenance and coherent lifecycle/type closure with searchable unassigned entries</w:t>
            </w:r>
          </w:p>
        </w:tc>
        <w:tc>
          <w:tcPr>
            <w:tcW w:w="3988" w:type="dxa"/>
            <w:shd w:fill="FFFFFF"/>
            <w:vAlign w:val="top"/>
          </w:tcPr>
          <w:p>
            <w:pPr>
              <w:spacing w:after="60" w:line="235" w:lineRule="auto"/>
            </w:pPr>
            <w:r>
              <w:rPr>
                <w:rFonts w:ascii="DejaVu Sans" w:hAnsi="DejaVu Sans"/>
                <w:sz w:val="18"/>
              </w:rPr>
              <w:t xml:space="preserve">AC-GRP-01 full membership accounting, callback-pair atomicity, dependency cycles, overrides and oversized-unit refusal fixtures.</w:t>
            </w:r>
          </w:p>
        </w:tc>
      </w:tr>
      <w:tr>
        <w:trPr>
          <w:cantSplit/>
        </w:trPr>
        <w:tc>
          <w:tcPr>
            <w:tcW w:w="2249" w:type="dxa"/>
            <w:shd w:fill="FFFFFF"/>
            <w:vAlign w:val="top"/>
          </w:tcPr>
          <w:p>
            <w:pPr>
              <w:spacing w:after="60" w:line="235" w:lineRule="auto"/>
            </w:pPr>
            <w:r>
              <w:rPr>
                <w:rFonts w:ascii="DejaVu Sans" w:hAnsi="DejaVu Sans"/>
                <w:sz w:val="18"/>
              </w:rPr>
              <w:t xml:space="preserve">FR-GRP-02 locate capabilities for a job</w:t>
            </w:r>
          </w:p>
        </w:tc>
        <w:tc>
          <w:tcPr>
            <w:tcW w:w="3987" w:type="dxa"/>
            <w:shd w:fill="FFFFFF"/>
            <w:vAlign w:val="top"/>
          </w:tcPr>
          <w:p>
            <w:pPr>
              <w:spacing w:after="60" w:line="235" w:lineRule="auto"/>
            </w:pPr>
            <w:r>
              <w:rPr>
                <w:rFonts w:ascii="DejaVu Sans" w:hAnsi="DejaVu Sans"/>
                <w:sz w:val="18"/>
              </w:rPr>
              <w:t xml:space="preserve">TR-GRP-02 deterministic bounded discovery plus optional ranking, summaries and scoped pagination</w:t>
            </w:r>
          </w:p>
        </w:tc>
        <w:tc>
          <w:tcPr>
            <w:tcW w:w="3988" w:type="dxa"/>
            <w:shd w:fill="FFFFFF"/>
            <w:vAlign w:val="top"/>
          </w:tcPr>
          <w:p>
            <w:pPr>
              <w:spacing w:after="60" w:line="235" w:lineRule="auto"/>
            </w:pPr>
            <w:r>
              <w:rPr>
                <w:rFonts w:ascii="DejaVu Sans" w:hAnsi="DejaVu Sans"/>
                <w:sz w:val="18"/>
              </w:rPr>
              <w:t xml:space="preserve">AC-GRP-02 stable ordering, byte limits, unknown/denied status, filters and cross-client cursor isolation; discovery cannot change grants.</w:t>
            </w:r>
          </w:p>
        </w:tc>
      </w:tr>
      <w:tr>
        <w:trPr>
          <w:cantSplit/>
        </w:trPr>
        <w:tc>
          <w:tcPr>
            <w:tcW w:w="2249" w:type="dxa"/>
            <w:shd w:fill="FFFFFF"/>
            <w:vAlign w:val="top"/>
          </w:tcPr>
          <w:p>
            <w:pPr>
              <w:spacing w:after="60" w:line="235" w:lineRule="auto"/>
            </w:pPr>
            <w:r>
              <w:rPr>
                <w:rFonts w:ascii="DejaVu Sans" w:hAnsi="DejaVu Sans"/>
                <w:sz w:val="18"/>
              </w:rPr>
              <w:t xml:space="preserve">FR-GRP-03 activate a bounded session view</w:t>
            </w:r>
          </w:p>
        </w:tc>
        <w:tc>
          <w:tcPr>
            <w:tcW w:w="3987" w:type="dxa"/>
            <w:shd w:fill="FFFFFF"/>
            <w:vAlign w:val="top"/>
          </w:tcPr>
          <w:p>
            <w:pPr>
              <w:spacing w:after="60" w:line="235" w:lineRule="auto"/>
            </w:pPr>
            <w:r>
              <w:rPr>
                <w:rFonts w:ascii="DejaVu Sans" w:hAnsi="DejaVu Sans"/>
                <w:sz w:val="18"/>
              </w:rPr>
              <w:t xml:space="preserve">TR-GRP-03 CAS/epochs, atomic set/dependency budget and portable bootstrap mode</w:t>
            </w:r>
          </w:p>
        </w:tc>
        <w:tc>
          <w:tcPr>
            <w:tcW w:w="3988" w:type="dxa"/>
            <w:shd w:fill="FFFFFF"/>
            <w:vAlign w:val="top"/>
          </w:tcPr>
          <w:p>
            <w:pPr>
              <w:spacing w:after="60" w:line="235" w:lineRule="auto"/>
            </w:pPr>
            <w:r>
              <w:rPr>
                <w:rFonts w:ascii="DejaVu Sans" w:hAnsi="DejaVu Sans"/>
                <w:sz w:val="18"/>
              </w:rPr>
              <w:t xml:space="preserve">AC-GRP-03 concurrent stale-CAS rejection, no partial activation, cached-schema revocation, handle continuity and static-host fallback fixtures.</w:t>
            </w:r>
          </w:p>
        </w:tc>
      </w:tr>
      <w:tr>
        <w:trPr>
          <w:cantSplit/>
        </w:trPr>
        <w:tc>
          <w:tcPr>
            <w:tcW w:w="2249" w:type="dxa"/>
            <w:shd w:fill="FFFFFF"/>
            <w:vAlign w:val="top"/>
          </w:tcPr>
          <w:p>
            <w:pPr>
              <w:spacing w:after="60" w:line="235" w:lineRule="auto"/>
            </w:pPr>
            <w:r>
              <w:rPr>
                <w:rFonts w:ascii="DejaVu Sans" w:hAnsi="DejaVu Sans"/>
                <w:sz w:val="18"/>
              </w:rPr>
              <w:t xml:space="preserve">FR-GRP-04 manageable mappings and visibility</w:t>
            </w:r>
          </w:p>
        </w:tc>
        <w:tc>
          <w:tcPr>
            <w:tcW w:w="3987" w:type="dxa"/>
            <w:shd w:fill="FFFFFF"/>
            <w:vAlign w:val="top"/>
          </w:tcPr>
          <w:p>
            <w:pPr>
              <w:spacing w:after="60" w:line="235" w:lineRule="auto"/>
            </w:pPr>
            <w:r>
              <w:rPr>
                <w:rFonts w:ascii="DejaVu Sans" w:hAnsi="DejaVu Sans"/>
                <w:sz w:val="18"/>
              </w:rPr>
              <w:t xml:space="preserve">TR-GRP-04 SQLite import/overlay/history and Avalonia group/subscription editors</w:t>
            </w:r>
          </w:p>
        </w:tc>
        <w:tc>
          <w:tcPr>
            <w:tcW w:w="3988" w:type="dxa"/>
            <w:shd w:fill="FFFFFF"/>
            <w:vAlign w:val="top"/>
          </w:tcPr>
          <w:p>
            <w:pPr>
              <w:spacing w:after="60" w:line="235" w:lineRule="auto"/>
            </w:pPr>
            <w:r>
              <w:rPr>
                <w:rFonts w:ascii="DejaVu Sans" w:hAnsi="DejaVu Sans"/>
                <w:sz w:val="18"/>
              </w:rPr>
              <w:t xml:space="preserve">AC-GRP-04 immutable imports, override history and ETag conflicts tested offline; actual Avalonia/MCP host behavior remains a future implementation acceptance gate.</w:t>
            </w:r>
          </w:p>
        </w:tc>
      </w:tr>
    </w:tbl>
    <w:p>
      <w:pPr>
        <w:spacing w:after="90" w:line="260" w:lineRule="auto"/>
      </w:pPr>
    </w:p>
    <w:p>
      <w:pPr>
        <w:spacing w:after="90" w:line="260" w:lineRule="auto"/>
      </w:pPr>
      <w:r>
        <w:rPr>
          <w:rFonts w:ascii="DejaVu Sans" w:hAnsi="DejaVu Sans"/>
          <w:sz w:val="21"/>
        </w:rPr>
        <w:t xml:space="preserve">Validation status: these newly added requirements are not covered by the frozen round012 review. Latest completed independent overall agreement remains93% accuracy/80% completeness, NOT_READY; its design category is94/95 and contracts95/94. New callback/group contracts, producers, lifecycle reference fixtures and host interoperability require a fresh frozen review. The disclosed full-catalog semantic/coverage and bounded-memory resolution gaps remain open; this design update does not reclassify them as complete.</w:t>
      </w:r>
    </w:p>
    <w:sectPr w:rsidR="00FC693F" w:rsidRPr="0006063C" w:rsidSect="00034616">
      <w:pgSz w:w="12240" w:h="15840"/>
      <w:pgMar w:top="900" w:bottom="900" w:left="1008" w:right="1008" w:header="42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ns1="http://schemas.openxmlformats.org/markup-compatibility/2006"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1">
    <w:lvl w:ilvl="0">
      <w:start w:val="1"/>
      <w:numFmt w:val="bullet"/>
      <w:lvlText w:val="•"/>
      <w:lvlJc w:val="left"/>
      <w:pPr>
        <w:ind w:left="360" w:hanging="240"/>
      </w:pPr>
    </w:lvl>
  </w:abstractNum>
  <w:num w:numId="1001">
    <w:abstractNumId w:val="1001"/>
  </w:num>
  <w:abstractNum w:abstractNumId="1002">
    <w:lvl w:ilvl="0">
      <w:start w:val="1"/>
      <w:numFmt w:val="decimal"/>
      <w:lvlText w:val="%1."/>
      <w:lvlJc w:val="left"/>
      <w:pPr>
        <w:ind w:left="360" w:hanging="240"/>
      </w:pPr>
    </w:lvl>
  </w:abstractNum>
  <w:num w:numId="1002">
    <w:abstractNumId w:val="1002"/>
  </w:num>
  <w:abstractNum w:abstractNumId="1003">
    <w:lvl w:ilvl="0">
      <w:start w:val="1"/>
      <w:numFmt w:val="decimal"/>
      <w:lvlText w:val="%1."/>
      <w:lvlJc w:val="left"/>
      <w:pPr>
        <w:ind w:left="360" w:hanging="240"/>
      </w:pPr>
    </w:lvl>
  </w:abstractNum>
  <w:num w:numId="1003">
    <w:abstractNumId w:val="1003"/>
  </w:num>
  <w:abstractNum w:abstractNumId="1004">
    <w:lvl w:ilvl="0">
      <w:start w:val="1"/>
      <w:numFmt w:val="decimal"/>
      <w:lvlText w:val="%1."/>
      <w:lvlJc w:val="left"/>
      <w:pPr>
        <w:ind w:left="360" w:hanging="240"/>
      </w:pPr>
    </w:lvl>
  </w:abstractNum>
  <w:num w:numId="1004">
    <w:abstractNumId w:val="1004"/>
  </w:num>
  <w:abstractNum w:abstractNumId="1005">
    <w:lvl w:ilvl="0">
      <w:start w:val="1"/>
      <w:numFmt w:val="decimal"/>
      <w:lvlText w:val="%1."/>
      <w:lvlJc w:val="left"/>
      <w:pPr>
        <w:ind w:left="360" w:hanging="240"/>
      </w:pPr>
    </w:lvl>
  </w:abstractNum>
  <w:num w:numId="1005">
    <w:abstractNumId w:val="1005"/>
  </w:num>
  <w:abstractNum w:abstractNumId="1006">
    <w:lvl w:ilvl="0">
      <w:start w:val="1"/>
      <w:numFmt w:val="decimal"/>
      <w:lvlText w:val="%1."/>
      <w:lvlJc w:val="left"/>
      <w:pPr>
        <w:ind w:left="360" w:hanging="240"/>
      </w:pPr>
    </w:lvl>
  </w:abstractNum>
  <w:num w:numId="1006">
    <w:abstractNumId w:val="1006"/>
  </w:num>
  <w:abstractNum w:abstractNumId="1007">
    <w:lvl w:ilvl="0">
      <w:start w:val="1"/>
      <w:numFmt w:val="bullet"/>
      <w:lvlText w:val="•"/>
      <w:lvlJc w:val="left"/>
      <w:pPr>
        <w:ind w:left="360" w:hanging="240"/>
      </w:pPr>
    </w:lvl>
  </w:abstractNum>
  <w:num w:numId="1007">
    <w:abstractNumId w:val="1007"/>
  </w:num>
  <w:abstractNum w:abstractNumId="1008">
    <w:lvl w:ilvl="0">
      <w:start w:val="1"/>
      <w:numFmt w:val="decimal"/>
      <w:lvlText w:val="%1."/>
      <w:lvlJc w:val="left"/>
      <w:pPr>
        <w:ind w:left="360" w:hanging="240"/>
      </w:pPr>
    </w:lvl>
  </w:abstractNum>
  <w:num w:numId="1008">
    <w:abstractNumId w:val="1008"/>
  </w:num>
  <w:abstractNum w:abstractNumId="1009">
    <w:lvl w:ilvl="0">
      <w:start w:val="1"/>
      <w:numFmt w:val="decimal"/>
      <w:lvlText w:val="%1."/>
      <w:lvlJc w:val="left"/>
      <w:pPr>
        <w:ind w:left="360" w:hanging="240"/>
      </w:pPr>
    </w:lvl>
  </w:abstractNum>
  <w:num w:numId="1009">
    <w:abstractNumId w:val="1009"/>
  </w:num>
  <w:abstractNum w:abstractNumId="1010">
    <w:lvl w:ilvl="0">
      <w:start w:val="1"/>
      <w:numFmt w:val="decimal"/>
      <w:lvlText w:val="%1."/>
      <w:lvlJc w:val="left"/>
      <w:pPr>
        <w:ind w:left="360" w:hanging="240"/>
      </w:pPr>
    </w:lvl>
  </w:abstractNum>
  <w:num w:numId="1010">
    <w:abstractNumId w:val="1010"/>
  </w:num>
  <w:abstractNum w:abstractNumId="1011">
    <w:lvl w:ilvl="0">
      <w:start w:val="1"/>
      <w:numFmt w:val="decimal"/>
      <w:lvlText w:val="%1."/>
      <w:lvlJc w:val="left"/>
      <w:pPr>
        <w:ind w:left="360" w:hanging="240"/>
      </w:pPr>
    </w:lvl>
  </w:abstractNum>
  <w:num w:numId="1011">
    <w:abstractNumId w:val="1011"/>
  </w:num>
  <w:abstractNum w:abstractNumId="1012">
    <w:lvl w:ilvl="0">
      <w:start w:val="1"/>
      <w:numFmt w:val="decimal"/>
      <w:lvlText w:val="%1."/>
      <w:lvlJc w:val="left"/>
      <w:pPr>
        <w:ind w:left="360" w:hanging="240"/>
      </w:pPr>
    </w:lvl>
  </w:abstractNum>
  <w:num w:numId="1012">
    <w:abstractNumId w:val="1012"/>
  </w:num>
  <w:abstractNum w:abstractNumId="1013">
    <w:lvl w:ilvl="0">
      <w:start w:val="1"/>
      <w:numFmt w:val="bullet"/>
      <w:lvlText w:val="•"/>
      <w:lvlJc w:val="left"/>
      <w:pPr>
        <w:ind w:left="360" w:hanging="240"/>
      </w:pPr>
    </w:lvl>
  </w:abstractNum>
  <w:num w:numId="1013">
    <w:abstractNumId w:val="1013"/>
  </w:num>
  <w:abstractNum w:abstractNumId="1014">
    <w:lvl w:ilvl="0">
      <w:start w:val="1"/>
      <w:numFmt w:val="decimal"/>
      <w:lvlText w:val="%1."/>
      <w:lvlJc w:val="left"/>
      <w:pPr>
        <w:ind w:left="360" w:hanging="240"/>
      </w:pPr>
    </w:lvl>
  </w:abstractNum>
  <w:num w:numId="1014">
    <w:abstractNumId w:val="1014"/>
  </w:num>
  <w:abstractNum w:abstractNumId="1015">
    <w:lvl w:ilvl="0">
      <w:start w:val="1"/>
      <w:numFmt w:val="decimal"/>
      <w:lvlText w:val="%1."/>
      <w:lvlJc w:val="left"/>
      <w:pPr>
        <w:ind w:left="360" w:hanging="240"/>
      </w:pPr>
    </w:lvl>
  </w:abstractNum>
  <w:num w:numId="1015">
    <w:abstractNumId w:val="1015"/>
  </w:num>
  <w:abstractNum w:abstractNumId="1016">
    <w:lvl w:ilvl="0">
      <w:start w:val="1"/>
      <w:numFmt w:val="decimal"/>
      <w:lvlText w:val="%1."/>
      <w:lvlJc w:val="left"/>
      <w:pPr>
        <w:ind w:left="360" w:hanging="240"/>
      </w:pPr>
    </w:lvl>
  </w:abstractNum>
  <w:num w:numId="1016">
    <w:abstractNumId w:val="1016"/>
  </w:num>
  <w:abstractNum w:abstractNumId="1017">
    <w:lvl w:ilvl="0">
      <w:start w:val="1"/>
      <w:numFmt w:val="decimal"/>
      <w:lvlText w:val="%1."/>
      <w:lvlJc w:val="left"/>
      <w:pPr>
        <w:ind w:left="360" w:hanging="240"/>
      </w:pPr>
    </w:lvl>
  </w:abstractNum>
  <w:num w:numId="1017">
    <w:abstractNumId w:val="1017"/>
  </w:num>
  <w:abstractNum w:abstractNumId="1018">
    <w:lvl w:ilvl="0">
      <w:start w:val="1"/>
      <w:numFmt w:val="decimal"/>
      <w:lvlText w:val="%1."/>
      <w:lvlJc w:val="left"/>
      <w:pPr>
        <w:ind w:left="360" w:hanging="240"/>
      </w:pPr>
    </w:lvl>
  </w:abstractNum>
  <w:num w:numId="1018">
    <w:abstractNumId w:val="1018"/>
  </w:num>
  <w:abstractNum w:abstractNumId="1019">
    <w:lvl w:ilvl="0">
      <w:start w:val="1"/>
      <w:numFmt w:val="bullet"/>
      <w:lvlText w:val="•"/>
      <w:lvlJc w:val="left"/>
      <w:pPr>
        <w:ind w:left="360" w:hanging="240"/>
      </w:pPr>
    </w:lvl>
  </w:abstractNum>
  <w:num w:numId="1019">
    <w:abstractNumId w:val="1019"/>
  </w:num>
  <w:abstractNum w:abstractNumId="1020">
    <w:lvl w:ilvl="0">
      <w:start w:val="1"/>
      <w:numFmt w:val="decimal"/>
      <w:lvlText w:val="%1."/>
      <w:lvlJc w:val="left"/>
      <w:pPr>
        <w:ind w:left="360" w:hanging="240"/>
      </w:pPr>
    </w:lvl>
  </w:abstractNum>
  <w:num w:numId="1020">
    <w:abstractNumId w:val="1020"/>
  </w:num>
  <w:abstractNum w:abstractNumId="1021">
    <w:lvl w:ilvl="0">
      <w:start w:val="1"/>
      <w:numFmt w:val="decimal"/>
      <w:lvlText w:val="%1."/>
      <w:lvlJc w:val="left"/>
      <w:pPr>
        <w:ind w:left="360" w:hanging="240"/>
      </w:pPr>
    </w:lvl>
  </w:abstractNum>
  <w:num w:numId="1021">
    <w:abstractNumId w:val="1021"/>
  </w:num>
  <w:abstractNum w:abstractNumId="1022">
    <w:lvl w:ilvl="0">
      <w:start w:val="1"/>
      <w:numFmt w:val="decimal"/>
      <w:lvlText w:val="%1."/>
      <w:lvlJc w:val="left"/>
      <w:pPr>
        <w:ind w:left="360" w:hanging="240"/>
      </w:pPr>
    </w:lvl>
  </w:abstractNum>
  <w:num w:numId="1022">
    <w:abstractNumId w:val="1022"/>
  </w:num>
  <w:abstractNum w:abstractNumId="1023">
    <w:lvl w:ilvl="0">
      <w:start w:val="1"/>
      <w:numFmt w:val="decimal"/>
      <w:lvlText w:val="%1."/>
      <w:lvlJc w:val="left"/>
      <w:pPr>
        <w:ind w:left="360" w:hanging="240"/>
      </w:pPr>
    </w:lvl>
  </w:abstractNum>
  <w:num w:numId="1023">
    <w:abstractNumId w:val="1023"/>
  </w:num>
  <w:abstractNum w:abstractNumId="1024">
    <w:lvl w:ilvl="0">
      <w:start w:val="1"/>
      <w:numFmt w:val="decimal"/>
      <w:lvlText w:val="%1."/>
      <w:lvlJc w:val="left"/>
      <w:pPr>
        <w:ind w:left="360" w:hanging="240"/>
      </w:pPr>
    </w:lvl>
  </w:abstractNum>
  <w:num w:numId="1024">
    <w:abstractNumId w:val="10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Design1001" Type="http://schemas.openxmlformats.org/officeDocument/2006/relationships/hyperlink" Target="https://developer.android.com/reference/android/os/Build.VERSION#SDK_INT_FULL" TargetMode="External" /><Relationship Id="rIdDesign1002" Type="http://schemas.openxmlformats.org/officeDocument/2006/relationships/hyperlink" Target="https://developer.android.com/reference/android/os/Build#getMajorSdkVersion(int)" TargetMode="External" /><Relationship Id="rIdDesign1003" Type="http://schemas.openxmlformats.org/officeDocument/2006/relationships/hyperlink" Target="https://developer.android.com/guide/sdk-extensions" TargetMode="External" /><Relationship Id="rIdDesign1004" Type="http://schemas.openxmlformats.org/officeDocument/2006/relationships/hyperlink" Target="https://source.android.com/docs/core/architecture/aidl/stable-aidl#querying-the-interface-version-of-the-remote-object" TargetMode="External" /><Relationship Id="rIdDesign1005" Type="http://schemas.openxmlformats.org/officeDocument/2006/relationships/image" Target="media/design-1.png" /><Relationship Id="rIdDesign1006" Type="http://schemas.openxmlformats.org/officeDocument/2006/relationships/image" Target="media/design-2.png" /><Relationship Id="rIdDesign1007" Type="http://schemas.openxmlformats.org/officeDocument/2006/relationships/hyperlink" Target="https://docs.avaloniaui.net/docs/avalonia12-breaking-changes" TargetMode="External" /><Relationship Id="rIdDesign1008" Type="http://schemas.openxmlformats.org/officeDocument/2006/relationships/hyperlink" Target="https://learn.microsoft.com/en-us/dotnet/standard/data/sqlite/custom-versions" TargetMode="External" /><Relationship Id="rIdDesign1009" Type="http://schemas.openxmlformats.org/officeDocument/2006/relationships/hyperlink" Target="https://developer.android.com/develop/background-work/services/fgs/service-types" TargetMode="External" /><Relationship Id="rIdDesign1010" Type="http://schemas.openxmlformats.org/officeDocument/2006/relationships/hyperlink" Target="https://modelcontextprotocol.io/specification/2025-11-25/basic/transports" TargetMode="External" /><Relationship Id="rIdDesign1011" Type="http://schemas.openxmlformats.org/officeDocument/2006/relationships/hyperlink" Target="https://modelcontextprotocol.io/specification/2025-11-25/basic/authorization" TargetMode="External" /><Relationship Id="rIdDesign1012" Type="http://schemas.openxmlformats.org/officeDocument/2006/relationships/hyperlink" Target="https://developer.android.com/privacy-and-security/security-tips" TargetMode="External" /><Relationship Id="rIdDesign1013" Type="http://schemas.openxmlformats.org/officeDocument/2006/relationships/hyperlink" Target="https://developer.android.com/develop/background-work/services/fgs/restrictions-bg-start" TargetMode="External" /><Relationship Id="rIdDesign1014" Type="http://schemas.openxmlformats.org/officeDocument/2006/relationships/hyperlink" Target="https://www.sqlite.org/foreignkeys.html" TargetMode="External" /><Relationship Id="rIdDesign1015" Type="http://schemas.openxmlformats.org/officeDocument/2006/relationships/hyperlink" Target="https://www.sqlite.org/wal.html" TargetMode="External" /><Relationship Id="rIdDesign1016" Type="http://schemas.openxmlformats.org/officeDocument/2006/relationships/hyperlink" Target="https://developer.android.com/privacy-and-security/keystore" TargetMode="External" /><Relationship Id="rIdDesign1017" Type="http://schemas.openxmlformats.org/officeDocument/2006/relationships/hyperlink" Target="https://www.sqlite.org/backup.html" TargetMode="External" /><Relationship Id="rIdDesign1018" Type="http://schemas.openxmlformats.org/officeDocument/2006/relationships/hyperlink" Target="https://developer.android.com/identity/providers/contacts-provider" TargetMode="External" /><Relationship Id="rIdDesign1019" Type="http://schemas.openxmlformats.org/officeDocument/2006/relationships/hyperlink" Target="https://developer.android.com/develop/background-work/services/aidl" TargetMode="External" /><Relationship Id="rIdDesign1020" Type="http://schemas.openxmlformats.org/officeDocument/2006/relationships/hyperlink" Target="https://developer.android.com/identity/data/autobackup" TargetMode="External" /><Relationship Id="rIdDesign1021" Type="http://schemas.openxmlformats.org/officeDocument/2006/relationships/hyperlink" Target="https://developer.android.com/reference/android/provider/Settings.System" TargetMode="External" /><Relationship Id="rIdDesign1022" Type="http://schemas.openxmlformats.org/officeDocument/2006/relationships/hyperlink" Target="https://developer.android.com/develop/sensors-and-location/sensors/sensors_overview" TargetMode="External" /><Relationship Id="rIdDesign1023" Type="http://schemas.openxmlformats.org/officeDocument/2006/relationships/hyperlink" Target="https://github.com/tytydraco/LADB" TargetMode="External" /><Relationship Id="rIdDesign1024" Type="http://schemas.openxmlformats.org/officeDocument/2006/relationships/hyperlink" Target="https://android.googlesource.com/platform/packages/modules/adb/+/HEAD/docs/dev/adb_wifi.md" TargetMode="External" /><Relationship Id="rIdDesign1025" Type="http://schemas.openxmlformats.org/officeDocument/2006/relationships/hyperlink" Target="https://android.googlesource.com/platform/packages/modules/adb/+/HEAD/docs/user/adb.1.md" TargetMode="External" /><Relationship Id="rIdDesign1026" Type="http://schemas.openxmlformats.org/officeDocument/2006/relationships/hyperlink" Target="https://github.com/sharpninja/Avalonia.RemoteControl/blob/master/docs/architecture/android-bridge-transport.md" TargetMode="External" /><Relationship Id="rIdDesign1027" Type="http://schemas.openxmlformats.org/officeDocument/2006/relationships/hyperlink" Target="https://developer.android.com/security/fraud-prevention/activities" TargetMode="External" /><Relationship Id="rIdDesign1028" Type="http://schemas.openxmlformats.org/officeDocument/2006/relationships/hyperlink" Target="https://android.googlesource.com/platform/frameworks/base/+/master/services/core/java/com/android/server/input/InputShellCommand.java" TargetMode="External" /><Relationship Id="rIdDesign1029" Type="http://schemas.openxmlformats.org/officeDocument/2006/relationships/hyperlink" Target="https://developer.android.com/studio/debug" TargetMode="External" /><Relationship Id="rIdDesign1030" Type="http://schemas.openxmlformats.org/officeDocument/2006/relationships/hyperlink" Target="https://android.googlesource.com/platform/system/core.git/+/refs/heads/master/run-as/run-as.cpp" TargetMode="External" /><Relationship Id="rIdDesign1031" Type="http://schemas.openxmlformats.org/officeDocument/2006/relationships/hyperlink" Target="https://pele.run/api" TargetMode="External" /><Relationship Id="rIdDesign1032" Type="http://schemas.openxmlformats.org/officeDocument/2006/relationships/hyperlink" Target="https://developer.android.com/about/versions/15/behavior-changes-15" TargetMode="External" /><Relationship Id="rIdDesign1033" Type="http://schemas.openxmlformats.org/officeDocument/2006/relationships/hyperlink" Target="https://developer.android.com/develop/ui/views/notifications/notification-permission" TargetMode="External" /><Relationship Id="rIdDesign1034" Type="http://schemas.openxmlformats.org/officeDocument/2006/relationships/hyperlink" Target="https://learn.microsoft.com/en-us/dotnet/android/binding-libs/customizing-bindings/java-bindings-metadata" TargetMode="External" /><Relationship Id="rIdDesign1035" Type="http://schemas.openxmlformats.org/officeDocument/2006/relationships/hyperlink" Target="https://developer.android.com/reference/android/os/IBinder" TargetMode="External" /><Relationship Id="rIdDesign1036" Type="http://schemas.openxmlformats.org/officeDocument/2006/relationships/hyperlink" Target="https://source.android.com/docs/core/architecture/aidl/stable-aidl" TargetMode="External" /><Relationship Id="rIdDesign1037" Type="http://schemas.openxmlformats.org/officeDocument/2006/relationships/hyperlink" Target="https://developer.android.com/guide/app-compatibility/restrictions-non-sdk-interfaces" TargetMode="External" /><Relationship Id="rIdDesign1038" Type="http://schemas.openxmlformats.org/officeDocument/2006/relationships/hyperlink" Target="https://developer.android.com/reference/androidx/annotation/RequiresPermission" TargetMode="External" /><Relationship Id="rIdDesign1039" Type="http://schemas.openxmlformats.org/officeDocument/2006/relationships/hyperlink" Target="https://android.googlesource.com/platform/system/tools/aidl/+/b4c7f74eef3a44858749ea3400412c7f258fe476/aidl_language.cpp" TargetMode="External" /><Relationship Id="rIdDesign1040" Type="http://schemas.openxmlformats.org/officeDocument/2006/relationships/hyperlink" Target="https://android.googlesource.com/platform/frameworks/base/+/refs/heads/main/core/java/android/app/AppOps.md" TargetMode="External" /><Relationship Id="rIdDesign1041" Type="http://schemas.openxmlformats.org/officeDocument/2006/relationships/image" Target="media/design-3.png" /><Relationship Id="rIdDesign1042" Type="http://schemas.openxmlformats.org/officeDocument/2006/relationships/image" Target="media/design-4.png" /><Relationship Id="rIdDesign1043" Type="http://schemas.openxmlformats.org/officeDocument/2006/relationships/hyperlink" Target="https://modelcontextprotocol.io/specification/2025-11-25/basic/transports" TargetMode="External" /><Relationship Id="rIdDesign1044" Type="http://schemas.openxmlformats.org/officeDocument/2006/relationships/hyperlink" Target="https://modelcontextprotocol.io/specification/2025-11-25/server/resources" TargetMode="External" /><Relationship Id="rIdDesign1045" Type="http://schemas.openxmlformats.org/officeDocument/2006/relationships/hyperlink" Target="https://modelcontextprotocol.io/specification/2025-11-25/server/tools" TargetMode="External" /><Relationship Id="rIdDesign1046" Type="http://schemas.openxmlformats.org/officeDocument/2006/relationships/hyperlink" Target="https://modelcontextprotocol.io/specification/2025-11-25/basic/utilities/progress" TargetMode="External" /><Relationship Id="rIdDesign1047" Type="http://schemas.openxmlformats.org/officeDocument/2006/relationships/image" Target="media/design-5.png" /><Relationship Id="rIdDesign1048" Type="http://schemas.openxmlformats.org/officeDocument/2006/relationships/image" Target="media/design-6.png" /><Relationship Id="rIdDesign1049" Type="http://schemas.openxmlformats.org/officeDocument/2006/relationships/image" Target="media/design-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