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2"/>
        <w:rPr>
          <w:b/>
          <w:bCs/>
          <w:color w:val="36363d"/>
          <w:sz w:val="28"/>
          <w:szCs w:val="28"/>
        </w:rPr>
      </w:pPr>
      <w:r>
        <w:rPr>
          <w:b/>
          <w:bCs/>
          <w:color w:val="36363d"/>
          <w:sz w:val="28"/>
          <w:szCs w:val="28"/>
        </w:rPr>
        <w:t>REVIEW OF RELATED LITERATURE AND STUDIES</w:t>
      </w:r>
    </w:p>
    <w:p>
      <w:pPr>
        <w:pStyle w:val="style0"/>
        <w:rPr/>
      </w:pPr>
      <w:r>
        <w:t>Theme: Integration of Data Analytics in Research Monitoring</w:t>
      </w:r>
    </w:p>
    <w:p>
      <w:pPr>
        <w:pStyle w:val="style2"/>
        <w:rPr>
          <w:b/>
          <w:bCs/>
          <w:color w:val="36363d"/>
          <w:sz w:val="28"/>
          <w:szCs w:val="28"/>
        </w:rPr>
      </w:pPr>
      <w:r>
        <w:rPr>
          <w:b/>
          <w:bCs/>
          <w:color w:val="36363d"/>
          <w:sz w:val="28"/>
          <w:szCs w:val="28"/>
        </w:rPr>
        <w:t>Introduction</w:t>
      </w:r>
    </w:p>
    <w:p>
      <w:pPr>
        <w:pStyle w:val="style0"/>
        <w:numPr>
          <w:ilvl w:val="0"/>
          <w:numId w:val="0"/>
        </w:numPr>
        <w:rPr>
          <w:rFonts w:ascii="Noto Sans Ahom" w:cs="Noto Sans Adlam" w:hAnsi="Noto Naskh Arabic UI"/>
          <w:b w:val="false"/>
          <w:bCs w:val="false"/>
          <w:color w:val="36363d"/>
          <w:sz w:val="24"/>
          <w:szCs w:val="24"/>
        </w:rPr>
      </w:pPr>
      <w:r>
        <w:rPr>
          <w:rFonts w:ascii="Noto Naskh Arabic UI" w:cs="Noto Naskh Arabic UI" w:hAnsi="Noto Naskh Arabic UI"/>
          <w:b w:val="false"/>
          <w:bCs w:val="false"/>
          <w:color w:val="36363d"/>
          <w:sz w:val="28"/>
          <w:szCs w:val="28"/>
          <w:lang w:val="en-US"/>
        </w:rPr>
        <w:t>This section discusses how data analytics can be integrated into a r</w:t>
      </w:r>
      <w:r>
        <w:rPr>
          <w:rFonts w:ascii="Noto Sans Ahom" w:cs="Noto Sans Adlam" w:hAnsi="Noto Naskh Arabic UI"/>
          <w:b w:val="false"/>
          <w:bCs w:val="false"/>
          <w:color w:val="36363d"/>
          <w:sz w:val="24"/>
          <w:szCs w:val="24"/>
          <w:lang w:val="en-US"/>
        </w:rPr>
        <w:t>esearch monitoring software system. Embedding analytics tools directly into the platform allows the system to automatically process, analyze, and visualize research data, providing real-time insights, tracking research progress, detecting anomalies, and generating reports to support data-driven decision-making.</w:t>
      </w:r>
    </w:p>
    <w:p>
      <w:pPr>
        <w:pStyle w:val="style0"/>
        <w:rPr>
          <w:rFonts w:ascii="Noto Sans Ahom" w:cs="Noto Sans Adlam"/>
          <w:b w:val="false"/>
          <w:bCs w:val="false"/>
          <w:sz w:val="24"/>
          <w:szCs w:val="24"/>
        </w:rPr>
      </w:pPr>
      <w:r>
        <w:rPr>
          <w:rFonts w:ascii="Noto Sans Ahom" w:cs="Noto Sans Adlam"/>
          <w:b w:val="false"/>
          <w:bCs w:val="false"/>
          <w:sz w:val="24"/>
          <w:szCs w:val="24"/>
          <w:lang w:val="en-US"/>
        </w:rPr>
        <w:t>According to IBM (2024), embedded analytics provides real-time monitoring and predictive insights that help anticipate delays or potential issues. Chen, Chiang, and Storey (2012) highlight that visualization tools within software enable users to interpret complex datasets quickly and make informed decisions . Wamba et al. (2015) found that systems with built-in analytics improve operational efficiency by continuously monitoring data and providing actionable insights. Khatri and Brown (2023) emphasize that software with embedded analytics supports dashboards, automated alerts, and predictive reporting, ensuring timely and effective research management .</w:t>
      </w:r>
    </w:p>
    <w:p>
      <w:pPr>
        <w:pStyle w:val="style0"/>
        <w:rPr>
          <w:rFonts w:ascii="Noto Sans Ahom" w:cs="Noto Sans Adlam"/>
          <w:b w:val="false"/>
          <w:bCs w:val="false"/>
          <w:sz w:val="24"/>
          <w:szCs w:val="24"/>
        </w:rPr>
      </w:pPr>
      <w:r>
        <w:rPr>
          <w:rFonts w:ascii="Noto Sans Ahom" w:cs="Noto Sans Adlam"/>
          <w:b w:val="false"/>
          <w:bCs w:val="false"/>
          <w:sz w:val="24"/>
          <w:szCs w:val="24"/>
          <w:lang w:val="en-US"/>
        </w:rPr>
        <w:t>In conclusion, integrating data analytics into a research monitoring software system ensures that raw data is converted into actionable insights automatically. This approach enhances efficiency, accuracy, and decision-making, forming the foundation for designing a system that effectively monitors research activities and supports administrators and researchers with timely, data-driven information.</w:t>
      </w:r>
    </w:p>
    <w:p>
      <w:pPr>
        <w:pStyle w:val="style0"/>
        <w:rPr/>
      </w:pPr>
    </w:p>
    <w:p>
      <w:pPr>
        <w:pStyle w:val="style0"/>
        <w:rPr/>
      </w:pPr>
      <w:r>
        <w:rPr>
          <w:lang w:val="en-US"/>
        </w:rPr>
        <w:t>https://www.sciencedirect.com/science/article/pii/S0160791X23000129</w:t>
      </w:r>
    </w:p>
    <w:p>
      <w:pPr>
        <w:pStyle w:val="style0"/>
        <w:rPr/>
      </w:pPr>
      <w:r>
        <w:rPr>
          <w:lang w:val="en-US"/>
        </w:rPr>
        <w:t>https://www.sciencedirect.com/</w:t>
      </w:r>
    </w:p>
    <w:p>
      <w:pPr>
        <w:pStyle w:val="style0"/>
        <w:rPr/>
      </w:pPr>
      <w:r>
        <w:rPr>
          <w:lang w:val="en-US"/>
        </w:rPr>
        <w:t>https://www.ibm.com/topics/data-analytics</w:t>
      </w:r>
    </w:p>
    <w:p>
      <w:pPr>
        <w:pStyle w:val="style0"/>
        <w:rPr/>
      </w:pPr>
      <w:r>
        <w:rPr>
          <w:lang w:val="en-US"/>
        </w:rPr>
        <w:t>https://misq.org</w:t>
      </w:r>
    </w:p>
    <w:p>
      <w:pPr>
        <w:pStyle w:val="style0"/>
        <w:rPr/>
      </w:pPr>
      <w:r>
        <w:rPr>
          <w:lang w:val="en-US"/>
        </w:rPr>
        <w:t>‎</w:t>
      </w:r>
    </w:p>
    <w:p>
      <w:pPr>
        <w:pStyle w:val="style0"/>
        <w:rPr/>
      </w:pPr>
    </w:p>
    <w:p>
      <w:pPr>
        <w:pStyle w:val="style0"/>
        <w:rPr/>
      </w:pPr>
    </w:p>
    <w:p>
      <w:pPr>
        <w:pStyle w:val="style0"/>
        <w:rPr/>
      </w:pP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 w:name="Coming Soon">
    <w:altName w:val="Times New Roman"/>
    <w:panose1 w:val="02020603050005020304"/>
    <w:charset w:val="00"/>
    <w:family w:val="roman"/>
    <w:pitch w:val="variable"/>
    <w:sig w:usb0="20007A87" w:usb1="80000000" w:usb2="00000008" w:usb3="00000000" w:csb0="000001FF" w:csb1="00000000"/>
  </w:font>
  <w:font w:name="Dancing Script">
    <w:altName w:val="Times New Roman"/>
    <w:panose1 w:val="02020603050005020304"/>
    <w:charset w:val="00"/>
    <w:family w:val="roman"/>
    <w:pitch w:val="variable"/>
    <w:sig w:usb0="20007A87" w:usb1="80000000" w:usb2="00000008" w:usb3="00000000" w:csb0="000001FF" w:csb1="00000000"/>
  </w:font>
  <w:font w:name="Noto Naskh Arabic UI">
    <w:altName w:val="Times New Roman"/>
    <w:panose1 w:val="02020603050005020304"/>
    <w:charset w:val="00"/>
    <w:family w:val="roman"/>
    <w:pitch w:val="variable"/>
    <w:sig w:usb0="20007A87" w:usb1="80000000" w:usb2="00000008" w:usb3="00000000" w:csb0="000001FF" w:csb1="00000000"/>
  </w:font>
  <w:font w:name="Noto Naskh Arabic">
    <w:altName w:val="Times New Roman"/>
    <w:panose1 w:val="02020603050005020304"/>
    <w:charset w:val="00"/>
    <w:family w:val="roman"/>
    <w:pitch w:val="variable"/>
    <w:sig w:usb0="20007A87" w:usb1="80000000" w:usb2="00000008" w:usb3="00000000" w:csb0="000001FF" w:csb1="00000000"/>
  </w:font>
  <w:font w:name="Noto Sans Adlam">
    <w:altName w:val="Times New Roman"/>
    <w:panose1 w:val="02020603050005020304"/>
    <w:charset w:val="00"/>
    <w:family w:val="roman"/>
    <w:pitch w:val="variable"/>
    <w:sig w:usb0="20007A87" w:usb1="80000000" w:usb2="00000008" w:usb3="00000000" w:csb0="000001FF" w:csb1="00000000"/>
  </w:font>
  <w:font w:name="Noto Sans Ahom">
    <w:altName w:val="Times New Roman"/>
    <w:panose1 w:val="02020603050005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32bb3b63-cae8-41bb-8d1b-2690bc620651"/>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ddf41efe-0650-4f2c-8e31-9bd9080dd74e"/>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24803e90-c060-494e-80f1-8858c5c9d6e8"/>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6f116756-134a-4aa9-812d-905a9cff19b1"/>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02950a51-dd1a-4bf3-9d04-0813bb2036c3"/>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d7743810-cda8-484c-b295-e1bbba1dd156"/>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85e74558-6edf-41d3-b006-cfa803628a11"/>
    <w:basedOn w:val="style65"/>
    <w:next w:val="style4108"/>
    <w:link w:val="style180"/>
    <w:uiPriority w:val="29"/>
    <w:rPr>
      <w:i/>
      <w:iCs/>
      <w:color w:val="000000"/>
    </w:rPr>
  </w:style>
  <w:style w:type="character" w:customStyle="1" w:styleId="style4109">
    <w:name w:val="Heading 4 Char_ab1f69ca-7c6c-4dce-8a76-3fa2c29e0321"/>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d4b96d9b-bead-4f4f-acfb-ad3788f0e65f"/>
    <w:basedOn w:val="style65"/>
    <w:next w:val="style4110"/>
    <w:link w:val="style5"/>
    <w:uiPriority w:val="9"/>
    <w:rPr>
      <w:rFonts w:ascii="Calibri" w:cs="宋体" w:eastAsia="ＭＳ ゴシック" w:hAnsi="Calibri"/>
      <w:color w:val="243f60"/>
    </w:rPr>
  </w:style>
  <w:style w:type="character" w:customStyle="1" w:styleId="style4111">
    <w:name w:val="Heading 6 Char_bb271621-da70-419b-83bb-8157b69bd7d4"/>
    <w:basedOn w:val="style65"/>
    <w:next w:val="style4111"/>
    <w:link w:val="style6"/>
    <w:uiPriority w:val="9"/>
    <w:rPr>
      <w:rFonts w:ascii="Calibri" w:cs="宋体" w:eastAsia="ＭＳ ゴシック" w:hAnsi="Calibri"/>
      <w:i/>
      <w:iCs/>
      <w:color w:val="243f60"/>
    </w:rPr>
  </w:style>
  <w:style w:type="character" w:customStyle="1" w:styleId="style4112">
    <w:name w:val="Heading 7 Char_7d76e885-9036-427e-ae7f-6aa8b2bb09b4"/>
    <w:basedOn w:val="style65"/>
    <w:next w:val="style4112"/>
    <w:link w:val="style7"/>
    <w:uiPriority w:val="9"/>
    <w:rPr>
      <w:rFonts w:ascii="Calibri" w:cs="宋体" w:eastAsia="ＭＳ ゴシック" w:hAnsi="Calibri"/>
      <w:i/>
      <w:iCs/>
      <w:color w:val="404040"/>
    </w:rPr>
  </w:style>
  <w:style w:type="character" w:customStyle="1" w:styleId="style4113">
    <w:name w:val="Heading 8 Char_bcb860f6-3a20-44f5-b3af-47e8c8294456"/>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ad8e43f3-6cff-47c3-9f95-a7225cc5c71a"/>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1f7b5a17-032d-4955-9beb-a4aa6de0c9ad"/>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204</Words>
  <Pages>1</Pages>
  <Characters>1512</Characters>
  <Application>WPS Office</Application>
  <DocSecurity>0</DocSecurity>
  <Paragraphs>15</Paragraphs>
  <ScaleCrop>false</ScaleCrop>
  <LinksUpToDate>false</LinksUpToDate>
  <CharactersWithSpaces>1705</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Infinix X6512</lastModifiedBy>
  <dcterms:modified xsi:type="dcterms:W3CDTF">2025-12-05T04:41:20Z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dad8e7f8a2be49f8a1cc77454aa093f7</vt:lpwstr>
  </property>
</Properties>
</file>