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7490" w14:textId="77777777" w:rsidR="00420A5A" w:rsidRDefault="00BA2507">
      <w:pPr>
        <w:pStyle w:val="Title"/>
      </w:pPr>
      <w:r>
        <w:t>Royal Dutch Shell:</w:t>
      </w:r>
    </w:p>
    <w:p w14:paraId="61407EE5" w14:textId="77777777" w:rsidR="00420A5A" w:rsidRDefault="00BA2507">
      <w:pPr>
        <w:pStyle w:val="Subtitle"/>
      </w:pPr>
      <w:r>
        <w:t>A Macroeconomic Analysis</w:t>
      </w:r>
    </w:p>
    <w:p w14:paraId="0250F515" w14:textId="77777777" w:rsidR="00420A5A" w:rsidRDefault="00BA2507">
      <w:pPr>
        <w:pStyle w:val="Author"/>
      </w:pPr>
      <w:r>
        <w:t>Shaun Harrington</w:t>
      </w:r>
    </w:p>
    <w:p w14:paraId="76D6CA97" w14:textId="77777777" w:rsidR="00420A5A" w:rsidRDefault="00BA2507">
      <w:pPr>
        <w:pStyle w:val="Date"/>
      </w:pPr>
      <w:r>
        <w:t>4/7/2021</w:t>
      </w:r>
    </w:p>
    <w:p w14:paraId="29270A41" w14:textId="77777777" w:rsidR="00420A5A" w:rsidRDefault="00BA2507">
      <w:pPr>
        <w:pStyle w:val="Heading1"/>
      </w:pPr>
      <w:bookmarkStart w:id="0" w:name="X4f8ca2ee07206b8c41373a8a010433703293f71"/>
      <w:r>
        <w:lastRenderedPageBreak/>
        <w:t>Royal Dutch Shell: A Macroeconomic Analysis</w:t>
      </w:r>
    </w:p>
    <w:p w14:paraId="59C132B5" w14:textId="77777777" w:rsidR="00420A5A" w:rsidRDefault="00BA2507">
      <w:pPr>
        <w:pStyle w:val="Heading4"/>
      </w:pPr>
      <w:bookmarkStart w:id="1" w:name="motivation"/>
      <w:r>
        <w:t>Motivation</w:t>
      </w:r>
    </w:p>
    <w:p w14:paraId="63C33473" w14:textId="77777777" w:rsidR="00420A5A" w:rsidRDefault="00BA2507">
      <w:pPr>
        <w:pStyle w:val="FirstParagraph"/>
      </w:pPr>
      <w:r>
        <w:t>Royal Dutch Shell is a international company that spans the entire globe. As such, it is subject to several macroeconomic variables throughout numerous countries. Due to COVID-19, we have seen considerable fluctuations in the macroeconomy.</w:t>
      </w:r>
    </w:p>
    <w:p w14:paraId="52C012CB" w14:textId="77777777" w:rsidR="00420A5A" w:rsidRDefault="00BA2507">
      <w:pPr>
        <w:pStyle w:val="BodyText"/>
      </w:pPr>
      <w:r>
        <w:t>[Insert discussion of change in macroeconomic indicators over past year]</w:t>
      </w:r>
    </w:p>
    <w:p w14:paraId="2D9DC89E" w14:textId="77777777" w:rsidR="00420A5A" w:rsidRDefault="00BA2507">
      <w:pPr>
        <w:pStyle w:val="BodyText"/>
      </w:pPr>
      <w:r>
        <w:t>As numerous macroeconomic indicators are highly correlated with revenues, such as the price of a barrel of oil, the net financial impact is exposed to these uncontrollable variables. By understanding the impacts, measures can be taken to mitigate the impact of changes to the macroeconomy.</w:t>
      </w:r>
    </w:p>
    <w:p w14:paraId="19262B32" w14:textId="77777777" w:rsidR="00420A5A" w:rsidRDefault="00BA2507">
      <w:pPr>
        <w:pStyle w:val="BodyText"/>
      </w:pPr>
      <w:r>
        <w:t>Royal Dutch Shell (RDS) segments revenue streams by region. Those being the United States, Europe, Other Americas, and Asia/Oceania/Africa. In 2019, the distribution of revenues were: 24% in the US, 29% in Europe, 7% in Other Americas, and 41% in Asia/Oceania/Africa. See below for a chart of revenues by region:</w:t>
      </w:r>
    </w:p>
    <w:p w14:paraId="6853CFD0" w14:textId="77777777" w:rsidR="00420A5A" w:rsidRDefault="00420A5A">
      <w:pPr>
        <w:pStyle w:val="BodyText"/>
      </w:pPr>
    </w:p>
    <w:p w14:paraId="725856AB" w14:textId="77777777" w:rsidR="00420A5A" w:rsidRDefault="00BA2507" w:rsidP="004268EE">
      <w:pPr>
        <w:pStyle w:val="BodyText"/>
        <w:ind w:firstLine="0"/>
      </w:pPr>
      <w:r>
        <w:rPr>
          <w:noProof/>
        </w:rPr>
        <w:drawing>
          <wp:inline distT="0" distB="0" distL="0" distR="0" wp14:anchorId="67BDD7FA" wp14:editId="7913789E">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Regional%20Rev%20Chart-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4201E4D8" w14:textId="77777777" w:rsidR="00420A5A" w:rsidRDefault="00420A5A">
      <w:pPr>
        <w:pStyle w:val="BodyText"/>
      </w:pPr>
    </w:p>
    <w:p w14:paraId="5DB4FCB9" w14:textId="77777777" w:rsidR="00420A5A" w:rsidRDefault="00BA2507">
      <w:pPr>
        <w:pStyle w:val="BodyText"/>
      </w:pPr>
      <w:r>
        <w:t>As evidenced in the chart above, revenue streams are subject to large deviations, moreso in some regions than others. Royal Dutch Shell is also experiencing a changing market with decreasing revenues in non-US Americas and Europe yet increasing revenues in the US and Asia/Oceania/Africa. The chart below displays how the regional percent of total revenues has changed during the period from 2008 to 2019.</w:t>
      </w:r>
    </w:p>
    <w:p w14:paraId="03501F46" w14:textId="77777777" w:rsidR="00420A5A" w:rsidRDefault="00420A5A">
      <w:pPr>
        <w:pStyle w:val="BodyText"/>
      </w:pPr>
    </w:p>
    <w:p w14:paraId="33CC80A5" w14:textId="77777777" w:rsidR="00420A5A" w:rsidRDefault="00BA2507" w:rsidP="004268EE">
      <w:pPr>
        <w:pStyle w:val="BodyText"/>
        <w:ind w:firstLine="0"/>
      </w:pPr>
      <w:r>
        <w:rPr>
          <w:noProof/>
        </w:rPr>
        <w:drawing>
          <wp:inline distT="0" distB="0" distL="0" distR="0" wp14:anchorId="7B074DB1" wp14:editId="623C68B9">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Regional%20Percent%20Rev%20Chart-1.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14:paraId="477006F8" w14:textId="77777777" w:rsidR="00420A5A" w:rsidRDefault="00BA2507">
      <w:pPr>
        <w:pStyle w:val="Heading4"/>
      </w:pPr>
      <w:bookmarkStart w:id="2" w:name="objectives"/>
      <w:bookmarkEnd w:id="1"/>
      <w:r>
        <w:t>Objectives</w:t>
      </w:r>
    </w:p>
    <w:p w14:paraId="2FC83E72" w14:textId="77777777" w:rsidR="00420A5A" w:rsidRDefault="00BA2507">
      <w:pPr>
        <w:pStyle w:val="FirstParagraph"/>
      </w:pPr>
      <w:r>
        <w:t>This report will cover some major macroeconomic indicators and how they impact Royal Dutch Shell. An analysis of specific measures to mitigate this risk will be compared with the goal of maximizing revenues. By evaluating the sensitivity, or elasticity, of these indicators, Royal Dutch shell will be able to quantify the risks of a changing macroeconomy. With these elasticities, a strategy to mitigate these risks will be developed.</w:t>
      </w:r>
    </w:p>
    <w:p w14:paraId="301079E6" w14:textId="77777777" w:rsidR="00420A5A" w:rsidRDefault="00BA2507">
      <w:pPr>
        <w:pStyle w:val="BodyText"/>
      </w:pPr>
      <w:r>
        <w:t xml:space="preserve">The macroeconomics indicators that will be considered are changes in real GDP, consumption, industrial production, nominal interest rate, inflation, unemployment rate, </w:t>
      </w:r>
      <w:r>
        <w:lastRenderedPageBreak/>
        <w:t>exchange rate, and natural gas and oil prices. All data is retrieved from the World Bank. The national values for GDP, consumption, and industrial production within a region are summed by year to calculate the total regional values. The nominal interest rates and inflation rates are averaged for each nation using the nation’s GDP as a weight. Likewise, the unemployment rate for each nation in a region is averaged using each nation’s population as a weight. The exchange rate used is an index provided by the World Bank. The exchange rate for each region is set to the exchange rate for the largest national economy, as measured in GDP, in 2019.</w:t>
      </w:r>
    </w:p>
    <w:p w14:paraId="03214845" w14:textId="77777777" w:rsidR="00420A5A" w:rsidRDefault="00BA2507">
      <w:pPr>
        <w:pStyle w:val="Heading2"/>
      </w:pPr>
      <w:bookmarkStart w:id="3" w:name="literature-review"/>
      <w:bookmarkEnd w:id="2"/>
      <w:r>
        <w:t>Literature Review</w:t>
      </w:r>
    </w:p>
    <w:p w14:paraId="2EDE3F22" w14:textId="77777777" w:rsidR="00420A5A" w:rsidRDefault="00BA2507">
      <w:pPr>
        <w:pStyle w:val="Heading4"/>
      </w:pPr>
      <w:bookmarkStart w:id="4" w:name="X60e632af8ad95bc2206a534b11dbcc6702d9fec"/>
      <w:r>
        <w:t>Determinants of price of oil and natural gas.</w:t>
      </w:r>
    </w:p>
    <w:p w14:paraId="1F28BA72" w14:textId="77777777" w:rsidR="00420A5A" w:rsidRDefault="00BA2507">
      <w:pPr>
        <w:pStyle w:val="Heading4"/>
      </w:pPr>
      <w:bookmarkStart w:id="5" w:name="X531c9bbd28edca86ab448502f905e0cb8d19031"/>
      <w:bookmarkEnd w:id="4"/>
      <w:r>
        <w:t>Correlation of price of oil/LNG with macroeconomic indicators.</w:t>
      </w:r>
    </w:p>
    <w:p w14:paraId="78856FA4" w14:textId="77777777" w:rsidR="00420A5A" w:rsidRDefault="00BA2507">
      <w:pPr>
        <w:pStyle w:val="Heading4"/>
      </w:pPr>
      <w:bookmarkStart w:id="6" w:name="X79907107ae1d23e1028e338008cd2975e9fa9f9"/>
      <w:bookmarkEnd w:id="5"/>
      <w:r>
        <w:t>Limiting exchange rate risk of international corporations.</w:t>
      </w:r>
    </w:p>
    <w:p w14:paraId="3218EAAE" w14:textId="77777777" w:rsidR="00420A5A" w:rsidRDefault="00BA2507">
      <w:pPr>
        <w:pStyle w:val="Heading4"/>
      </w:pPr>
      <w:bookmarkStart w:id="7" w:name="Xc3b986e2324bf9a97597db428933cd04280f01b"/>
      <w:bookmarkEnd w:id="6"/>
      <w:r>
        <w:t>Microeconomics of Fossil Fuel industry to maximize revenues.</w:t>
      </w:r>
    </w:p>
    <w:p w14:paraId="00EFD1AF" w14:textId="77777777" w:rsidR="00420A5A" w:rsidRDefault="00BA2507">
      <w:pPr>
        <w:pStyle w:val="Heading2"/>
      </w:pPr>
      <w:bookmarkStart w:id="8" w:name="method-of-analysis"/>
      <w:bookmarkEnd w:id="3"/>
      <w:bookmarkEnd w:id="7"/>
      <w:r>
        <w:t>Method of Analysis</w:t>
      </w:r>
    </w:p>
    <w:p w14:paraId="0B4BCA18" w14:textId="77777777" w:rsidR="00420A5A" w:rsidRDefault="00BA2507">
      <w:pPr>
        <w:pStyle w:val="Heading4"/>
      </w:pPr>
      <w:bookmarkStart w:id="9" w:name="scope"/>
      <w:r>
        <w:t>Scope</w:t>
      </w:r>
    </w:p>
    <w:p w14:paraId="7594B1F0" w14:textId="77777777" w:rsidR="00420A5A" w:rsidRDefault="00BA2507">
      <w:pPr>
        <w:pStyle w:val="FirstParagraph"/>
      </w:pPr>
      <w:r>
        <w:t>By means of a log-log model with regional revenues as the dependent variable and macroeconomics indicators as the independent variables, the elasticities of each of these indicators can be evaluated. However, given that available revenue data only trace back to 2004, this approach is severely limited in the vigor necessary for some of the claims that must be met. Therefore, a laxed approach must be considered such that the empirical results do not counter economic theory.</w:t>
      </w:r>
    </w:p>
    <w:p w14:paraId="647B4ADF" w14:textId="77777777" w:rsidR="00420A5A" w:rsidRDefault="00BA2507">
      <w:pPr>
        <w:pStyle w:val="BodyText"/>
      </w:pPr>
      <w:r>
        <w:t xml:space="preserve">We begin by visually inspecting the included macroeconomic variables with RDS revenues by region. As the exact amounts of these variables are not as important as the correlation to revenues, each of the variables for each region will be scaled and centered to give a </w:t>
      </w:r>
      <w:r>
        <w:lastRenderedPageBreak/>
        <w:t>mean of zero and standard deviation of one. By doing so, each variable may be visually analyzed in comparison to the scaled and centered revenues.</w:t>
      </w:r>
    </w:p>
    <w:p w14:paraId="68F426D9" w14:textId="77777777" w:rsidR="00420A5A" w:rsidRDefault="00BA2507">
      <w:pPr>
        <w:pStyle w:val="Heading4"/>
      </w:pPr>
      <w:bookmarkStart w:id="10" w:name="gdp"/>
      <w:bookmarkEnd w:id="9"/>
      <w:r>
        <w:t>GDP</w:t>
      </w:r>
    </w:p>
    <w:p w14:paraId="79834ADD" w14:textId="77777777" w:rsidR="00420A5A" w:rsidRDefault="00BA2507">
      <w:pPr>
        <w:pStyle w:val="FirstParagraph"/>
      </w:pPr>
      <w:r>
        <w:t>Real Gross Domestic Product is monumental in the discussion of macroeconomic indicators as it is the heartbeat of an economy, measuring the total value of goods and services produced during a period. This is relevant to Royal Dutch Shell as demand for energy will fluctuate with the economy. When an economy is expanding, the energy that it needs to fulfill this expansion will increase. On the contrary, an economy will have a baseline energy requirement that must be met regardless of the growth of an economy.</w:t>
      </w:r>
    </w:p>
    <w:p w14:paraId="3CDC000A" w14:textId="77777777" w:rsidR="00420A5A" w:rsidRDefault="00BA2507">
      <w:pPr>
        <w:pStyle w:val="BodyText"/>
      </w:pPr>
      <w:r>
        <w:t>The charts below show little correlation between GDP and revenues, outside of non-US Americas. Because GDP is an all-encompassing value, the impact of more specific variables could be masking the visual impact that GDP has on revenues.</w:t>
      </w:r>
    </w:p>
    <w:p w14:paraId="5EFA4DEE" w14:textId="77777777" w:rsidR="00420A5A" w:rsidRDefault="00BA2507" w:rsidP="004268EE">
      <w:pPr>
        <w:pStyle w:val="BodyText"/>
        <w:ind w:firstLine="0"/>
      </w:pPr>
      <w:r>
        <w:rPr>
          <w:noProof/>
        </w:rPr>
        <w:drawing>
          <wp:inline distT="0" distB="0" distL="0" distR="0" wp14:anchorId="428A70ED" wp14:editId="541B0744">
            <wp:extent cx="5943600" cy="3714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GDP%20Plot-1.png"/>
                    <pic:cNvPicPr>
                      <a:picLocks noChangeAspect="1" noChangeArrowheads="1"/>
                    </pic:cNvPicPr>
                  </pic:nvPicPr>
                  <pic:blipFill>
                    <a:blip r:embed="rId10"/>
                    <a:stretch>
                      <a:fillRect/>
                    </a:stretch>
                  </pic:blipFill>
                  <pic:spPr bwMode="auto">
                    <a:xfrm>
                      <a:off x="0" y="0"/>
                      <a:ext cx="5943600" cy="3714750"/>
                    </a:xfrm>
                    <a:prstGeom prst="rect">
                      <a:avLst/>
                    </a:prstGeom>
                    <a:noFill/>
                    <a:ln w="9525">
                      <a:noFill/>
                      <a:headEnd/>
                      <a:tailEnd/>
                    </a:ln>
                  </pic:spPr>
                </pic:pic>
              </a:graphicData>
            </a:graphic>
          </wp:inline>
        </w:drawing>
      </w:r>
    </w:p>
    <w:p w14:paraId="438C9C8C" w14:textId="77777777" w:rsidR="00420A5A" w:rsidRDefault="00BA2507">
      <w:pPr>
        <w:pStyle w:val="Heading4"/>
      </w:pPr>
      <w:bookmarkStart w:id="11" w:name="consumption"/>
      <w:bookmarkEnd w:id="10"/>
      <w:r>
        <w:lastRenderedPageBreak/>
        <w:t>Consumption</w:t>
      </w:r>
    </w:p>
    <w:p w14:paraId="045E6EB8" w14:textId="77777777" w:rsidR="00420A5A" w:rsidRDefault="00BA2507">
      <w:pPr>
        <w:pStyle w:val="FirstParagraph"/>
      </w:pPr>
      <w:r>
        <w:t>Real Consumption is a large component of real GDP. This would reflect the actions of consumers within an economy. Higher consumption levels could lead to increased retail sales due to a populace commuting more or traveling. However, a visual analysis does not indicate much correlation, as shown below.</w:t>
      </w:r>
    </w:p>
    <w:p w14:paraId="35CA43BD" w14:textId="77777777" w:rsidR="00420A5A" w:rsidRDefault="00BA2507" w:rsidP="004268EE">
      <w:pPr>
        <w:pStyle w:val="BodyText"/>
        <w:ind w:firstLine="0"/>
      </w:pPr>
      <w:r>
        <w:rPr>
          <w:noProof/>
        </w:rPr>
        <w:drawing>
          <wp:inline distT="0" distB="0" distL="0" distR="0" wp14:anchorId="2BF2AD5F" wp14:editId="17F1DE0C">
            <wp:extent cx="5943600" cy="3714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Consumption%20Plot-1.png"/>
                    <pic:cNvPicPr>
                      <a:picLocks noChangeAspect="1" noChangeArrowheads="1"/>
                    </pic:cNvPicPr>
                  </pic:nvPicPr>
                  <pic:blipFill>
                    <a:blip r:embed="rId11"/>
                    <a:stretch>
                      <a:fillRect/>
                    </a:stretch>
                  </pic:blipFill>
                  <pic:spPr bwMode="auto">
                    <a:xfrm>
                      <a:off x="0" y="0"/>
                      <a:ext cx="5943600" cy="3714750"/>
                    </a:xfrm>
                    <a:prstGeom prst="rect">
                      <a:avLst/>
                    </a:prstGeom>
                    <a:noFill/>
                    <a:ln w="9525">
                      <a:noFill/>
                      <a:headEnd/>
                      <a:tailEnd/>
                    </a:ln>
                  </pic:spPr>
                </pic:pic>
              </a:graphicData>
            </a:graphic>
          </wp:inline>
        </w:drawing>
      </w:r>
    </w:p>
    <w:p w14:paraId="2B957AA9" w14:textId="77777777" w:rsidR="00420A5A" w:rsidRDefault="00BA2507">
      <w:pPr>
        <w:pStyle w:val="Heading4"/>
      </w:pPr>
      <w:bookmarkStart w:id="12" w:name="industrial-production"/>
      <w:bookmarkEnd w:id="11"/>
      <w:r>
        <w:t>Industrial Production</w:t>
      </w:r>
    </w:p>
    <w:p w14:paraId="208F666F" w14:textId="77777777" w:rsidR="00420A5A" w:rsidRDefault="00BA2507">
      <w:pPr>
        <w:pStyle w:val="FirstParagraph"/>
      </w:pPr>
      <w:r>
        <w:t>Industrial Production is the measure of output from manufacturing, mining, and utilities. Most of which are higher energy-consuming processes. There appears to be significant correlation to revenues in non-US Americas but little outside of this region. This could indicate differences in energy use. Economies that are more reliant on fossil fuels will have revenues more correlated to industrial production.</w:t>
      </w:r>
    </w:p>
    <w:p w14:paraId="38597D47" w14:textId="77777777" w:rsidR="00420A5A" w:rsidRDefault="00BA2507" w:rsidP="004268EE">
      <w:pPr>
        <w:pStyle w:val="BodyText"/>
        <w:ind w:firstLine="0"/>
      </w:pPr>
      <w:r>
        <w:rPr>
          <w:noProof/>
        </w:rPr>
        <w:lastRenderedPageBreak/>
        <w:drawing>
          <wp:inline distT="0" distB="0" distL="0" distR="0" wp14:anchorId="34E01F3E" wp14:editId="151B5FCC">
            <wp:extent cx="5943600" cy="3714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Industrial%20Plot-1.png"/>
                    <pic:cNvPicPr>
                      <a:picLocks noChangeAspect="1" noChangeArrowheads="1"/>
                    </pic:cNvPicPr>
                  </pic:nvPicPr>
                  <pic:blipFill>
                    <a:blip r:embed="rId12"/>
                    <a:stretch>
                      <a:fillRect/>
                    </a:stretch>
                  </pic:blipFill>
                  <pic:spPr bwMode="auto">
                    <a:xfrm>
                      <a:off x="0" y="0"/>
                      <a:ext cx="5943600" cy="3714750"/>
                    </a:xfrm>
                    <a:prstGeom prst="rect">
                      <a:avLst/>
                    </a:prstGeom>
                    <a:noFill/>
                    <a:ln w="9525">
                      <a:noFill/>
                      <a:headEnd/>
                      <a:tailEnd/>
                    </a:ln>
                  </pic:spPr>
                </pic:pic>
              </a:graphicData>
            </a:graphic>
          </wp:inline>
        </w:drawing>
      </w:r>
    </w:p>
    <w:p w14:paraId="5C27D52C" w14:textId="77777777" w:rsidR="00420A5A" w:rsidRDefault="00BA2507">
      <w:pPr>
        <w:pStyle w:val="Heading4"/>
      </w:pPr>
      <w:bookmarkStart w:id="13" w:name="inflation"/>
      <w:bookmarkEnd w:id="12"/>
      <w:r>
        <w:t>Inflation</w:t>
      </w:r>
    </w:p>
    <w:p w14:paraId="7F29E4A7" w14:textId="77777777" w:rsidR="00420A5A" w:rsidRDefault="00BA2507">
      <w:pPr>
        <w:pStyle w:val="FirstParagraph"/>
      </w:pPr>
      <w:r>
        <w:t>The inflation rate, as measured by the rate of growth in the Consumer Price Index, is another instrumental macroeconomic variable. Yet it appears to correlate with revenues very little. This could be due to mostly stable inflation rates, especially when aggregated in regions, with higher inflation areas in rare pockets across the globe.</w:t>
      </w:r>
    </w:p>
    <w:p w14:paraId="0535DB8C" w14:textId="77777777" w:rsidR="00420A5A" w:rsidRDefault="00BA2507" w:rsidP="004268EE">
      <w:pPr>
        <w:pStyle w:val="BodyText"/>
        <w:ind w:firstLine="0"/>
      </w:pPr>
      <w:r>
        <w:rPr>
          <w:noProof/>
        </w:rPr>
        <w:lastRenderedPageBreak/>
        <w:drawing>
          <wp:inline distT="0" distB="0" distL="0" distR="0" wp14:anchorId="5636D985" wp14:editId="114396F1">
            <wp:extent cx="5943600" cy="37147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Inflation%20Plot-1.png"/>
                    <pic:cNvPicPr>
                      <a:picLocks noChangeAspect="1" noChangeArrowheads="1"/>
                    </pic:cNvPicPr>
                  </pic:nvPicPr>
                  <pic:blipFill>
                    <a:blip r:embed="rId13"/>
                    <a:stretch>
                      <a:fillRect/>
                    </a:stretch>
                  </pic:blipFill>
                  <pic:spPr bwMode="auto">
                    <a:xfrm>
                      <a:off x="0" y="0"/>
                      <a:ext cx="5943600" cy="3714750"/>
                    </a:xfrm>
                    <a:prstGeom prst="rect">
                      <a:avLst/>
                    </a:prstGeom>
                    <a:noFill/>
                    <a:ln w="9525">
                      <a:noFill/>
                      <a:headEnd/>
                      <a:tailEnd/>
                    </a:ln>
                  </pic:spPr>
                </pic:pic>
              </a:graphicData>
            </a:graphic>
          </wp:inline>
        </w:drawing>
      </w:r>
    </w:p>
    <w:p w14:paraId="7E344D84" w14:textId="77777777" w:rsidR="00420A5A" w:rsidRDefault="00BA2507">
      <w:pPr>
        <w:pStyle w:val="Heading4"/>
      </w:pPr>
      <w:bookmarkStart w:id="14" w:name="nominal-interest-rate"/>
      <w:bookmarkEnd w:id="13"/>
      <w:r>
        <w:t>Nominal Interest Rate</w:t>
      </w:r>
    </w:p>
    <w:p w14:paraId="378EC1FB" w14:textId="77777777" w:rsidR="00420A5A" w:rsidRDefault="00BA2507">
      <w:pPr>
        <w:pStyle w:val="FirstParagraph"/>
      </w:pPr>
      <w:r>
        <w:t>The nominal interest rate is an important variable to consider as it is the opportunity cost of holding money. Higher rates would mean that RDS is more constrained in financing projects such as research and development. This could mean that interest rates today wouldn’t necessarily impact only revenues today but future revenues as some capital projects today would be foregone lowering future revenues.</w:t>
      </w:r>
    </w:p>
    <w:p w14:paraId="7AB48BED" w14:textId="77777777" w:rsidR="00420A5A" w:rsidRDefault="00BA2507">
      <w:pPr>
        <w:pStyle w:val="BodyText"/>
      </w:pPr>
      <w:r>
        <w:t>The graph below does seem to indicate some correlation but as past interest rates could be impacting current revenues, a linear model will be a more appropriate measure of this correlation.</w:t>
      </w:r>
    </w:p>
    <w:p w14:paraId="7B6909D1" w14:textId="77777777" w:rsidR="00420A5A" w:rsidRDefault="00BA2507" w:rsidP="004268EE">
      <w:pPr>
        <w:pStyle w:val="BodyText"/>
        <w:ind w:firstLine="0"/>
      </w:pPr>
      <w:r>
        <w:rPr>
          <w:noProof/>
        </w:rPr>
        <w:lastRenderedPageBreak/>
        <w:drawing>
          <wp:inline distT="0" distB="0" distL="0" distR="0" wp14:anchorId="690243EF" wp14:editId="16F5245C">
            <wp:extent cx="5943600" cy="3714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Interest%20Plot-1.png"/>
                    <pic:cNvPicPr>
                      <a:picLocks noChangeAspect="1" noChangeArrowheads="1"/>
                    </pic:cNvPicPr>
                  </pic:nvPicPr>
                  <pic:blipFill>
                    <a:blip r:embed="rId14"/>
                    <a:stretch>
                      <a:fillRect/>
                    </a:stretch>
                  </pic:blipFill>
                  <pic:spPr bwMode="auto">
                    <a:xfrm>
                      <a:off x="0" y="0"/>
                      <a:ext cx="5943600" cy="3714750"/>
                    </a:xfrm>
                    <a:prstGeom prst="rect">
                      <a:avLst/>
                    </a:prstGeom>
                    <a:noFill/>
                    <a:ln w="9525">
                      <a:noFill/>
                      <a:headEnd/>
                      <a:tailEnd/>
                    </a:ln>
                  </pic:spPr>
                </pic:pic>
              </a:graphicData>
            </a:graphic>
          </wp:inline>
        </w:drawing>
      </w:r>
    </w:p>
    <w:p w14:paraId="07AA878C" w14:textId="77777777" w:rsidR="00420A5A" w:rsidRDefault="00BA2507">
      <w:pPr>
        <w:pStyle w:val="Heading4"/>
      </w:pPr>
      <w:bookmarkStart w:id="15" w:name="unemployment-rate"/>
      <w:bookmarkEnd w:id="14"/>
      <w:r>
        <w:t>Unemployment Rate</w:t>
      </w:r>
    </w:p>
    <w:p w14:paraId="341EB9A3" w14:textId="77777777" w:rsidR="00420A5A" w:rsidRDefault="00BA2507">
      <w:pPr>
        <w:pStyle w:val="FirstParagraph"/>
      </w:pPr>
      <w:r>
        <w:t>Another central pillar of macroeconomics, the unemployment rate will also indicate the health of an economy. RDS should expect lower revenues in regions with higher unemployment as commutes to work, lowered consumption, among other factors would lower energy demand.</w:t>
      </w:r>
    </w:p>
    <w:p w14:paraId="19C46966" w14:textId="77777777" w:rsidR="00420A5A" w:rsidRDefault="00BA2507">
      <w:pPr>
        <w:pStyle w:val="BodyText"/>
      </w:pPr>
      <w:r>
        <w:t>Asia/Oceania/Africa and non-US Americas seem to follow this theory, but Europe and the US do not show much of a correlation. Again, this could be that higher-income nations are less reliant on fossil fuels which would limit the correlation between revenues and unemployment.</w:t>
      </w:r>
    </w:p>
    <w:p w14:paraId="1F0C36F6" w14:textId="52824259" w:rsidR="00420A5A" w:rsidRDefault="00BA2507" w:rsidP="004268EE">
      <w:pPr>
        <w:pStyle w:val="BodyText"/>
        <w:ind w:firstLine="0"/>
      </w:pPr>
      <w:r>
        <w:rPr>
          <w:noProof/>
        </w:rPr>
        <w:lastRenderedPageBreak/>
        <w:drawing>
          <wp:inline distT="0" distB="0" distL="0" distR="0" wp14:anchorId="55808C8D" wp14:editId="3F9CE0BA">
            <wp:extent cx="5943600" cy="3714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Unemployment%20Plot-1.png"/>
                    <pic:cNvPicPr>
                      <a:picLocks noChangeAspect="1" noChangeArrowheads="1"/>
                    </pic:cNvPicPr>
                  </pic:nvPicPr>
                  <pic:blipFill>
                    <a:blip r:embed="rId15"/>
                    <a:stretch>
                      <a:fillRect/>
                    </a:stretch>
                  </pic:blipFill>
                  <pic:spPr bwMode="auto">
                    <a:xfrm>
                      <a:off x="0" y="0"/>
                      <a:ext cx="5943600" cy="3714750"/>
                    </a:xfrm>
                    <a:prstGeom prst="rect">
                      <a:avLst/>
                    </a:prstGeom>
                    <a:noFill/>
                    <a:ln w="9525">
                      <a:noFill/>
                      <a:headEnd/>
                      <a:tailEnd/>
                    </a:ln>
                  </pic:spPr>
                </pic:pic>
              </a:graphicData>
            </a:graphic>
          </wp:inline>
        </w:drawing>
      </w:r>
    </w:p>
    <w:p w14:paraId="32A54B18" w14:textId="77777777" w:rsidR="00420A5A" w:rsidRDefault="00BA2507">
      <w:pPr>
        <w:pStyle w:val="Heading4"/>
      </w:pPr>
      <w:bookmarkStart w:id="16" w:name="exchange-rate-index"/>
      <w:bookmarkEnd w:id="15"/>
      <w:r>
        <w:t>Exchange Rate Index</w:t>
      </w:r>
    </w:p>
    <w:p w14:paraId="0A3E9563" w14:textId="77777777" w:rsidR="00420A5A" w:rsidRDefault="00BA2507">
      <w:pPr>
        <w:pStyle w:val="FirstParagraph"/>
      </w:pPr>
      <w:r>
        <w:t>The exchange rate index indicates how an economy is operating relative to other economies. High-importing nations will generally reflect a higher exchange rate while high-exporting nations will generally have lower exchange rates. It will be a reflection of how local prices compare to foreign prices.</w:t>
      </w:r>
    </w:p>
    <w:p w14:paraId="1DF5BD40" w14:textId="77777777" w:rsidR="00420A5A" w:rsidRDefault="00BA2507">
      <w:pPr>
        <w:pStyle w:val="BodyText"/>
      </w:pPr>
      <w:r>
        <w:t>There does appear to be some correlation to regional revenues. The US appears to be negatively correlated with the exchange rate while non-US Americas appears to be positively correlated.</w:t>
      </w:r>
    </w:p>
    <w:p w14:paraId="776A0242" w14:textId="77777777" w:rsidR="00420A5A" w:rsidRDefault="00BA2507" w:rsidP="004268EE">
      <w:pPr>
        <w:pStyle w:val="BodyText"/>
        <w:ind w:firstLine="0"/>
      </w:pPr>
      <w:r>
        <w:rPr>
          <w:noProof/>
        </w:rPr>
        <w:lastRenderedPageBreak/>
        <w:drawing>
          <wp:inline distT="0" distB="0" distL="0" distR="0" wp14:anchorId="006621CE" wp14:editId="692B9454">
            <wp:extent cx="5943600" cy="37147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Exchange%20Rate%20Plot-1.png"/>
                    <pic:cNvPicPr>
                      <a:picLocks noChangeAspect="1" noChangeArrowheads="1"/>
                    </pic:cNvPicPr>
                  </pic:nvPicPr>
                  <pic:blipFill>
                    <a:blip r:embed="rId16"/>
                    <a:stretch>
                      <a:fillRect/>
                    </a:stretch>
                  </pic:blipFill>
                  <pic:spPr bwMode="auto">
                    <a:xfrm>
                      <a:off x="0" y="0"/>
                      <a:ext cx="5943600" cy="3714750"/>
                    </a:xfrm>
                    <a:prstGeom prst="rect">
                      <a:avLst/>
                    </a:prstGeom>
                    <a:noFill/>
                    <a:ln w="9525">
                      <a:noFill/>
                      <a:headEnd/>
                      <a:tailEnd/>
                    </a:ln>
                  </pic:spPr>
                </pic:pic>
              </a:graphicData>
            </a:graphic>
          </wp:inline>
        </w:drawing>
      </w:r>
    </w:p>
    <w:p w14:paraId="38E59F27" w14:textId="77777777" w:rsidR="00420A5A" w:rsidRDefault="00BA2507">
      <w:pPr>
        <w:pStyle w:val="Heading4"/>
      </w:pPr>
      <w:bookmarkStart w:id="17" w:name="oil-rents"/>
      <w:bookmarkEnd w:id="16"/>
      <w:r>
        <w:t>Oil Rents</w:t>
      </w:r>
    </w:p>
    <w:p w14:paraId="5C177AB3" w14:textId="77777777" w:rsidR="00420A5A" w:rsidRDefault="00BA2507">
      <w:pPr>
        <w:pStyle w:val="FirstParagraph"/>
      </w:pPr>
      <w:r>
        <w:t>The World Bank defines oil rents as “…the difference between the value of crude oil production at world prices and total costs of production.” The data gathered was as a percent of GDP however, the chart below converts the units to dollars by multiplying each economies GDP in dollars by this percentage. This is extremely correlated to revenues, as expected. As the difference between value of production and cost of production increases, we should expect to see higher revenues. Including this variable within the linear modeling will act as a control of the volatile price of oil.</w:t>
      </w:r>
    </w:p>
    <w:p w14:paraId="0BCB1593" w14:textId="77777777" w:rsidR="00420A5A" w:rsidRDefault="00BA2507" w:rsidP="004268EE">
      <w:pPr>
        <w:pStyle w:val="BodyText"/>
        <w:ind w:firstLine="0"/>
      </w:pPr>
      <w:r>
        <w:rPr>
          <w:noProof/>
        </w:rPr>
        <w:lastRenderedPageBreak/>
        <w:drawing>
          <wp:inline distT="0" distB="0" distL="0" distR="0" wp14:anchorId="47E65912" wp14:editId="6AF3E7BF">
            <wp:extent cx="5943600" cy="37147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Oil%20Price%20Plot-1.png"/>
                    <pic:cNvPicPr>
                      <a:picLocks noChangeAspect="1" noChangeArrowheads="1"/>
                    </pic:cNvPicPr>
                  </pic:nvPicPr>
                  <pic:blipFill>
                    <a:blip r:embed="rId17"/>
                    <a:stretch>
                      <a:fillRect/>
                    </a:stretch>
                  </pic:blipFill>
                  <pic:spPr bwMode="auto">
                    <a:xfrm>
                      <a:off x="0" y="0"/>
                      <a:ext cx="5943600" cy="3714750"/>
                    </a:xfrm>
                    <a:prstGeom prst="rect">
                      <a:avLst/>
                    </a:prstGeom>
                    <a:noFill/>
                    <a:ln w="9525">
                      <a:noFill/>
                      <a:headEnd/>
                      <a:tailEnd/>
                    </a:ln>
                  </pic:spPr>
                </pic:pic>
              </a:graphicData>
            </a:graphic>
          </wp:inline>
        </w:drawing>
      </w:r>
    </w:p>
    <w:p w14:paraId="09075523" w14:textId="77777777" w:rsidR="00420A5A" w:rsidRDefault="00BA2507">
      <w:pPr>
        <w:pStyle w:val="Heading4"/>
      </w:pPr>
      <w:bookmarkStart w:id="18" w:name="natural-gas-rents"/>
      <w:bookmarkEnd w:id="17"/>
      <w:r>
        <w:t>Natural Gas Rents</w:t>
      </w:r>
    </w:p>
    <w:p w14:paraId="7959E40C" w14:textId="77777777" w:rsidR="00420A5A" w:rsidRDefault="00BA2507">
      <w:pPr>
        <w:pStyle w:val="FirstParagraph"/>
      </w:pPr>
      <w:r>
        <w:t>Natural gas rents were similarly derived as oil rents. As natural gas extration and production is also a major operation at RDS, although not as major as oil, we would also expect there to be correlation with revenues.</w:t>
      </w:r>
    </w:p>
    <w:p w14:paraId="088E9361" w14:textId="6782BB5A" w:rsidR="00420A5A" w:rsidRDefault="004268EE" w:rsidP="004268EE">
      <w:pPr>
        <w:pStyle w:val="BodyText"/>
        <w:jc w:val="center"/>
      </w:pPr>
      <w:r>
        <w:lastRenderedPageBreak/>
        <w:t>\</w:t>
      </w:r>
      <w:r w:rsidR="00BA2507">
        <w:rPr>
          <w:noProof/>
        </w:rPr>
        <w:drawing>
          <wp:inline distT="0" distB="0" distL="0" distR="0" wp14:anchorId="2A0E6CEB" wp14:editId="067547D2">
            <wp:extent cx="5943600" cy="37147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Gas%20Price%20Plot-1.png"/>
                    <pic:cNvPicPr>
                      <a:picLocks noChangeAspect="1" noChangeArrowheads="1"/>
                    </pic:cNvPicPr>
                  </pic:nvPicPr>
                  <pic:blipFill>
                    <a:blip r:embed="rId18"/>
                    <a:stretch>
                      <a:fillRect/>
                    </a:stretch>
                  </pic:blipFill>
                  <pic:spPr bwMode="auto">
                    <a:xfrm>
                      <a:off x="0" y="0"/>
                      <a:ext cx="5943600" cy="3714750"/>
                    </a:xfrm>
                    <a:prstGeom prst="rect">
                      <a:avLst/>
                    </a:prstGeom>
                    <a:noFill/>
                    <a:ln w="9525">
                      <a:noFill/>
                      <a:headEnd/>
                      <a:tailEnd/>
                    </a:ln>
                  </pic:spPr>
                </pic:pic>
              </a:graphicData>
            </a:graphic>
          </wp:inline>
        </w:drawing>
      </w:r>
    </w:p>
    <w:p w14:paraId="60B89CD2" w14:textId="77777777" w:rsidR="00420A5A" w:rsidRDefault="00BA2507">
      <w:pPr>
        <w:pStyle w:val="BodyText"/>
      </w:pPr>
      <w:r>
        <w:t>A visual analysis is helpful in seeing the bilateral interactions between revenues and these macroeconomic indicators, but, due to the complexity of the market, is not sufficient to infer conclusions. Using a linear model, the numerous intricacies can be quantified and help determine the most significant. A log-log model enables the evaluation of the elasticies for each of these variables to RDS revenues. Which enables the ability to determine which macroeconomic variables impact revenues the greatest. Knowing these sensitivies will indicate where to allocate resources to hedge this risk.</w:t>
      </w:r>
    </w:p>
    <w:p w14:paraId="2565010D" w14:textId="77777777" w:rsidR="00420A5A" w:rsidRDefault="00BA2507">
      <w:pPr>
        <w:pStyle w:val="Heading4"/>
      </w:pPr>
      <w:bookmarkStart w:id="19" w:name="log-log-model-evaluation"/>
      <w:bookmarkEnd w:id="18"/>
      <w:r>
        <w:t>Log-Log model evaluation</w:t>
      </w:r>
    </w:p>
    <w:p w14:paraId="2EE6249E" w14:textId="77777777" w:rsidR="00420A5A" w:rsidRDefault="00BA2507">
      <w:pPr>
        <w:pStyle w:val="FirstParagraph"/>
      </w:pPr>
      <w:r>
        <w:t>The following tables are the output of this model for each region. The “dlog()” encapsulating each variable is a function that returns the first difference of the natural log of the variable.</w:t>
      </w:r>
    </w:p>
    <w:p w14:paraId="4E179385" w14:textId="77777777" w:rsidR="00420A5A" w:rsidRDefault="00BA2507">
      <w:pPr>
        <w:pStyle w:val="Heading4"/>
      </w:pPr>
      <w:bookmarkStart w:id="20" w:name="asiaoceaniaafrica"/>
      <w:bookmarkEnd w:id="19"/>
      <w:r>
        <w:lastRenderedPageBreak/>
        <w:t>Asia/Oceania/Africa:</w:t>
      </w:r>
    </w:p>
    <w:p w14:paraId="79833226" w14:textId="77777777" w:rsidR="00420A5A" w:rsidRDefault="00BA2507">
      <w:pPr>
        <w:pStyle w:val="TableCaption"/>
      </w:pPr>
      <w:r>
        <w:t>Asia/Oceania/Africa Log-Log Model.</w:t>
      </w:r>
    </w:p>
    <w:tbl>
      <w:tblPr>
        <w:tblStyle w:val="Table"/>
        <w:tblW w:w="0" w:type="pct"/>
        <w:tblLook w:val="0020" w:firstRow="1" w:lastRow="0" w:firstColumn="0" w:lastColumn="0" w:noHBand="0" w:noVBand="0"/>
        <w:tblCaption w:val="Asia/Oceania/Africa Log-Log Model."/>
      </w:tblPr>
      <w:tblGrid>
        <w:gridCol w:w="3024"/>
        <w:gridCol w:w="1692"/>
        <w:gridCol w:w="1386"/>
        <w:gridCol w:w="1679"/>
        <w:gridCol w:w="1569"/>
      </w:tblGrid>
      <w:tr w:rsidR="00420A5A" w14:paraId="483DB7F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927DE08" w14:textId="77777777" w:rsidR="00420A5A" w:rsidRDefault="00BA2507" w:rsidP="00D61889">
            <w:pPr>
              <w:pStyle w:val="Compact"/>
            </w:pPr>
            <w:r>
              <w:t>Predictor</w:t>
            </w:r>
          </w:p>
        </w:tc>
        <w:tc>
          <w:tcPr>
            <w:tcW w:w="0" w:type="auto"/>
          </w:tcPr>
          <w:p w14:paraId="497DA70E" w14:textId="77777777" w:rsidR="00420A5A" w:rsidRDefault="00BA2507" w:rsidP="00D61889">
            <w:pPr>
              <w:pStyle w:val="Compact"/>
            </w:pPr>
            <w:r>
              <w:t>Estimate</w:t>
            </w:r>
          </w:p>
        </w:tc>
        <w:tc>
          <w:tcPr>
            <w:tcW w:w="0" w:type="auto"/>
          </w:tcPr>
          <w:p w14:paraId="747EAF3B" w14:textId="77777777" w:rsidR="00420A5A" w:rsidRDefault="00BA2507" w:rsidP="00D61889">
            <w:pPr>
              <w:pStyle w:val="Compact"/>
            </w:pPr>
            <w:r>
              <w:t>SE</w:t>
            </w:r>
          </w:p>
        </w:tc>
        <w:tc>
          <w:tcPr>
            <w:tcW w:w="0" w:type="auto"/>
          </w:tcPr>
          <w:p w14:paraId="3B1560E5" w14:textId="77777777" w:rsidR="00420A5A" w:rsidRDefault="00BA2507" w:rsidP="00D61889">
            <w:pPr>
              <w:pStyle w:val="Compact"/>
            </w:pPr>
            <w:r>
              <w:t>t-Statistic</w:t>
            </w:r>
          </w:p>
        </w:tc>
        <w:tc>
          <w:tcPr>
            <w:tcW w:w="0" w:type="auto"/>
          </w:tcPr>
          <w:p w14:paraId="3E3311C6" w14:textId="77777777" w:rsidR="00420A5A" w:rsidRDefault="00BA2507" w:rsidP="00D61889">
            <w:pPr>
              <w:pStyle w:val="Compact"/>
            </w:pPr>
            <w:r>
              <w:t>P-Value</w:t>
            </w:r>
          </w:p>
        </w:tc>
      </w:tr>
      <w:tr w:rsidR="00420A5A" w14:paraId="227E3473"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02C65852" w14:textId="77777777" w:rsidR="00420A5A" w:rsidRDefault="00BA2507" w:rsidP="00D61889">
            <w:pPr>
              <w:pStyle w:val="Compact"/>
            </w:pPr>
            <w:r>
              <w:t>(Intercept)</w:t>
            </w:r>
          </w:p>
        </w:tc>
        <w:tc>
          <w:tcPr>
            <w:tcW w:w="0" w:type="auto"/>
          </w:tcPr>
          <w:p w14:paraId="0E36E502" w14:textId="77777777" w:rsidR="00420A5A" w:rsidRDefault="00BA2507" w:rsidP="00D61889">
            <w:pPr>
              <w:pStyle w:val="Compact"/>
            </w:pPr>
            <w:r>
              <w:t>-0.35</w:t>
            </w:r>
          </w:p>
        </w:tc>
        <w:tc>
          <w:tcPr>
            <w:tcW w:w="0" w:type="auto"/>
          </w:tcPr>
          <w:p w14:paraId="6AFC3F70" w14:textId="77777777" w:rsidR="00420A5A" w:rsidRDefault="00BA2507" w:rsidP="00D61889">
            <w:pPr>
              <w:pStyle w:val="Compact"/>
            </w:pPr>
            <w:r>
              <w:t>0.17</w:t>
            </w:r>
          </w:p>
        </w:tc>
        <w:tc>
          <w:tcPr>
            <w:tcW w:w="0" w:type="auto"/>
          </w:tcPr>
          <w:p w14:paraId="6A1AA7FE" w14:textId="77777777" w:rsidR="00420A5A" w:rsidRDefault="00BA2507" w:rsidP="00D61889">
            <w:pPr>
              <w:pStyle w:val="Compact"/>
            </w:pPr>
            <w:r>
              <w:t>-1.99</w:t>
            </w:r>
          </w:p>
        </w:tc>
        <w:tc>
          <w:tcPr>
            <w:tcW w:w="0" w:type="auto"/>
          </w:tcPr>
          <w:p w14:paraId="1BABA24D" w14:textId="77777777" w:rsidR="00420A5A" w:rsidRDefault="00BA2507" w:rsidP="00D61889">
            <w:pPr>
              <w:pStyle w:val="Compact"/>
            </w:pPr>
            <w:r>
              <w:t>0.10</w:t>
            </w:r>
          </w:p>
        </w:tc>
      </w:tr>
      <w:tr w:rsidR="00420A5A" w14:paraId="4E94A84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AED666" w14:textId="77777777" w:rsidR="00420A5A" w:rsidRDefault="00BA2507" w:rsidP="00D61889">
            <w:pPr>
              <w:pStyle w:val="Compact"/>
            </w:pPr>
            <w:r>
              <w:t>dlog(consumption)</w:t>
            </w:r>
          </w:p>
        </w:tc>
        <w:tc>
          <w:tcPr>
            <w:tcW w:w="0" w:type="auto"/>
          </w:tcPr>
          <w:p w14:paraId="7463F0DA" w14:textId="77777777" w:rsidR="00420A5A" w:rsidRDefault="00BA2507" w:rsidP="00D61889">
            <w:pPr>
              <w:pStyle w:val="Compact"/>
            </w:pPr>
            <w:r>
              <w:t>6.23</w:t>
            </w:r>
          </w:p>
        </w:tc>
        <w:tc>
          <w:tcPr>
            <w:tcW w:w="0" w:type="auto"/>
          </w:tcPr>
          <w:p w14:paraId="391BC751" w14:textId="77777777" w:rsidR="00420A5A" w:rsidRDefault="00BA2507" w:rsidP="00D61889">
            <w:pPr>
              <w:pStyle w:val="Compact"/>
            </w:pPr>
            <w:r>
              <w:t>5.24</w:t>
            </w:r>
          </w:p>
        </w:tc>
        <w:tc>
          <w:tcPr>
            <w:tcW w:w="0" w:type="auto"/>
          </w:tcPr>
          <w:p w14:paraId="79BA4C75" w14:textId="77777777" w:rsidR="00420A5A" w:rsidRDefault="00BA2507" w:rsidP="00D61889">
            <w:pPr>
              <w:pStyle w:val="Compact"/>
            </w:pPr>
            <w:r>
              <w:t>1.19</w:t>
            </w:r>
          </w:p>
        </w:tc>
        <w:tc>
          <w:tcPr>
            <w:tcW w:w="0" w:type="auto"/>
          </w:tcPr>
          <w:p w14:paraId="7B142321" w14:textId="77777777" w:rsidR="00420A5A" w:rsidRDefault="00BA2507" w:rsidP="00D61889">
            <w:pPr>
              <w:pStyle w:val="Compact"/>
            </w:pPr>
            <w:r>
              <w:t>0.29</w:t>
            </w:r>
          </w:p>
        </w:tc>
      </w:tr>
      <w:tr w:rsidR="00420A5A" w14:paraId="17B19F16"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809101A" w14:textId="77777777" w:rsidR="00420A5A" w:rsidRDefault="00BA2507" w:rsidP="00D61889">
            <w:pPr>
              <w:pStyle w:val="Compact"/>
            </w:pPr>
            <w:r>
              <w:t>dlog(gdp)</w:t>
            </w:r>
          </w:p>
        </w:tc>
        <w:tc>
          <w:tcPr>
            <w:tcW w:w="0" w:type="auto"/>
          </w:tcPr>
          <w:p w14:paraId="4EBB7A87" w14:textId="77777777" w:rsidR="00420A5A" w:rsidRDefault="00BA2507" w:rsidP="00D61889">
            <w:pPr>
              <w:pStyle w:val="Compact"/>
            </w:pPr>
            <w:r>
              <w:t>6.14</w:t>
            </w:r>
          </w:p>
        </w:tc>
        <w:tc>
          <w:tcPr>
            <w:tcW w:w="0" w:type="auto"/>
          </w:tcPr>
          <w:p w14:paraId="09587905" w14:textId="77777777" w:rsidR="00420A5A" w:rsidRDefault="00BA2507" w:rsidP="00D61889">
            <w:pPr>
              <w:pStyle w:val="Compact"/>
            </w:pPr>
            <w:r>
              <w:t>5.00</w:t>
            </w:r>
          </w:p>
        </w:tc>
        <w:tc>
          <w:tcPr>
            <w:tcW w:w="0" w:type="auto"/>
          </w:tcPr>
          <w:p w14:paraId="22275E7B" w14:textId="77777777" w:rsidR="00420A5A" w:rsidRDefault="00BA2507" w:rsidP="00D61889">
            <w:pPr>
              <w:pStyle w:val="Compact"/>
            </w:pPr>
            <w:r>
              <w:t>1.23</w:t>
            </w:r>
          </w:p>
        </w:tc>
        <w:tc>
          <w:tcPr>
            <w:tcW w:w="0" w:type="auto"/>
          </w:tcPr>
          <w:p w14:paraId="5B6047DC" w14:textId="77777777" w:rsidR="00420A5A" w:rsidRDefault="00BA2507" w:rsidP="00D61889">
            <w:pPr>
              <w:pStyle w:val="Compact"/>
            </w:pPr>
            <w:r>
              <w:t>0.27</w:t>
            </w:r>
          </w:p>
        </w:tc>
      </w:tr>
      <w:tr w:rsidR="00420A5A" w14:paraId="085C0C2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30D281" w14:textId="77777777" w:rsidR="00420A5A" w:rsidRDefault="00BA2507" w:rsidP="00D61889">
            <w:pPr>
              <w:pStyle w:val="Compact"/>
            </w:pPr>
            <w:r>
              <w:t>dlog(</w:t>
            </w:r>
            <w:proofErr w:type="gramStart"/>
            <w:r>
              <w:t>indust.production</w:t>
            </w:r>
            <w:proofErr w:type="gramEnd"/>
            <w:r>
              <w:t>)</w:t>
            </w:r>
          </w:p>
        </w:tc>
        <w:tc>
          <w:tcPr>
            <w:tcW w:w="0" w:type="auto"/>
          </w:tcPr>
          <w:p w14:paraId="30086B97" w14:textId="77777777" w:rsidR="00420A5A" w:rsidRDefault="00BA2507" w:rsidP="00D61889">
            <w:pPr>
              <w:pStyle w:val="Compact"/>
            </w:pPr>
            <w:r>
              <w:t>-3.56</w:t>
            </w:r>
          </w:p>
        </w:tc>
        <w:tc>
          <w:tcPr>
            <w:tcW w:w="0" w:type="auto"/>
          </w:tcPr>
          <w:p w14:paraId="4E1459B2" w14:textId="77777777" w:rsidR="00420A5A" w:rsidRDefault="00BA2507" w:rsidP="00D61889">
            <w:pPr>
              <w:pStyle w:val="Compact"/>
            </w:pPr>
            <w:r>
              <w:t>1.98</w:t>
            </w:r>
          </w:p>
        </w:tc>
        <w:tc>
          <w:tcPr>
            <w:tcW w:w="0" w:type="auto"/>
          </w:tcPr>
          <w:p w14:paraId="7DC1D355" w14:textId="77777777" w:rsidR="00420A5A" w:rsidRDefault="00BA2507" w:rsidP="00D61889">
            <w:pPr>
              <w:pStyle w:val="Compact"/>
            </w:pPr>
            <w:r>
              <w:t>-1.80</w:t>
            </w:r>
          </w:p>
        </w:tc>
        <w:tc>
          <w:tcPr>
            <w:tcW w:w="0" w:type="auto"/>
          </w:tcPr>
          <w:p w14:paraId="0FD563A3" w14:textId="77777777" w:rsidR="00420A5A" w:rsidRDefault="00BA2507" w:rsidP="00D61889">
            <w:pPr>
              <w:pStyle w:val="Compact"/>
            </w:pPr>
            <w:r>
              <w:t>0.13</w:t>
            </w:r>
          </w:p>
        </w:tc>
      </w:tr>
      <w:tr w:rsidR="00420A5A" w14:paraId="208A90BF"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E4B06E3" w14:textId="77777777" w:rsidR="00420A5A" w:rsidRDefault="00BA2507" w:rsidP="00D61889">
            <w:pPr>
              <w:pStyle w:val="Compact"/>
            </w:pPr>
            <w:r>
              <w:t>dlog(cpi)</w:t>
            </w:r>
          </w:p>
        </w:tc>
        <w:tc>
          <w:tcPr>
            <w:tcW w:w="0" w:type="auto"/>
          </w:tcPr>
          <w:p w14:paraId="2F5420B0" w14:textId="77777777" w:rsidR="00420A5A" w:rsidRDefault="00BA2507" w:rsidP="00D61889">
            <w:pPr>
              <w:pStyle w:val="Compact"/>
            </w:pPr>
            <w:r>
              <w:t>-0.05</w:t>
            </w:r>
          </w:p>
        </w:tc>
        <w:tc>
          <w:tcPr>
            <w:tcW w:w="0" w:type="auto"/>
          </w:tcPr>
          <w:p w14:paraId="4976BAD5" w14:textId="77777777" w:rsidR="00420A5A" w:rsidRDefault="00BA2507" w:rsidP="00D61889">
            <w:pPr>
              <w:pStyle w:val="Compact"/>
            </w:pPr>
            <w:r>
              <w:t>0.33</w:t>
            </w:r>
          </w:p>
        </w:tc>
        <w:tc>
          <w:tcPr>
            <w:tcW w:w="0" w:type="auto"/>
          </w:tcPr>
          <w:p w14:paraId="6AEA4E60" w14:textId="77777777" w:rsidR="00420A5A" w:rsidRDefault="00BA2507" w:rsidP="00D61889">
            <w:pPr>
              <w:pStyle w:val="Compact"/>
            </w:pPr>
            <w:r>
              <w:t>-0.16</w:t>
            </w:r>
          </w:p>
        </w:tc>
        <w:tc>
          <w:tcPr>
            <w:tcW w:w="0" w:type="auto"/>
          </w:tcPr>
          <w:p w14:paraId="39CDA047" w14:textId="77777777" w:rsidR="00420A5A" w:rsidRDefault="00BA2507" w:rsidP="00D61889">
            <w:pPr>
              <w:pStyle w:val="Compact"/>
            </w:pPr>
            <w:r>
              <w:t>0.88</w:t>
            </w:r>
          </w:p>
        </w:tc>
      </w:tr>
      <w:tr w:rsidR="00420A5A" w14:paraId="47F542B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DFB7C4" w14:textId="77777777" w:rsidR="00420A5A" w:rsidRDefault="00BA2507" w:rsidP="00D61889">
            <w:pPr>
              <w:pStyle w:val="Compact"/>
            </w:pPr>
            <w:r>
              <w:t>diff(interest.nom)</w:t>
            </w:r>
          </w:p>
        </w:tc>
        <w:tc>
          <w:tcPr>
            <w:tcW w:w="0" w:type="auto"/>
          </w:tcPr>
          <w:p w14:paraId="6799C5DF" w14:textId="77777777" w:rsidR="00420A5A" w:rsidRDefault="00BA2507" w:rsidP="00D61889">
            <w:pPr>
              <w:pStyle w:val="Compact"/>
            </w:pPr>
            <w:r>
              <w:t>-2.17</w:t>
            </w:r>
          </w:p>
        </w:tc>
        <w:tc>
          <w:tcPr>
            <w:tcW w:w="0" w:type="auto"/>
          </w:tcPr>
          <w:p w14:paraId="1148FCF7" w14:textId="77777777" w:rsidR="00420A5A" w:rsidRDefault="00BA2507" w:rsidP="00D61889">
            <w:pPr>
              <w:pStyle w:val="Compact"/>
            </w:pPr>
            <w:r>
              <w:t>2.55</w:t>
            </w:r>
          </w:p>
        </w:tc>
        <w:tc>
          <w:tcPr>
            <w:tcW w:w="0" w:type="auto"/>
          </w:tcPr>
          <w:p w14:paraId="381D5A5C" w14:textId="77777777" w:rsidR="00420A5A" w:rsidRDefault="00BA2507" w:rsidP="00D61889">
            <w:pPr>
              <w:pStyle w:val="Compact"/>
            </w:pPr>
            <w:r>
              <w:t>-0.85</w:t>
            </w:r>
          </w:p>
        </w:tc>
        <w:tc>
          <w:tcPr>
            <w:tcW w:w="0" w:type="auto"/>
          </w:tcPr>
          <w:p w14:paraId="592051F6" w14:textId="77777777" w:rsidR="00420A5A" w:rsidRDefault="00BA2507" w:rsidP="00D61889">
            <w:pPr>
              <w:pStyle w:val="Compact"/>
            </w:pPr>
            <w:r>
              <w:t>0.44</w:t>
            </w:r>
          </w:p>
        </w:tc>
      </w:tr>
      <w:tr w:rsidR="00420A5A" w14:paraId="19B5204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270CC24B" w14:textId="77777777" w:rsidR="00420A5A" w:rsidRDefault="00BA2507" w:rsidP="00D61889">
            <w:pPr>
              <w:pStyle w:val="Compact"/>
            </w:pPr>
            <w:r>
              <w:t>dlog(</w:t>
            </w:r>
            <w:proofErr w:type="gramStart"/>
            <w:r>
              <w:t>oil.price</w:t>
            </w:r>
            <w:proofErr w:type="gramEnd"/>
            <w:r>
              <w:t>)</w:t>
            </w:r>
          </w:p>
        </w:tc>
        <w:tc>
          <w:tcPr>
            <w:tcW w:w="0" w:type="auto"/>
          </w:tcPr>
          <w:p w14:paraId="2F8674FD" w14:textId="77777777" w:rsidR="00420A5A" w:rsidRDefault="00BA2507" w:rsidP="00D61889">
            <w:pPr>
              <w:pStyle w:val="Compact"/>
            </w:pPr>
            <w:r>
              <w:t>0.71</w:t>
            </w:r>
          </w:p>
        </w:tc>
        <w:tc>
          <w:tcPr>
            <w:tcW w:w="0" w:type="auto"/>
          </w:tcPr>
          <w:p w14:paraId="5442DB29" w14:textId="77777777" w:rsidR="00420A5A" w:rsidRDefault="00BA2507" w:rsidP="00D61889">
            <w:pPr>
              <w:pStyle w:val="Compact"/>
            </w:pPr>
            <w:r>
              <w:t>0.13</w:t>
            </w:r>
          </w:p>
        </w:tc>
        <w:tc>
          <w:tcPr>
            <w:tcW w:w="0" w:type="auto"/>
          </w:tcPr>
          <w:p w14:paraId="23DE9827" w14:textId="77777777" w:rsidR="00420A5A" w:rsidRDefault="00BA2507" w:rsidP="00D61889">
            <w:pPr>
              <w:pStyle w:val="Compact"/>
            </w:pPr>
            <w:r>
              <w:t>5.53</w:t>
            </w:r>
          </w:p>
        </w:tc>
        <w:tc>
          <w:tcPr>
            <w:tcW w:w="0" w:type="auto"/>
          </w:tcPr>
          <w:p w14:paraId="2D7FC4FE" w14:textId="77777777" w:rsidR="00420A5A" w:rsidRDefault="00BA2507" w:rsidP="00D61889">
            <w:pPr>
              <w:pStyle w:val="Compact"/>
            </w:pPr>
            <w:r>
              <w:t>0.00</w:t>
            </w:r>
          </w:p>
        </w:tc>
      </w:tr>
      <w:tr w:rsidR="00420A5A" w14:paraId="09654D8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4A46C75" w14:textId="77777777" w:rsidR="00420A5A" w:rsidRDefault="00BA2507" w:rsidP="00D61889">
            <w:pPr>
              <w:pStyle w:val="Compact"/>
            </w:pPr>
            <w:r>
              <w:t>diff(</w:t>
            </w:r>
            <w:proofErr w:type="gramStart"/>
            <w:r>
              <w:t>unemployment.rate</w:t>
            </w:r>
            <w:proofErr w:type="gramEnd"/>
            <w:r>
              <w:t>)</w:t>
            </w:r>
          </w:p>
        </w:tc>
        <w:tc>
          <w:tcPr>
            <w:tcW w:w="0" w:type="auto"/>
          </w:tcPr>
          <w:p w14:paraId="42E19979" w14:textId="77777777" w:rsidR="00420A5A" w:rsidRDefault="00BA2507" w:rsidP="00D61889">
            <w:pPr>
              <w:pStyle w:val="Compact"/>
            </w:pPr>
            <w:r>
              <w:t>-52.07</w:t>
            </w:r>
          </w:p>
        </w:tc>
        <w:tc>
          <w:tcPr>
            <w:tcW w:w="0" w:type="auto"/>
          </w:tcPr>
          <w:p w14:paraId="63C9900B" w14:textId="77777777" w:rsidR="00420A5A" w:rsidRDefault="00BA2507" w:rsidP="00D61889">
            <w:pPr>
              <w:pStyle w:val="Compact"/>
            </w:pPr>
            <w:r>
              <w:t>47.48</w:t>
            </w:r>
          </w:p>
        </w:tc>
        <w:tc>
          <w:tcPr>
            <w:tcW w:w="0" w:type="auto"/>
          </w:tcPr>
          <w:p w14:paraId="46A7F513" w14:textId="77777777" w:rsidR="00420A5A" w:rsidRDefault="00BA2507" w:rsidP="00D61889">
            <w:pPr>
              <w:pStyle w:val="Compact"/>
            </w:pPr>
            <w:r>
              <w:t>-1.10</w:t>
            </w:r>
          </w:p>
        </w:tc>
        <w:tc>
          <w:tcPr>
            <w:tcW w:w="0" w:type="auto"/>
          </w:tcPr>
          <w:p w14:paraId="3471B624" w14:textId="77777777" w:rsidR="00420A5A" w:rsidRDefault="00BA2507" w:rsidP="00D61889">
            <w:pPr>
              <w:pStyle w:val="Compact"/>
            </w:pPr>
            <w:r>
              <w:t>0.32</w:t>
            </w:r>
          </w:p>
        </w:tc>
      </w:tr>
      <w:tr w:rsidR="00420A5A" w14:paraId="6CB12B87"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0E5D2F8F" w14:textId="77777777" w:rsidR="00420A5A" w:rsidRDefault="00BA2507" w:rsidP="00D61889">
            <w:pPr>
              <w:pStyle w:val="Compact"/>
            </w:pPr>
            <w:r>
              <w:t>dlog(</w:t>
            </w:r>
            <w:proofErr w:type="gramStart"/>
            <w:r>
              <w:t>exchange.rate</w:t>
            </w:r>
            <w:proofErr w:type="gramEnd"/>
            <w:r>
              <w:t>.index)</w:t>
            </w:r>
          </w:p>
        </w:tc>
        <w:tc>
          <w:tcPr>
            <w:tcW w:w="0" w:type="auto"/>
          </w:tcPr>
          <w:p w14:paraId="27F634CD" w14:textId="77777777" w:rsidR="00420A5A" w:rsidRDefault="00BA2507" w:rsidP="00D61889">
            <w:pPr>
              <w:pStyle w:val="Compact"/>
            </w:pPr>
            <w:r>
              <w:t>0.47</w:t>
            </w:r>
          </w:p>
        </w:tc>
        <w:tc>
          <w:tcPr>
            <w:tcW w:w="0" w:type="auto"/>
          </w:tcPr>
          <w:p w14:paraId="2B546AA0" w14:textId="77777777" w:rsidR="00420A5A" w:rsidRDefault="00BA2507" w:rsidP="00D61889">
            <w:pPr>
              <w:pStyle w:val="Compact"/>
            </w:pPr>
            <w:r>
              <w:t>0.82</w:t>
            </w:r>
          </w:p>
        </w:tc>
        <w:tc>
          <w:tcPr>
            <w:tcW w:w="0" w:type="auto"/>
          </w:tcPr>
          <w:p w14:paraId="608B40E8" w14:textId="77777777" w:rsidR="00420A5A" w:rsidRDefault="00BA2507" w:rsidP="00D61889">
            <w:pPr>
              <w:pStyle w:val="Compact"/>
            </w:pPr>
            <w:r>
              <w:t>0.57</w:t>
            </w:r>
          </w:p>
        </w:tc>
        <w:tc>
          <w:tcPr>
            <w:tcW w:w="0" w:type="auto"/>
          </w:tcPr>
          <w:p w14:paraId="5945FABE" w14:textId="77777777" w:rsidR="00420A5A" w:rsidRDefault="00BA2507" w:rsidP="00D61889">
            <w:pPr>
              <w:pStyle w:val="Compact"/>
            </w:pPr>
            <w:r>
              <w:t>0.60</w:t>
            </w:r>
          </w:p>
        </w:tc>
      </w:tr>
    </w:tbl>
    <w:p w14:paraId="63DFD872" w14:textId="77777777" w:rsidR="00420A5A" w:rsidRDefault="00420A5A">
      <w:pPr>
        <w:pStyle w:val="BodyText"/>
      </w:pPr>
    </w:p>
    <w:p w14:paraId="1D7F77BD" w14:textId="77777777" w:rsidR="00420A5A" w:rsidRDefault="00BA2507">
      <w:pPr>
        <w:pStyle w:val="Heading4"/>
      </w:pPr>
      <w:bookmarkStart w:id="21" w:name="europe"/>
      <w:bookmarkEnd w:id="20"/>
      <w:r>
        <w:t>Europe:</w:t>
      </w:r>
    </w:p>
    <w:p w14:paraId="3E215DD5" w14:textId="77777777" w:rsidR="00420A5A" w:rsidRDefault="00BA2507">
      <w:pPr>
        <w:pStyle w:val="TableCaption"/>
      </w:pPr>
      <w:r>
        <w:t>Europe Log-Log Model.</w:t>
      </w:r>
    </w:p>
    <w:tbl>
      <w:tblPr>
        <w:tblStyle w:val="Table"/>
        <w:tblW w:w="0" w:type="pct"/>
        <w:tblLook w:val="0020" w:firstRow="1" w:lastRow="0" w:firstColumn="0" w:lastColumn="0" w:noHBand="0" w:noVBand="0"/>
        <w:tblCaption w:val="Europe Log-Log Model."/>
      </w:tblPr>
      <w:tblGrid>
        <w:gridCol w:w="3024"/>
        <w:gridCol w:w="1692"/>
        <w:gridCol w:w="1386"/>
        <w:gridCol w:w="1679"/>
        <w:gridCol w:w="1569"/>
      </w:tblGrid>
      <w:tr w:rsidR="00420A5A" w14:paraId="0F7FB9B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1199BDB" w14:textId="77777777" w:rsidR="00420A5A" w:rsidRDefault="00BA2507">
            <w:pPr>
              <w:pStyle w:val="Compact"/>
            </w:pPr>
            <w:r>
              <w:t>Predictor</w:t>
            </w:r>
          </w:p>
        </w:tc>
        <w:tc>
          <w:tcPr>
            <w:tcW w:w="0" w:type="auto"/>
          </w:tcPr>
          <w:p w14:paraId="6E7CF47A" w14:textId="77777777" w:rsidR="00420A5A" w:rsidRDefault="00BA2507">
            <w:pPr>
              <w:pStyle w:val="Compact"/>
              <w:jc w:val="right"/>
            </w:pPr>
            <w:r>
              <w:t>Estimate</w:t>
            </w:r>
          </w:p>
        </w:tc>
        <w:tc>
          <w:tcPr>
            <w:tcW w:w="0" w:type="auto"/>
          </w:tcPr>
          <w:p w14:paraId="4ABBD6F1" w14:textId="77777777" w:rsidR="00420A5A" w:rsidRDefault="00BA2507">
            <w:pPr>
              <w:pStyle w:val="Compact"/>
              <w:jc w:val="right"/>
            </w:pPr>
            <w:r>
              <w:t>SE</w:t>
            </w:r>
          </w:p>
        </w:tc>
        <w:tc>
          <w:tcPr>
            <w:tcW w:w="0" w:type="auto"/>
          </w:tcPr>
          <w:p w14:paraId="2331C7AD" w14:textId="77777777" w:rsidR="00420A5A" w:rsidRDefault="00BA2507">
            <w:pPr>
              <w:pStyle w:val="Compact"/>
              <w:jc w:val="right"/>
            </w:pPr>
            <w:r>
              <w:t>t-Statistic</w:t>
            </w:r>
          </w:p>
        </w:tc>
        <w:tc>
          <w:tcPr>
            <w:tcW w:w="0" w:type="auto"/>
          </w:tcPr>
          <w:p w14:paraId="47C5EF72" w14:textId="77777777" w:rsidR="00420A5A" w:rsidRDefault="00BA2507">
            <w:pPr>
              <w:pStyle w:val="Compact"/>
              <w:jc w:val="right"/>
            </w:pPr>
            <w:r>
              <w:t>P-Value</w:t>
            </w:r>
          </w:p>
        </w:tc>
      </w:tr>
      <w:tr w:rsidR="00420A5A" w14:paraId="423612C4"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2045808" w14:textId="77777777" w:rsidR="00420A5A" w:rsidRDefault="00BA2507">
            <w:pPr>
              <w:pStyle w:val="Compact"/>
            </w:pPr>
            <w:r>
              <w:t>(Intercept)</w:t>
            </w:r>
          </w:p>
        </w:tc>
        <w:tc>
          <w:tcPr>
            <w:tcW w:w="0" w:type="auto"/>
          </w:tcPr>
          <w:p w14:paraId="6BB1E75F" w14:textId="77777777" w:rsidR="00420A5A" w:rsidRDefault="00BA2507">
            <w:pPr>
              <w:pStyle w:val="Compact"/>
            </w:pPr>
            <w:r>
              <w:t>-0.18</w:t>
            </w:r>
          </w:p>
        </w:tc>
        <w:tc>
          <w:tcPr>
            <w:tcW w:w="0" w:type="auto"/>
          </w:tcPr>
          <w:p w14:paraId="230617C2" w14:textId="77777777" w:rsidR="00420A5A" w:rsidRDefault="00BA2507">
            <w:pPr>
              <w:pStyle w:val="Compact"/>
            </w:pPr>
            <w:r>
              <w:t>0.10</w:t>
            </w:r>
          </w:p>
        </w:tc>
        <w:tc>
          <w:tcPr>
            <w:tcW w:w="0" w:type="auto"/>
          </w:tcPr>
          <w:p w14:paraId="3BCA24D9" w14:textId="77777777" w:rsidR="00420A5A" w:rsidRDefault="00BA2507">
            <w:pPr>
              <w:pStyle w:val="Compact"/>
            </w:pPr>
            <w:r>
              <w:t>-1.79</w:t>
            </w:r>
          </w:p>
        </w:tc>
        <w:tc>
          <w:tcPr>
            <w:tcW w:w="0" w:type="auto"/>
          </w:tcPr>
          <w:p w14:paraId="54F47B96" w14:textId="77777777" w:rsidR="00420A5A" w:rsidRDefault="00BA2507">
            <w:pPr>
              <w:pStyle w:val="Compact"/>
            </w:pPr>
            <w:r>
              <w:t>0.13</w:t>
            </w:r>
          </w:p>
        </w:tc>
      </w:tr>
      <w:tr w:rsidR="00420A5A" w14:paraId="07AA0B5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F7ACAE9" w14:textId="77777777" w:rsidR="00420A5A" w:rsidRDefault="00BA2507">
            <w:pPr>
              <w:pStyle w:val="Compact"/>
            </w:pPr>
            <w:r>
              <w:t>dlog(consumption)</w:t>
            </w:r>
          </w:p>
        </w:tc>
        <w:tc>
          <w:tcPr>
            <w:tcW w:w="0" w:type="auto"/>
          </w:tcPr>
          <w:p w14:paraId="14C72117" w14:textId="77777777" w:rsidR="00420A5A" w:rsidRDefault="00BA2507">
            <w:pPr>
              <w:pStyle w:val="Compact"/>
            </w:pPr>
            <w:r>
              <w:t>-4.15</w:t>
            </w:r>
          </w:p>
        </w:tc>
        <w:tc>
          <w:tcPr>
            <w:tcW w:w="0" w:type="auto"/>
          </w:tcPr>
          <w:p w14:paraId="364D3E08" w14:textId="77777777" w:rsidR="00420A5A" w:rsidRDefault="00BA2507">
            <w:pPr>
              <w:pStyle w:val="Compact"/>
            </w:pPr>
            <w:r>
              <w:t>7.80</w:t>
            </w:r>
          </w:p>
        </w:tc>
        <w:tc>
          <w:tcPr>
            <w:tcW w:w="0" w:type="auto"/>
          </w:tcPr>
          <w:p w14:paraId="4C51881B" w14:textId="77777777" w:rsidR="00420A5A" w:rsidRDefault="00BA2507">
            <w:pPr>
              <w:pStyle w:val="Compact"/>
            </w:pPr>
            <w:r>
              <w:t>-0.53</w:t>
            </w:r>
          </w:p>
        </w:tc>
        <w:tc>
          <w:tcPr>
            <w:tcW w:w="0" w:type="auto"/>
          </w:tcPr>
          <w:p w14:paraId="6EDF4D6C" w14:textId="77777777" w:rsidR="00420A5A" w:rsidRDefault="00BA2507">
            <w:pPr>
              <w:pStyle w:val="Compact"/>
            </w:pPr>
            <w:r>
              <w:t>0.62</w:t>
            </w:r>
          </w:p>
        </w:tc>
      </w:tr>
      <w:tr w:rsidR="00420A5A" w14:paraId="2B6F0229"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2182D49D" w14:textId="77777777" w:rsidR="00420A5A" w:rsidRDefault="00BA2507">
            <w:pPr>
              <w:pStyle w:val="Compact"/>
            </w:pPr>
            <w:r>
              <w:t>dlog(gdp)</w:t>
            </w:r>
          </w:p>
        </w:tc>
        <w:tc>
          <w:tcPr>
            <w:tcW w:w="0" w:type="auto"/>
          </w:tcPr>
          <w:p w14:paraId="33235F1B" w14:textId="77777777" w:rsidR="00420A5A" w:rsidRDefault="00BA2507">
            <w:pPr>
              <w:pStyle w:val="Compact"/>
            </w:pPr>
            <w:r>
              <w:t>9.68</w:t>
            </w:r>
          </w:p>
        </w:tc>
        <w:tc>
          <w:tcPr>
            <w:tcW w:w="0" w:type="auto"/>
          </w:tcPr>
          <w:p w14:paraId="6F046101" w14:textId="77777777" w:rsidR="00420A5A" w:rsidRDefault="00BA2507">
            <w:pPr>
              <w:pStyle w:val="Compact"/>
            </w:pPr>
            <w:r>
              <w:t>12.92</w:t>
            </w:r>
          </w:p>
        </w:tc>
        <w:tc>
          <w:tcPr>
            <w:tcW w:w="0" w:type="auto"/>
          </w:tcPr>
          <w:p w14:paraId="160A472C" w14:textId="77777777" w:rsidR="00420A5A" w:rsidRDefault="00BA2507">
            <w:pPr>
              <w:pStyle w:val="Compact"/>
            </w:pPr>
            <w:r>
              <w:t>0.75</w:t>
            </w:r>
          </w:p>
        </w:tc>
        <w:tc>
          <w:tcPr>
            <w:tcW w:w="0" w:type="auto"/>
          </w:tcPr>
          <w:p w14:paraId="2359145D" w14:textId="77777777" w:rsidR="00420A5A" w:rsidRDefault="00BA2507">
            <w:pPr>
              <w:pStyle w:val="Compact"/>
            </w:pPr>
            <w:r>
              <w:t>0.49</w:t>
            </w:r>
          </w:p>
        </w:tc>
      </w:tr>
      <w:tr w:rsidR="00420A5A" w14:paraId="2976853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B2B895" w14:textId="77777777" w:rsidR="00420A5A" w:rsidRDefault="00BA2507">
            <w:pPr>
              <w:pStyle w:val="Compact"/>
            </w:pPr>
            <w:r>
              <w:t>dlog(indust.production)</w:t>
            </w:r>
          </w:p>
        </w:tc>
        <w:tc>
          <w:tcPr>
            <w:tcW w:w="0" w:type="auto"/>
          </w:tcPr>
          <w:p w14:paraId="4F60163A" w14:textId="77777777" w:rsidR="00420A5A" w:rsidRDefault="00BA2507">
            <w:pPr>
              <w:pStyle w:val="Compact"/>
            </w:pPr>
            <w:r>
              <w:t>1.64</w:t>
            </w:r>
          </w:p>
        </w:tc>
        <w:tc>
          <w:tcPr>
            <w:tcW w:w="0" w:type="auto"/>
          </w:tcPr>
          <w:p w14:paraId="344190B4" w14:textId="77777777" w:rsidR="00420A5A" w:rsidRDefault="00BA2507">
            <w:pPr>
              <w:pStyle w:val="Compact"/>
            </w:pPr>
            <w:r>
              <w:t>6.14</w:t>
            </w:r>
          </w:p>
        </w:tc>
        <w:tc>
          <w:tcPr>
            <w:tcW w:w="0" w:type="auto"/>
          </w:tcPr>
          <w:p w14:paraId="525916DE" w14:textId="77777777" w:rsidR="00420A5A" w:rsidRDefault="00BA2507">
            <w:pPr>
              <w:pStyle w:val="Compact"/>
            </w:pPr>
            <w:r>
              <w:t>0.27</w:t>
            </w:r>
          </w:p>
        </w:tc>
        <w:tc>
          <w:tcPr>
            <w:tcW w:w="0" w:type="auto"/>
          </w:tcPr>
          <w:p w14:paraId="3ECF1572" w14:textId="77777777" w:rsidR="00420A5A" w:rsidRDefault="00BA2507">
            <w:pPr>
              <w:pStyle w:val="Compact"/>
            </w:pPr>
            <w:r>
              <w:t>0.80</w:t>
            </w:r>
          </w:p>
        </w:tc>
      </w:tr>
      <w:tr w:rsidR="00420A5A" w14:paraId="0CBD01C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2E2524C" w14:textId="77777777" w:rsidR="00420A5A" w:rsidRDefault="00BA2507">
            <w:pPr>
              <w:pStyle w:val="Compact"/>
            </w:pPr>
            <w:r>
              <w:t>dlog(cpi)</w:t>
            </w:r>
          </w:p>
        </w:tc>
        <w:tc>
          <w:tcPr>
            <w:tcW w:w="0" w:type="auto"/>
          </w:tcPr>
          <w:p w14:paraId="7F7BFEFA" w14:textId="77777777" w:rsidR="00420A5A" w:rsidRDefault="00BA2507">
            <w:pPr>
              <w:pStyle w:val="Compact"/>
            </w:pPr>
            <w:r>
              <w:t>3.62</w:t>
            </w:r>
          </w:p>
        </w:tc>
        <w:tc>
          <w:tcPr>
            <w:tcW w:w="0" w:type="auto"/>
          </w:tcPr>
          <w:p w14:paraId="52F1C710" w14:textId="77777777" w:rsidR="00420A5A" w:rsidRDefault="00BA2507">
            <w:pPr>
              <w:pStyle w:val="Compact"/>
            </w:pPr>
            <w:r>
              <w:t>2.02</w:t>
            </w:r>
          </w:p>
        </w:tc>
        <w:tc>
          <w:tcPr>
            <w:tcW w:w="0" w:type="auto"/>
          </w:tcPr>
          <w:p w14:paraId="206E8F99" w14:textId="77777777" w:rsidR="00420A5A" w:rsidRDefault="00BA2507">
            <w:pPr>
              <w:pStyle w:val="Compact"/>
            </w:pPr>
            <w:r>
              <w:t>1.80</w:t>
            </w:r>
          </w:p>
        </w:tc>
        <w:tc>
          <w:tcPr>
            <w:tcW w:w="0" w:type="auto"/>
          </w:tcPr>
          <w:p w14:paraId="4C87B1CE" w14:textId="77777777" w:rsidR="00420A5A" w:rsidRDefault="00BA2507">
            <w:pPr>
              <w:pStyle w:val="Compact"/>
            </w:pPr>
            <w:r>
              <w:t>0.13</w:t>
            </w:r>
          </w:p>
        </w:tc>
      </w:tr>
      <w:tr w:rsidR="00420A5A" w14:paraId="4D8F1E4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FA163F" w14:textId="77777777" w:rsidR="00420A5A" w:rsidRDefault="00BA2507">
            <w:pPr>
              <w:pStyle w:val="Compact"/>
            </w:pPr>
            <w:r>
              <w:t>diff(interest.nom)</w:t>
            </w:r>
          </w:p>
        </w:tc>
        <w:tc>
          <w:tcPr>
            <w:tcW w:w="0" w:type="auto"/>
          </w:tcPr>
          <w:p w14:paraId="1A343865" w14:textId="77777777" w:rsidR="00420A5A" w:rsidRDefault="00BA2507">
            <w:pPr>
              <w:pStyle w:val="Compact"/>
            </w:pPr>
            <w:r>
              <w:t>3.80</w:t>
            </w:r>
          </w:p>
        </w:tc>
        <w:tc>
          <w:tcPr>
            <w:tcW w:w="0" w:type="auto"/>
          </w:tcPr>
          <w:p w14:paraId="6064356F" w14:textId="77777777" w:rsidR="00420A5A" w:rsidRDefault="00BA2507">
            <w:pPr>
              <w:pStyle w:val="Compact"/>
            </w:pPr>
            <w:r>
              <w:t>6.23</w:t>
            </w:r>
          </w:p>
        </w:tc>
        <w:tc>
          <w:tcPr>
            <w:tcW w:w="0" w:type="auto"/>
          </w:tcPr>
          <w:p w14:paraId="7F62CCBF" w14:textId="77777777" w:rsidR="00420A5A" w:rsidRDefault="00BA2507">
            <w:pPr>
              <w:pStyle w:val="Compact"/>
            </w:pPr>
            <w:r>
              <w:t>0.61</w:t>
            </w:r>
          </w:p>
        </w:tc>
        <w:tc>
          <w:tcPr>
            <w:tcW w:w="0" w:type="auto"/>
          </w:tcPr>
          <w:p w14:paraId="0C55AB09" w14:textId="77777777" w:rsidR="00420A5A" w:rsidRDefault="00BA2507">
            <w:pPr>
              <w:pStyle w:val="Compact"/>
            </w:pPr>
            <w:r>
              <w:t>0.57</w:t>
            </w:r>
          </w:p>
        </w:tc>
      </w:tr>
      <w:tr w:rsidR="00420A5A" w14:paraId="75FD621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0688A757" w14:textId="77777777" w:rsidR="00420A5A" w:rsidRDefault="00BA2507">
            <w:pPr>
              <w:pStyle w:val="Compact"/>
            </w:pPr>
            <w:r>
              <w:t>dlog(oil.price)</w:t>
            </w:r>
          </w:p>
        </w:tc>
        <w:tc>
          <w:tcPr>
            <w:tcW w:w="0" w:type="auto"/>
          </w:tcPr>
          <w:p w14:paraId="43887485" w14:textId="77777777" w:rsidR="00420A5A" w:rsidRDefault="00BA2507">
            <w:pPr>
              <w:pStyle w:val="Compact"/>
            </w:pPr>
            <w:r>
              <w:t>0.77</w:t>
            </w:r>
          </w:p>
        </w:tc>
        <w:tc>
          <w:tcPr>
            <w:tcW w:w="0" w:type="auto"/>
          </w:tcPr>
          <w:p w14:paraId="64EAE9D5" w14:textId="77777777" w:rsidR="00420A5A" w:rsidRDefault="00BA2507">
            <w:pPr>
              <w:pStyle w:val="Compact"/>
            </w:pPr>
            <w:r>
              <w:t>0.12</w:t>
            </w:r>
          </w:p>
        </w:tc>
        <w:tc>
          <w:tcPr>
            <w:tcW w:w="0" w:type="auto"/>
          </w:tcPr>
          <w:p w14:paraId="23197037" w14:textId="77777777" w:rsidR="00420A5A" w:rsidRDefault="00BA2507">
            <w:pPr>
              <w:pStyle w:val="Compact"/>
            </w:pPr>
            <w:r>
              <w:t>6.49</w:t>
            </w:r>
          </w:p>
        </w:tc>
        <w:tc>
          <w:tcPr>
            <w:tcW w:w="0" w:type="auto"/>
          </w:tcPr>
          <w:p w14:paraId="21F2ADAC" w14:textId="77777777" w:rsidR="00420A5A" w:rsidRDefault="00BA2507">
            <w:pPr>
              <w:pStyle w:val="Compact"/>
            </w:pPr>
            <w:r>
              <w:t>0.00</w:t>
            </w:r>
          </w:p>
        </w:tc>
      </w:tr>
      <w:tr w:rsidR="00420A5A" w14:paraId="4525A17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A91EEB" w14:textId="77777777" w:rsidR="00420A5A" w:rsidRDefault="00BA2507">
            <w:pPr>
              <w:pStyle w:val="Compact"/>
            </w:pPr>
            <w:r>
              <w:t>diff(unemployment.rate)</w:t>
            </w:r>
          </w:p>
        </w:tc>
        <w:tc>
          <w:tcPr>
            <w:tcW w:w="0" w:type="auto"/>
          </w:tcPr>
          <w:p w14:paraId="3713DBF0" w14:textId="77777777" w:rsidR="00420A5A" w:rsidRDefault="00BA2507">
            <w:pPr>
              <w:pStyle w:val="Compact"/>
            </w:pPr>
            <w:r>
              <w:t>23.26</w:t>
            </w:r>
          </w:p>
        </w:tc>
        <w:tc>
          <w:tcPr>
            <w:tcW w:w="0" w:type="auto"/>
          </w:tcPr>
          <w:p w14:paraId="0FE9535E" w14:textId="77777777" w:rsidR="00420A5A" w:rsidRDefault="00BA2507">
            <w:pPr>
              <w:pStyle w:val="Compact"/>
            </w:pPr>
            <w:r>
              <w:t>16.32</w:t>
            </w:r>
          </w:p>
        </w:tc>
        <w:tc>
          <w:tcPr>
            <w:tcW w:w="0" w:type="auto"/>
          </w:tcPr>
          <w:p w14:paraId="052FF413" w14:textId="77777777" w:rsidR="00420A5A" w:rsidRDefault="00BA2507">
            <w:pPr>
              <w:pStyle w:val="Compact"/>
            </w:pPr>
            <w:r>
              <w:t>1.43</w:t>
            </w:r>
          </w:p>
        </w:tc>
        <w:tc>
          <w:tcPr>
            <w:tcW w:w="0" w:type="auto"/>
          </w:tcPr>
          <w:p w14:paraId="1BB335DA" w14:textId="77777777" w:rsidR="00420A5A" w:rsidRDefault="00BA2507">
            <w:pPr>
              <w:pStyle w:val="Compact"/>
            </w:pPr>
            <w:r>
              <w:t>0.21</w:t>
            </w:r>
          </w:p>
        </w:tc>
      </w:tr>
      <w:tr w:rsidR="00420A5A" w14:paraId="0C8963C1"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FB0580D" w14:textId="77777777" w:rsidR="00420A5A" w:rsidRDefault="00BA2507">
            <w:pPr>
              <w:pStyle w:val="Compact"/>
            </w:pPr>
            <w:r>
              <w:t>dlog(exchange.rate.index)</w:t>
            </w:r>
          </w:p>
        </w:tc>
        <w:tc>
          <w:tcPr>
            <w:tcW w:w="0" w:type="auto"/>
          </w:tcPr>
          <w:p w14:paraId="3B2ED44C" w14:textId="77777777" w:rsidR="00420A5A" w:rsidRDefault="00BA2507">
            <w:pPr>
              <w:pStyle w:val="Compact"/>
            </w:pPr>
            <w:r>
              <w:t>0.95</w:t>
            </w:r>
          </w:p>
        </w:tc>
        <w:tc>
          <w:tcPr>
            <w:tcW w:w="0" w:type="auto"/>
          </w:tcPr>
          <w:p w14:paraId="0E933ED4" w14:textId="77777777" w:rsidR="00420A5A" w:rsidRDefault="00BA2507">
            <w:pPr>
              <w:pStyle w:val="Compact"/>
            </w:pPr>
            <w:r>
              <w:t>1.39</w:t>
            </w:r>
          </w:p>
        </w:tc>
        <w:tc>
          <w:tcPr>
            <w:tcW w:w="0" w:type="auto"/>
          </w:tcPr>
          <w:p w14:paraId="41DE0EFA" w14:textId="77777777" w:rsidR="00420A5A" w:rsidRDefault="00BA2507">
            <w:pPr>
              <w:pStyle w:val="Compact"/>
            </w:pPr>
            <w:r>
              <w:t>0.69</w:t>
            </w:r>
          </w:p>
        </w:tc>
        <w:tc>
          <w:tcPr>
            <w:tcW w:w="0" w:type="auto"/>
          </w:tcPr>
          <w:p w14:paraId="7EF15CFD" w14:textId="77777777" w:rsidR="00420A5A" w:rsidRDefault="00BA2507">
            <w:pPr>
              <w:pStyle w:val="Compact"/>
            </w:pPr>
            <w:r>
              <w:t>0.52</w:t>
            </w:r>
          </w:p>
        </w:tc>
      </w:tr>
    </w:tbl>
    <w:p w14:paraId="0DC490BF" w14:textId="77777777" w:rsidR="00420A5A" w:rsidRDefault="00420A5A">
      <w:pPr>
        <w:pStyle w:val="BodyText"/>
      </w:pPr>
    </w:p>
    <w:p w14:paraId="48F1BA9D" w14:textId="77777777" w:rsidR="00420A5A" w:rsidRDefault="00BA2507">
      <w:pPr>
        <w:pStyle w:val="Heading4"/>
      </w:pPr>
      <w:bookmarkStart w:id="22" w:name="united-states"/>
      <w:bookmarkEnd w:id="21"/>
      <w:r>
        <w:t>United States:</w:t>
      </w:r>
    </w:p>
    <w:p w14:paraId="7C9100F5" w14:textId="77777777" w:rsidR="00420A5A" w:rsidRDefault="00BA2507">
      <w:pPr>
        <w:pStyle w:val="TableCaption"/>
      </w:pPr>
      <w:r>
        <w:t>US Log-Log Model.</w:t>
      </w:r>
    </w:p>
    <w:tbl>
      <w:tblPr>
        <w:tblStyle w:val="Table"/>
        <w:tblW w:w="0" w:type="pct"/>
        <w:tblLook w:val="0020" w:firstRow="1" w:lastRow="0" w:firstColumn="0" w:lastColumn="0" w:noHBand="0" w:noVBand="0"/>
        <w:tblCaption w:val="US Log-Log Model."/>
      </w:tblPr>
      <w:tblGrid>
        <w:gridCol w:w="3024"/>
        <w:gridCol w:w="1692"/>
        <w:gridCol w:w="1386"/>
        <w:gridCol w:w="1679"/>
        <w:gridCol w:w="1569"/>
      </w:tblGrid>
      <w:tr w:rsidR="00420A5A" w14:paraId="3A2F8BE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DEB4BB" w14:textId="77777777" w:rsidR="00420A5A" w:rsidRDefault="00BA2507">
            <w:pPr>
              <w:pStyle w:val="Compact"/>
            </w:pPr>
            <w:r>
              <w:t>Predictor</w:t>
            </w:r>
          </w:p>
        </w:tc>
        <w:tc>
          <w:tcPr>
            <w:tcW w:w="0" w:type="auto"/>
          </w:tcPr>
          <w:p w14:paraId="37C86258" w14:textId="77777777" w:rsidR="00420A5A" w:rsidRDefault="00BA2507">
            <w:pPr>
              <w:pStyle w:val="Compact"/>
              <w:jc w:val="right"/>
            </w:pPr>
            <w:r>
              <w:t>Estimate</w:t>
            </w:r>
          </w:p>
        </w:tc>
        <w:tc>
          <w:tcPr>
            <w:tcW w:w="0" w:type="auto"/>
          </w:tcPr>
          <w:p w14:paraId="1D719FD7" w14:textId="77777777" w:rsidR="00420A5A" w:rsidRDefault="00BA2507">
            <w:pPr>
              <w:pStyle w:val="Compact"/>
              <w:jc w:val="right"/>
            </w:pPr>
            <w:r>
              <w:t>SE</w:t>
            </w:r>
          </w:p>
        </w:tc>
        <w:tc>
          <w:tcPr>
            <w:tcW w:w="0" w:type="auto"/>
          </w:tcPr>
          <w:p w14:paraId="2B0DB4BA" w14:textId="77777777" w:rsidR="00420A5A" w:rsidRDefault="00BA2507">
            <w:pPr>
              <w:pStyle w:val="Compact"/>
              <w:jc w:val="right"/>
            </w:pPr>
            <w:r>
              <w:t>t-Statistic</w:t>
            </w:r>
          </w:p>
        </w:tc>
        <w:tc>
          <w:tcPr>
            <w:tcW w:w="0" w:type="auto"/>
          </w:tcPr>
          <w:p w14:paraId="47DB1132" w14:textId="77777777" w:rsidR="00420A5A" w:rsidRDefault="00BA2507">
            <w:pPr>
              <w:pStyle w:val="Compact"/>
              <w:jc w:val="right"/>
            </w:pPr>
            <w:r>
              <w:t>P-Value</w:t>
            </w:r>
          </w:p>
        </w:tc>
      </w:tr>
      <w:tr w:rsidR="00420A5A" w14:paraId="1784C36D"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D16BD23" w14:textId="77777777" w:rsidR="00420A5A" w:rsidRDefault="00BA2507">
            <w:pPr>
              <w:pStyle w:val="Compact"/>
            </w:pPr>
            <w:r>
              <w:t>(Intercept)</w:t>
            </w:r>
          </w:p>
        </w:tc>
        <w:tc>
          <w:tcPr>
            <w:tcW w:w="0" w:type="auto"/>
          </w:tcPr>
          <w:p w14:paraId="7C62C599" w14:textId="77777777" w:rsidR="00420A5A" w:rsidRDefault="00BA2507">
            <w:pPr>
              <w:pStyle w:val="Compact"/>
            </w:pPr>
            <w:r>
              <w:t>-0.16</w:t>
            </w:r>
          </w:p>
        </w:tc>
        <w:tc>
          <w:tcPr>
            <w:tcW w:w="0" w:type="auto"/>
          </w:tcPr>
          <w:p w14:paraId="74436F45" w14:textId="77777777" w:rsidR="00420A5A" w:rsidRDefault="00BA2507">
            <w:pPr>
              <w:pStyle w:val="Compact"/>
            </w:pPr>
            <w:r>
              <w:t>0.31</w:t>
            </w:r>
          </w:p>
        </w:tc>
        <w:tc>
          <w:tcPr>
            <w:tcW w:w="0" w:type="auto"/>
          </w:tcPr>
          <w:p w14:paraId="5A10B176" w14:textId="77777777" w:rsidR="00420A5A" w:rsidRDefault="00BA2507">
            <w:pPr>
              <w:pStyle w:val="Compact"/>
            </w:pPr>
            <w:r>
              <w:t>-0.51</w:t>
            </w:r>
          </w:p>
        </w:tc>
        <w:tc>
          <w:tcPr>
            <w:tcW w:w="0" w:type="auto"/>
          </w:tcPr>
          <w:p w14:paraId="4D74DE66" w14:textId="77777777" w:rsidR="00420A5A" w:rsidRDefault="00BA2507">
            <w:pPr>
              <w:pStyle w:val="Compact"/>
            </w:pPr>
            <w:r>
              <w:t>0.63</w:t>
            </w:r>
          </w:p>
        </w:tc>
      </w:tr>
      <w:tr w:rsidR="00420A5A" w14:paraId="1D12EB5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B49F44D" w14:textId="77777777" w:rsidR="00420A5A" w:rsidRDefault="00BA2507">
            <w:pPr>
              <w:pStyle w:val="Compact"/>
            </w:pPr>
            <w:r>
              <w:t>dlog(consumption)</w:t>
            </w:r>
          </w:p>
        </w:tc>
        <w:tc>
          <w:tcPr>
            <w:tcW w:w="0" w:type="auto"/>
          </w:tcPr>
          <w:p w14:paraId="3F2E27A8" w14:textId="77777777" w:rsidR="00420A5A" w:rsidRDefault="00BA2507">
            <w:pPr>
              <w:pStyle w:val="Compact"/>
            </w:pPr>
            <w:r>
              <w:t>9.92</w:t>
            </w:r>
          </w:p>
        </w:tc>
        <w:tc>
          <w:tcPr>
            <w:tcW w:w="0" w:type="auto"/>
          </w:tcPr>
          <w:p w14:paraId="68B43145" w14:textId="77777777" w:rsidR="00420A5A" w:rsidRDefault="00BA2507">
            <w:pPr>
              <w:pStyle w:val="Compact"/>
            </w:pPr>
            <w:r>
              <w:t>17.03</w:t>
            </w:r>
          </w:p>
        </w:tc>
        <w:tc>
          <w:tcPr>
            <w:tcW w:w="0" w:type="auto"/>
          </w:tcPr>
          <w:p w14:paraId="63D30AB7" w14:textId="77777777" w:rsidR="00420A5A" w:rsidRDefault="00BA2507">
            <w:pPr>
              <w:pStyle w:val="Compact"/>
            </w:pPr>
            <w:r>
              <w:t>0.58</w:t>
            </w:r>
          </w:p>
        </w:tc>
        <w:tc>
          <w:tcPr>
            <w:tcW w:w="0" w:type="auto"/>
          </w:tcPr>
          <w:p w14:paraId="324F08D7" w14:textId="77777777" w:rsidR="00420A5A" w:rsidRDefault="00BA2507">
            <w:pPr>
              <w:pStyle w:val="Compact"/>
            </w:pPr>
            <w:r>
              <w:t>0.59</w:t>
            </w:r>
          </w:p>
        </w:tc>
      </w:tr>
      <w:tr w:rsidR="00420A5A" w14:paraId="6646532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9DB03CD" w14:textId="77777777" w:rsidR="00420A5A" w:rsidRDefault="00BA2507">
            <w:pPr>
              <w:pStyle w:val="Compact"/>
            </w:pPr>
            <w:r>
              <w:t>dlog(gdp)</w:t>
            </w:r>
          </w:p>
        </w:tc>
        <w:tc>
          <w:tcPr>
            <w:tcW w:w="0" w:type="auto"/>
          </w:tcPr>
          <w:p w14:paraId="622DCD33" w14:textId="77777777" w:rsidR="00420A5A" w:rsidRDefault="00BA2507">
            <w:pPr>
              <w:pStyle w:val="Compact"/>
            </w:pPr>
            <w:r>
              <w:t>0.60</w:t>
            </w:r>
          </w:p>
        </w:tc>
        <w:tc>
          <w:tcPr>
            <w:tcW w:w="0" w:type="auto"/>
          </w:tcPr>
          <w:p w14:paraId="122615F1" w14:textId="77777777" w:rsidR="00420A5A" w:rsidRDefault="00BA2507">
            <w:pPr>
              <w:pStyle w:val="Compact"/>
            </w:pPr>
            <w:r>
              <w:t>16.36</w:t>
            </w:r>
          </w:p>
        </w:tc>
        <w:tc>
          <w:tcPr>
            <w:tcW w:w="0" w:type="auto"/>
          </w:tcPr>
          <w:p w14:paraId="5A246E0E" w14:textId="77777777" w:rsidR="00420A5A" w:rsidRDefault="00BA2507">
            <w:pPr>
              <w:pStyle w:val="Compact"/>
            </w:pPr>
            <w:r>
              <w:t>0.04</w:t>
            </w:r>
          </w:p>
        </w:tc>
        <w:tc>
          <w:tcPr>
            <w:tcW w:w="0" w:type="auto"/>
          </w:tcPr>
          <w:p w14:paraId="429EEF12" w14:textId="77777777" w:rsidR="00420A5A" w:rsidRDefault="00BA2507">
            <w:pPr>
              <w:pStyle w:val="Compact"/>
            </w:pPr>
            <w:r>
              <w:t>0.97</w:t>
            </w:r>
          </w:p>
        </w:tc>
      </w:tr>
      <w:tr w:rsidR="00420A5A" w14:paraId="3FA6396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F152FE" w14:textId="77777777" w:rsidR="00420A5A" w:rsidRDefault="00BA2507">
            <w:pPr>
              <w:pStyle w:val="Compact"/>
            </w:pPr>
            <w:r>
              <w:t>dlog(indust.production)</w:t>
            </w:r>
          </w:p>
        </w:tc>
        <w:tc>
          <w:tcPr>
            <w:tcW w:w="0" w:type="auto"/>
          </w:tcPr>
          <w:p w14:paraId="6F09A0DA" w14:textId="77777777" w:rsidR="00420A5A" w:rsidRDefault="00BA2507">
            <w:pPr>
              <w:pStyle w:val="Compact"/>
            </w:pPr>
            <w:r>
              <w:t>0.01</w:t>
            </w:r>
          </w:p>
        </w:tc>
        <w:tc>
          <w:tcPr>
            <w:tcW w:w="0" w:type="auto"/>
          </w:tcPr>
          <w:p w14:paraId="5F6CCF71" w14:textId="77777777" w:rsidR="00420A5A" w:rsidRDefault="00BA2507">
            <w:pPr>
              <w:pStyle w:val="Compact"/>
            </w:pPr>
            <w:r>
              <w:t>1.97</w:t>
            </w:r>
          </w:p>
        </w:tc>
        <w:tc>
          <w:tcPr>
            <w:tcW w:w="0" w:type="auto"/>
          </w:tcPr>
          <w:p w14:paraId="6C5F12D1" w14:textId="77777777" w:rsidR="00420A5A" w:rsidRDefault="00BA2507">
            <w:pPr>
              <w:pStyle w:val="Compact"/>
            </w:pPr>
            <w:r>
              <w:t>0.00</w:t>
            </w:r>
          </w:p>
        </w:tc>
        <w:tc>
          <w:tcPr>
            <w:tcW w:w="0" w:type="auto"/>
          </w:tcPr>
          <w:p w14:paraId="1661C3EE" w14:textId="77777777" w:rsidR="00420A5A" w:rsidRDefault="00BA2507">
            <w:pPr>
              <w:pStyle w:val="Compact"/>
            </w:pPr>
            <w:r>
              <w:t>1.00</w:t>
            </w:r>
          </w:p>
        </w:tc>
      </w:tr>
      <w:tr w:rsidR="00420A5A" w14:paraId="079E3CF4"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66F62519" w14:textId="77777777" w:rsidR="00420A5A" w:rsidRDefault="00BA2507">
            <w:pPr>
              <w:pStyle w:val="Compact"/>
            </w:pPr>
            <w:r>
              <w:t>dlog(cpi)</w:t>
            </w:r>
          </w:p>
        </w:tc>
        <w:tc>
          <w:tcPr>
            <w:tcW w:w="0" w:type="auto"/>
          </w:tcPr>
          <w:p w14:paraId="0BFA1EC1" w14:textId="77777777" w:rsidR="00420A5A" w:rsidRDefault="00BA2507">
            <w:pPr>
              <w:pStyle w:val="Compact"/>
            </w:pPr>
            <w:r>
              <w:t>-3.37</w:t>
            </w:r>
          </w:p>
        </w:tc>
        <w:tc>
          <w:tcPr>
            <w:tcW w:w="0" w:type="auto"/>
          </w:tcPr>
          <w:p w14:paraId="157A9075" w14:textId="77777777" w:rsidR="00420A5A" w:rsidRDefault="00BA2507">
            <w:pPr>
              <w:pStyle w:val="Compact"/>
            </w:pPr>
            <w:r>
              <w:t>15.50</w:t>
            </w:r>
          </w:p>
        </w:tc>
        <w:tc>
          <w:tcPr>
            <w:tcW w:w="0" w:type="auto"/>
          </w:tcPr>
          <w:p w14:paraId="1A0490C7" w14:textId="77777777" w:rsidR="00420A5A" w:rsidRDefault="00BA2507">
            <w:pPr>
              <w:pStyle w:val="Compact"/>
            </w:pPr>
            <w:r>
              <w:t>-0.22</w:t>
            </w:r>
          </w:p>
        </w:tc>
        <w:tc>
          <w:tcPr>
            <w:tcW w:w="0" w:type="auto"/>
          </w:tcPr>
          <w:p w14:paraId="3C32E594" w14:textId="77777777" w:rsidR="00420A5A" w:rsidRDefault="00BA2507">
            <w:pPr>
              <w:pStyle w:val="Compact"/>
            </w:pPr>
            <w:r>
              <w:t>0.84</w:t>
            </w:r>
          </w:p>
        </w:tc>
      </w:tr>
      <w:tr w:rsidR="00420A5A" w14:paraId="477F085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951C7A" w14:textId="77777777" w:rsidR="00420A5A" w:rsidRDefault="00BA2507">
            <w:pPr>
              <w:pStyle w:val="Compact"/>
            </w:pPr>
            <w:r>
              <w:lastRenderedPageBreak/>
              <w:t>diff(interest.nom)</w:t>
            </w:r>
          </w:p>
        </w:tc>
        <w:tc>
          <w:tcPr>
            <w:tcW w:w="0" w:type="auto"/>
          </w:tcPr>
          <w:p w14:paraId="5F726B3B" w14:textId="77777777" w:rsidR="00420A5A" w:rsidRDefault="00BA2507">
            <w:pPr>
              <w:pStyle w:val="Compact"/>
            </w:pPr>
            <w:r>
              <w:t>-13.06</w:t>
            </w:r>
          </w:p>
        </w:tc>
        <w:tc>
          <w:tcPr>
            <w:tcW w:w="0" w:type="auto"/>
          </w:tcPr>
          <w:p w14:paraId="43889A63" w14:textId="77777777" w:rsidR="00420A5A" w:rsidRDefault="00BA2507">
            <w:pPr>
              <w:pStyle w:val="Compact"/>
            </w:pPr>
            <w:r>
              <w:t>7.75</w:t>
            </w:r>
          </w:p>
        </w:tc>
        <w:tc>
          <w:tcPr>
            <w:tcW w:w="0" w:type="auto"/>
          </w:tcPr>
          <w:p w14:paraId="6A97ADA4" w14:textId="77777777" w:rsidR="00420A5A" w:rsidRDefault="00BA2507">
            <w:pPr>
              <w:pStyle w:val="Compact"/>
            </w:pPr>
            <w:r>
              <w:t>-1.69</w:t>
            </w:r>
          </w:p>
        </w:tc>
        <w:tc>
          <w:tcPr>
            <w:tcW w:w="0" w:type="auto"/>
          </w:tcPr>
          <w:p w14:paraId="57ED5913" w14:textId="77777777" w:rsidR="00420A5A" w:rsidRDefault="00BA2507">
            <w:pPr>
              <w:pStyle w:val="Compact"/>
            </w:pPr>
            <w:r>
              <w:t>0.15</w:t>
            </w:r>
          </w:p>
        </w:tc>
      </w:tr>
      <w:tr w:rsidR="00420A5A" w14:paraId="272D7B51"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6F6FD4A8" w14:textId="77777777" w:rsidR="00420A5A" w:rsidRDefault="00BA2507">
            <w:pPr>
              <w:pStyle w:val="Compact"/>
            </w:pPr>
            <w:r>
              <w:t>dlog(oil.price)</w:t>
            </w:r>
          </w:p>
        </w:tc>
        <w:tc>
          <w:tcPr>
            <w:tcW w:w="0" w:type="auto"/>
          </w:tcPr>
          <w:p w14:paraId="303E362E" w14:textId="77777777" w:rsidR="00420A5A" w:rsidRDefault="00BA2507">
            <w:pPr>
              <w:pStyle w:val="Compact"/>
            </w:pPr>
            <w:r>
              <w:t>0.03</w:t>
            </w:r>
          </w:p>
        </w:tc>
        <w:tc>
          <w:tcPr>
            <w:tcW w:w="0" w:type="auto"/>
          </w:tcPr>
          <w:p w14:paraId="5DB15402" w14:textId="77777777" w:rsidR="00420A5A" w:rsidRDefault="00BA2507">
            <w:pPr>
              <w:pStyle w:val="Compact"/>
            </w:pPr>
            <w:r>
              <w:t>0.06</w:t>
            </w:r>
          </w:p>
        </w:tc>
        <w:tc>
          <w:tcPr>
            <w:tcW w:w="0" w:type="auto"/>
          </w:tcPr>
          <w:p w14:paraId="76F0ADA2" w14:textId="77777777" w:rsidR="00420A5A" w:rsidRDefault="00BA2507">
            <w:pPr>
              <w:pStyle w:val="Compact"/>
            </w:pPr>
            <w:r>
              <w:t>0.42</w:t>
            </w:r>
          </w:p>
        </w:tc>
        <w:tc>
          <w:tcPr>
            <w:tcW w:w="0" w:type="auto"/>
          </w:tcPr>
          <w:p w14:paraId="0A42290D" w14:textId="77777777" w:rsidR="00420A5A" w:rsidRDefault="00BA2507">
            <w:pPr>
              <w:pStyle w:val="Compact"/>
            </w:pPr>
            <w:r>
              <w:t>0.69</w:t>
            </w:r>
          </w:p>
        </w:tc>
      </w:tr>
      <w:tr w:rsidR="00420A5A" w14:paraId="08AEEF7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6E0909E" w14:textId="77777777" w:rsidR="00420A5A" w:rsidRDefault="00BA2507">
            <w:pPr>
              <w:pStyle w:val="Compact"/>
            </w:pPr>
            <w:r>
              <w:t>diff(unemployment.rate)</w:t>
            </w:r>
          </w:p>
        </w:tc>
        <w:tc>
          <w:tcPr>
            <w:tcW w:w="0" w:type="auto"/>
          </w:tcPr>
          <w:p w14:paraId="4018CE19" w14:textId="77777777" w:rsidR="00420A5A" w:rsidRDefault="00BA2507">
            <w:pPr>
              <w:pStyle w:val="Compact"/>
            </w:pPr>
            <w:r>
              <w:t>-8.50</w:t>
            </w:r>
          </w:p>
        </w:tc>
        <w:tc>
          <w:tcPr>
            <w:tcW w:w="0" w:type="auto"/>
          </w:tcPr>
          <w:p w14:paraId="12A7609D" w14:textId="77777777" w:rsidR="00420A5A" w:rsidRDefault="00BA2507">
            <w:pPr>
              <w:pStyle w:val="Compact"/>
            </w:pPr>
            <w:r>
              <w:t>17.06</w:t>
            </w:r>
          </w:p>
        </w:tc>
        <w:tc>
          <w:tcPr>
            <w:tcW w:w="0" w:type="auto"/>
          </w:tcPr>
          <w:p w14:paraId="3A321E1C" w14:textId="77777777" w:rsidR="00420A5A" w:rsidRDefault="00BA2507">
            <w:pPr>
              <w:pStyle w:val="Compact"/>
            </w:pPr>
            <w:r>
              <w:t>-0.50</w:t>
            </w:r>
          </w:p>
        </w:tc>
        <w:tc>
          <w:tcPr>
            <w:tcW w:w="0" w:type="auto"/>
          </w:tcPr>
          <w:p w14:paraId="2FB9DF0E" w14:textId="77777777" w:rsidR="00420A5A" w:rsidRDefault="00BA2507">
            <w:pPr>
              <w:pStyle w:val="Compact"/>
            </w:pPr>
            <w:r>
              <w:t>0.64</w:t>
            </w:r>
          </w:p>
        </w:tc>
      </w:tr>
      <w:tr w:rsidR="00420A5A" w14:paraId="73E20F1B"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A2621E4" w14:textId="77777777" w:rsidR="00420A5A" w:rsidRDefault="00BA2507">
            <w:pPr>
              <w:pStyle w:val="Compact"/>
            </w:pPr>
            <w:r>
              <w:t>dlog(exchange.rate.index)</w:t>
            </w:r>
          </w:p>
        </w:tc>
        <w:tc>
          <w:tcPr>
            <w:tcW w:w="0" w:type="auto"/>
          </w:tcPr>
          <w:p w14:paraId="63EF0A5B" w14:textId="77777777" w:rsidR="00420A5A" w:rsidRDefault="00BA2507">
            <w:pPr>
              <w:pStyle w:val="Compact"/>
            </w:pPr>
            <w:r>
              <w:t>-4.18</w:t>
            </w:r>
          </w:p>
        </w:tc>
        <w:tc>
          <w:tcPr>
            <w:tcW w:w="0" w:type="auto"/>
          </w:tcPr>
          <w:p w14:paraId="646D3FCA" w14:textId="77777777" w:rsidR="00420A5A" w:rsidRDefault="00BA2507">
            <w:pPr>
              <w:pStyle w:val="Compact"/>
            </w:pPr>
            <w:r>
              <w:t>4.80</w:t>
            </w:r>
          </w:p>
        </w:tc>
        <w:tc>
          <w:tcPr>
            <w:tcW w:w="0" w:type="auto"/>
          </w:tcPr>
          <w:p w14:paraId="4E351674" w14:textId="77777777" w:rsidR="00420A5A" w:rsidRDefault="00BA2507">
            <w:pPr>
              <w:pStyle w:val="Compact"/>
            </w:pPr>
            <w:r>
              <w:t>-0.87</w:t>
            </w:r>
          </w:p>
        </w:tc>
        <w:tc>
          <w:tcPr>
            <w:tcW w:w="0" w:type="auto"/>
          </w:tcPr>
          <w:p w14:paraId="65AB3375" w14:textId="77777777" w:rsidR="00420A5A" w:rsidRDefault="00BA2507">
            <w:pPr>
              <w:pStyle w:val="Compact"/>
            </w:pPr>
            <w:r>
              <w:t>0.42</w:t>
            </w:r>
          </w:p>
        </w:tc>
      </w:tr>
    </w:tbl>
    <w:p w14:paraId="426A6576" w14:textId="77777777" w:rsidR="00420A5A" w:rsidRDefault="00420A5A">
      <w:pPr>
        <w:pStyle w:val="BodyText"/>
      </w:pPr>
    </w:p>
    <w:p w14:paraId="06C33404" w14:textId="77777777" w:rsidR="00420A5A" w:rsidRDefault="00BA2507">
      <w:pPr>
        <w:pStyle w:val="Heading4"/>
      </w:pPr>
      <w:bookmarkStart w:id="23" w:name="other-americas"/>
      <w:bookmarkEnd w:id="22"/>
      <w:r>
        <w:t>Other Americas:</w:t>
      </w:r>
    </w:p>
    <w:p w14:paraId="09AF3042" w14:textId="77777777" w:rsidR="00420A5A" w:rsidRDefault="00BA2507">
      <w:pPr>
        <w:pStyle w:val="TableCaption"/>
      </w:pPr>
      <w:r>
        <w:t>Other Americas Log-Log Model.</w:t>
      </w:r>
    </w:p>
    <w:tbl>
      <w:tblPr>
        <w:tblStyle w:val="Table"/>
        <w:tblW w:w="0" w:type="pct"/>
        <w:tblLook w:val="0020" w:firstRow="1" w:lastRow="0" w:firstColumn="0" w:lastColumn="0" w:noHBand="0" w:noVBand="0"/>
        <w:tblCaption w:val="Other Americas Log-Log Model."/>
      </w:tblPr>
      <w:tblGrid>
        <w:gridCol w:w="3024"/>
        <w:gridCol w:w="1692"/>
        <w:gridCol w:w="1386"/>
        <w:gridCol w:w="1679"/>
        <w:gridCol w:w="1569"/>
      </w:tblGrid>
      <w:tr w:rsidR="00420A5A" w14:paraId="359B6E1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0DB0D4D" w14:textId="77777777" w:rsidR="00420A5A" w:rsidRDefault="00BA2507">
            <w:pPr>
              <w:pStyle w:val="Compact"/>
            </w:pPr>
            <w:r>
              <w:t>Predictor</w:t>
            </w:r>
          </w:p>
        </w:tc>
        <w:tc>
          <w:tcPr>
            <w:tcW w:w="0" w:type="auto"/>
          </w:tcPr>
          <w:p w14:paraId="0E99F4BA" w14:textId="77777777" w:rsidR="00420A5A" w:rsidRDefault="00BA2507">
            <w:pPr>
              <w:pStyle w:val="Compact"/>
              <w:jc w:val="right"/>
            </w:pPr>
            <w:r>
              <w:t>Estimate</w:t>
            </w:r>
          </w:p>
        </w:tc>
        <w:tc>
          <w:tcPr>
            <w:tcW w:w="0" w:type="auto"/>
          </w:tcPr>
          <w:p w14:paraId="434E4E6C" w14:textId="77777777" w:rsidR="00420A5A" w:rsidRDefault="00BA2507">
            <w:pPr>
              <w:pStyle w:val="Compact"/>
              <w:jc w:val="right"/>
            </w:pPr>
            <w:r>
              <w:t>SE</w:t>
            </w:r>
          </w:p>
        </w:tc>
        <w:tc>
          <w:tcPr>
            <w:tcW w:w="0" w:type="auto"/>
          </w:tcPr>
          <w:p w14:paraId="2E2370AF" w14:textId="77777777" w:rsidR="00420A5A" w:rsidRDefault="00BA2507">
            <w:pPr>
              <w:pStyle w:val="Compact"/>
              <w:jc w:val="right"/>
            </w:pPr>
            <w:r>
              <w:t>t-Statistic</w:t>
            </w:r>
          </w:p>
        </w:tc>
        <w:tc>
          <w:tcPr>
            <w:tcW w:w="0" w:type="auto"/>
          </w:tcPr>
          <w:p w14:paraId="20A6AF2F" w14:textId="77777777" w:rsidR="00420A5A" w:rsidRDefault="00BA2507">
            <w:pPr>
              <w:pStyle w:val="Compact"/>
              <w:jc w:val="right"/>
            </w:pPr>
            <w:r>
              <w:t>P-Value</w:t>
            </w:r>
          </w:p>
        </w:tc>
      </w:tr>
      <w:tr w:rsidR="00420A5A" w14:paraId="026389F1"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26DB8EA0" w14:textId="77777777" w:rsidR="00420A5A" w:rsidRDefault="00BA2507">
            <w:pPr>
              <w:pStyle w:val="Compact"/>
            </w:pPr>
            <w:r>
              <w:t>(Intercept)</w:t>
            </w:r>
          </w:p>
        </w:tc>
        <w:tc>
          <w:tcPr>
            <w:tcW w:w="0" w:type="auto"/>
          </w:tcPr>
          <w:p w14:paraId="4FFB45EC" w14:textId="77777777" w:rsidR="00420A5A" w:rsidRDefault="00BA2507">
            <w:pPr>
              <w:pStyle w:val="Compact"/>
            </w:pPr>
            <w:r>
              <w:t>-0.18</w:t>
            </w:r>
          </w:p>
        </w:tc>
        <w:tc>
          <w:tcPr>
            <w:tcW w:w="0" w:type="auto"/>
          </w:tcPr>
          <w:p w14:paraId="75B6589B" w14:textId="77777777" w:rsidR="00420A5A" w:rsidRDefault="00BA2507">
            <w:pPr>
              <w:pStyle w:val="Compact"/>
            </w:pPr>
            <w:r>
              <w:t>0.10</w:t>
            </w:r>
          </w:p>
        </w:tc>
        <w:tc>
          <w:tcPr>
            <w:tcW w:w="0" w:type="auto"/>
          </w:tcPr>
          <w:p w14:paraId="6F722565" w14:textId="77777777" w:rsidR="00420A5A" w:rsidRDefault="00BA2507">
            <w:pPr>
              <w:pStyle w:val="Compact"/>
            </w:pPr>
            <w:r>
              <w:t>-1.79</w:t>
            </w:r>
          </w:p>
        </w:tc>
        <w:tc>
          <w:tcPr>
            <w:tcW w:w="0" w:type="auto"/>
          </w:tcPr>
          <w:p w14:paraId="091193E6" w14:textId="77777777" w:rsidR="00420A5A" w:rsidRDefault="00BA2507">
            <w:pPr>
              <w:pStyle w:val="Compact"/>
            </w:pPr>
            <w:r>
              <w:t>0.13</w:t>
            </w:r>
          </w:p>
        </w:tc>
      </w:tr>
      <w:tr w:rsidR="00420A5A" w14:paraId="141DE89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AF9C8C" w14:textId="77777777" w:rsidR="00420A5A" w:rsidRDefault="00BA2507">
            <w:pPr>
              <w:pStyle w:val="Compact"/>
            </w:pPr>
            <w:r>
              <w:t>dlog(consumption)</w:t>
            </w:r>
          </w:p>
        </w:tc>
        <w:tc>
          <w:tcPr>
            <w:tcW w:w="0" w:type="auto"/>
          </w:tcPr>
          <w:p w14:paraId="4F1570F7" w14:textId="77777777" w:rsidR="00420A5A" w:rsidRDefault="00BA2507">
            <w:pPr>
              <w:pStyle w:val="Compact"/>
            </w:pPr>
            <w:r>
              <w:t>-4.15</w:t>
            </w:r>
          </w:p>
        </w:tc>
        <w:tc>
          <w:tcPr>
            <w:tcW w:w="0" w:type="auto"/>
          </w:tcPr>
          <w:p w14:paraId="049B96DD" w14:textId="77777777" w:rsidR="00420A5A" w:rsidRDefault="00BA2507">
            <w:pPr>
              <w:pStyle w:val="Compact"/>
            </w:pPr>
            <w:r>
              <w:t>7.80</w:t>
            </w:r>
          </w:p>
        </w:tc>
        <w:tc>
          <w:tcPr>
            <w:tcW w:w="0" w:type="auto"/>
          </w:tcPr>
          <w:p w14:paraId="5FF75BAC" w14:textId="77777777" w:rsidR="00420A5A" w:rsidRDefault="00BA2507">
            <w:pPr>
              <w:pStyle w:val="Compact"/>
            </w:pPr>
            <w:r>
              <w:t>-0.53</w:t>
            </w:r>
          </w:p>
        </w:tc>
        <w:tc>
          <w:tcPr>
            <w:tcW w:w="0" w:type="auto"/>
          </w:tcPr>
          <w:p w14:paraId="2F84C8F3" w14:textId="77777777" w:rsidR="00420A5A" w:rsidRDefault="00BA2507">
            <w:pPr>
              <w:pStyle w:val="Compact"/>
            </w:pPr>
            <w:r>
              <w:t>0.62</w:t>
            </w:r>
          </w:p>
        </w:tc>
      </w:tr>
      <w:tr w:rsidR="00420A5A" w14:paraId="6D5E2FE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5A70F2A6" w14:textId="77777777" w:rsidR="00420A5A" w:rsidRDefault="00BA2507">
            <w:pPr>
              <w:pStyle w:val="Compact"/>
            </w:pPr>
            <w:r>
              <w:t>dlog(gdp)</w:t>
            </w:r>
          </w:p>
        </w:tc>
        <w:tc>
          <w:tcPr>
            <w:tcW w:w="0" w:type="auto"/>
          </w:tcPr>
          <w:p w14:paraId="3A19A591" w14:textId="77777777" w:rsidR="00420A5A" w:rsidRDefault="00BA2507">
            <w:pPr>
              <w:pStyle w:val="Compact"/>
            </w:pPr>
            <w:r>
              <w:t>9.68</w:t>
            </w:r>
          </w:p>
        </w:tc>
        <w:tc>
          <w:tcPr>
            <w:tcW w:w="0" w:type="auto"/>
          </w:tcPr>
          <w:p w14:paraId="04F18EA9" w14:textId="77777777" w:rsidR="00420A5A" w:rsidRDefault="00BA2507">
            <w:pPr>
              <w:pStyle w:val="Compact"/>
            </w:pPr>
            <w:r>
              <w:t>12.92</w:t>
            </w:r>
          </w:p>
        </w:tc>
        <w:tc>
          <w:tcPr>
            <w:tcW w:w="0" w:type="auto"/>
          </w:tcPr>
          <w:p w14:paraId="41FA9AD9" w14:textId="77777777" w:rsidR="00420A5A" w:rsidRDefault="00BA2507">
            <w:pPr>
              <w:pStyle w:val="Compact"/>
            </w:pPr>
            <w:r>
              <w:t>0.75</w:t>
            </w:r>
          </w:p>
        </w:tc>
        <w:tc>
          <w:tcPr>
            <w:tcW w:w="0" w:type="auto"/>
          </w:tcPr>
          <w:p w14:paraId="46134C2D" w14:textId="77777777" w:rsidR="00420A5A" w:rsidRDefault="00BA2507">
            <w:pPr>
              <w:pStyle w:val="Compact"/>
            </w:pPr>
            <w:r>
              <w:t>0.49</w:t>
            </w:r>
          </w:p>
        </w:tc>
      </w:tr>
      <w:tr w:rsidR="00420A5A" w14:paraId="605F2F7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610E7B" w14:textId="77777777" w:rsidR="00420A5A" w:rsidRDefault="00BA2507">
            <w:pPr>
              <w:pStyle w:val="Compact"/>
            </w:pPr>
            <w:r>
              <w:t>dlog(indust.production)</w:t>
            </w:r>
          </w:p>
        </w:tc>
        <w:tc>
          <w:tcPr>
            <w:tcW w:w="0" w:type="auto"/>
          </w:tcPr>
          <w:p w14:paraId="137562DF" w14:textId="77777777" w:rsidR="00420A5A" w:rsidRDefault="00BA2507">
            <w:pPr>
              <w:pStyle w:val="Compact"/>
            </w:pPr>
            <w:r>
              <w:t>1.64</w:t>
            </w:r>
          </w:p>
        </w:tc>
        <w:tc>
          <w:tcPr>
            <w:tcW w:w="0" w:type="auto"/>
          </w:tcPr>
          <w:p w14:paraId="195EC4DA" w14:textId="77777777" w:rsidR="00420A5A" w:rsidRDefault="00BA2507">
            <w:pPr>
              <w:pStyle w:val="Compact"/>
            </w:pPr>
            <w:r>
              <w:t>6.14</w:t>
            </w:r>
          </w:p>
        </w:tc>
        <w:tc>
          <w:tcPr>
            <w:tcW w:w="0" w:type="auto"/>
          </w:tcPr>
          <w:p w14:paraId="63B2AFBE" w14:textId="77777777" w:rsidR="00420A5A" w:rsidRDefault="00BA2507">
            <w:pPr>
              <w:pStyle w:val="Compact"/>
            </w:pPr>
            <w:r>
              <w:t>0.27</w:t>
            </w:r>
          </w:p>
        </w:tc>
        <w:tc>
          <w:tcPr>
            <w:tcW w:w="0" w:type="auto"/>
          </w:tcPr>
          <w:p w14:paraId="590CEFFA" w14:textId="77777777" w:rsidR="00420A5A" w:rsidRDefault="00BA2507">
            <w:pPr>
              <w:pStyle w:val="Compact"/>
            </w:pPr>
            <w:r>
              <w:t>0.80</w:t>
            </w:r>
          </w:p>
        </w:tc>
      </w:tr>
      <w:tr w:rsidR="00420A5A" w14:paraId="0BB26C2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EAE07A2" w14:textId="77777777" w:rsidR="00420A5A" w:rsidRDefault="00BA2507">
            <w:pPr>
              <w:pStyle w:val="Compact"/>
            </w:pPr>
            <w:r>
              <w:t>dlog(cpi)</w:t>
            </w:r>
          </w:p>
        </w:tc>
        <w:tc>
          <w:tcPr>
            <w:tcW w:w="0" w:type="auto"/>
          </w:tcPr>
          <w:p w14:paraId="3567AC4A" w14:textId="77777777" w:rsidR="00420A5A" w:rsidRDefault="00BA2507">
            <w:pPr>
              <w:pStyle w:val="Compact"/>
            </w:pPr>
            <w:r>
              <w:t>3.62</w:t>
            </w:r>
          </w:p>
        </w:tc>
        <w:tc>
          <w:tcPr>
            <w:tcW w:w="0" w:type="auto"/>
          </w:tcPr>
          <w:p w14:paraId="654975F0" w14:textId="77777777" w:rsidR="00420A5A" w:rsidRDefault="00BA2507">
            <w:pPr>
              <w:pStyle w:val="Compact"/>
            </w:pPr>
            <w:r>
              <w:t>2.02</w:t>
            </w:r>
          </w:p>
        </w:tc>
        <w:tc>
          <w:tcPr>
            <w:tcW w:w="0" w:type="auto"/>
          </w:tcPr>
          <w:p w14:paraId="4E3E56F9" w14:textId="77777777" w:rsidR="00420A5A" w:rsidRDefault="00BA2507">
            <w:pPr>
              <w:pStyle w:val="Compact"/>
            </w:pPr>
            <w:r>
              <w:t>1.80</w:t>
            </w:r>
          </w:p>
        </w:tc>
        <w:tc>
          <w:tcPr>
            <w:tcW w:w="0" w:type="auto"/>
          </w:tcPr>
          <w:p w14:paraId="489B5FAE" w14:textId="77777777" w:rsidR="00420A5A" w:rsidRDefault="00BA2507">
            <w:pPr>
              <w:pStyle w:val="Compact"/>
            </w:pPr>
            <w:r>
              <w:t>0.13</w:t>
            </w:r>
          </w:p>
        </w:tc>
      </w:tr>
      <w:tr w:rsidR="00420A5A" w14:paraId="5DD4817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6EBFB1E" w14:textId="77777777" w:rsidR="00420A5A" w:rsidRDefault="00BA2507">
            <w:pPr>
              <w:pStyle w:val="Compact"/>
            </w:pPr>
            <w:r>
              <w:t>diff(interest.nom)</w:t>
            </w:r>
          </w:p>
        </w:tc>
        <w:tc>
          <w:tcPr>
            <w:tcW w:w="0" w:type="auto"/>
          </w:tcPr>
          <w:p w14:paraId="360D9DC4" w14:textId="77777777" w:rsidR="00420A5A" w:rsidRDefault="00BA2507">
            <w:pPr>
              <w:pStyle w:val="Compact"/>
            </w:pPr>
            <w:r>
              <w:t>3.80</w:t>
            </w:r>
          </w:p>
        </w:tc>
        <w:tc>
          <w:tcPr>
            <w:tcW w:w="0" w:type="auto"/>
          </w:tcPr>
          <w:p w14:paraId="436A494F" w14:textId="77777777" w:rsidR="00420A5A" w:rsidRDefault="00BA2507">
            <w:pPr>
              <w:pStyle w:val="Compact"/>
            </w:pPr>
            <w:r>
              <w:t>6.23</w:t>
            </w:r>
          </w:p>
        </w:tc>
        <w:tc>
          <w:tcPr>
            <w:tcW w:w="0" w:type="auto"/>
          </w:tcPr>
          <w:p w14:paraId="5F8B451F" w14:textId="77777777" w:rsidR="00420A5A" w:rsidRDefault="00BA2507">
            <w:pPr>
              <w:pStyle w:val="Compact"/>
            </w:pPr>
            <w:r>
              <w:t>0.61</w:t>
            </w:r>
          </w:p>
        </w:tc>
        <w:tc>
          <w:tcPr>
            <w:tcW w:w="0" w:type="auto"/>
          </w:tcPr>
          <w:p w14:paraId="7CE7A5E7" w14:textId="77777777" w:rsidR="00420A5A" w:rsidRDefault="00BA2507">
            <w:pPr>
              <w:pStyle w:val="Compact"/>
            </w:pPr>
            <w:r>
              <w:t>0.57</w:t>
            </w:r>
          </w:p>
        </w:tc>
      </w:tr>
      <w:tr w:rsidR="00420A5A" w14:paraId="4EE542F5"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C78418C" w14:textId="77777777" w:rsidR="00420A5A" w:rsidRDefault="00BA2507">
            <w:pPr>
              <w:pStyle w:val="Compact"/>
            </w:pPr>
            <w:r>
              <w:t>dlog(oil.price)</w:t>
            </w:r>
          </w:p>
        </w:tc>
        <w:tc>
          <w:tcPr>
            <w:tcW w:w="0" w:type="auto"/>
          </w:tcPr>
          <w:p w14:paraId="6C7766FB" w14:textId="77777777" w:rsidR="00420A5A" w:rsidRDefault="00BA2507">
            <w:pPr>
              <w:pStyle w:val="Compact"/>
            </w:pPr>
            <w:r>
              <w:t>0.77</w:t>
            </w:r>
          </w:p>
        </w:tc>
        <w:tc>
          <w:tcPr>
            <w:tcW w:w="0" w:type="auto"/>
          </w:tcPr>
          <w:p w14:paraId="3BB6A432" w14:textId="77777777" w:rsidR="00420A5A" w:rsidRDefault="00BA2507">
            <w:pPr>
              <w:pStyle w:val="Compact"/>
            </w:pPr>
            <w:r>
              <w:t>0.12</w:t>
            </w:r>
          </w:p>
        </w:tc>
        <w:tc>
          <w:tcPr>
            <w:tcW w:w="0" w:type="auto"/>
          </w:tcPr>
          <w:p w14:paraId="68C5D320" w14:textId="77777777" w:rsidR="00420A5A" w:rsidRDefault="00BA2507">
            <w:pPr>
              <w:pStyle w:val="Compact"/>
            </w:pPr>
            <w:r>
              <w:t>6.49</w:t>
            </w:r>
          </w:p>
        </w:tc>
        <w:tc>
          <w:tcPr>
            <w:tcW w:w="0" w:type="auto"/>
          </w:tcPr>
          <w:p w14:paraId="08415EFA" w14:textId="77777777" w:rsidR="00420A5A" w:rsidRDefault="00BA2507">
            <w:pPr>
              <w:pStyle w:val="Compact"/>
            </w:pPr>
            <w:r>
              <w:t>0.00</w:t>
            </w:r>
          </w:p>
        </w:tc>
      </w:tr>
      <w:tr w:rsidR="00420A5A" w14:paraId="6486E40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469C4D" w14:textId="77777777" w:rsidR="00420A5A" w:rsidRDefault="00BA2507">
            <w:pPr>
              <w:pStyle w:val="Compact"/>
            </w:pPr>
            <w:r>
              <w:t>diff(unemployment.rate)</w:t>
            </w:r>
          </w:p>
        </w:tc>
        <w:tc>
          <w:tcPr>
            <w:tcW w:w="0" w:type="auto"/>
          </w:tcPr>
          <w:p w14:paraId="4BE71402" w14:textId="77777777" w:rsidR="00420A5A" w:rsidRDefault="00BA2507">
            <w:pPr>
              <w:pStyle w:val="Compact"/>
            </w:pPr>
            <w:r>
              <w:t>23.26</w:t>
            </w:r>
          </w:p>
        </w:tc>
        <w:tc>
          <w:tcPr>
            <w:tcW w:w="0" w:type="auto"/>
          </w:tcPr>
          <w:p w14:paraId="7AF768FD" w14:textId="77777777" w:rsidR="00420A5A" w:rsidRDefault="00BA2507">
            <w:pPr>
              <w:pStyle w:val="Compact"/>
            </w:pPr>
            <w:r>
              <w:t>16.32</w:t>
            </w:r>
          </w:p>
        </w:tc>
        <w:tc>
          <w:tcPr>
            <w:tcW w:w="0" w:type="auto"/>
          </w:tcPr>
          <w:p w14:paraId="0083B111" w14:textId="77777777" w:rsidR="00420A5A" w:rsidRDefault="00BA2507">
            <w:pPr>
              <w:pStyle w:val="Compact"/>
            </w:pPr>
            <w:r>
              <w:t>1.43</w:t>
            </w:r>
          </w:p>
        </w:tc>
        <w:tc>
          <w:tcPr>
            <w:tcW w:w="0" w:type="auto"/>
          </w:tcPr>
          <w:p w14:paraId="572C9617" w14:textId="77777777" w:rsidR="00420A5A" w:rsidRDefault="00BA2507">
            <w:pPr>
              <w:pStyle w:val="Compact"/>
            </w:pPr>
            <w:r>
              <w:t>0.21</w:t>
            </w:r>
          </w:p>
        </w:tc>
      </w:tr>
      <w:tr w:rsidR="00420A5A" w14:paraId="095738F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25E770AF" w14:textId="77777777" w:rsidR="00420A5A" w:rsidRDefault="00BA2507">
            <w:pPr>
              <w:pStyle w:val="Compact"/>
            </w:pPr>
            <w:r>
              <w:t>dlog(exchange.rate.index)</w:t>
            </w:r>
          </w:p>
        </w:tc>
        <w:tc>
          <w:tcPr>
            <w:tcW w:w="0" w:type="auto"/>
          </w:tcPr>
          <w:p w14:paraId="3ADAB8A0" w14:textId="77777777" w:rsidR="00420A5A" w:rsidRDefault="00BA2507">
            <w:pPr>
              <w:pStyle w:val="Compact"/>
            </w:pPr>
            <w:r>
              <w:t>0.95</w:t>
            </w:r>
          </w:p>
        </w:tc>
        <w:tc>
          <w:tcPr>
            <w:tcW w:w="0" w:type="auto"/>
          </w:tcPr>
          <w:p w14:paraId="73E99DCD" w14:textId="77777777" w:rsidR="00420A5A" w:rsidRDefault="00BA2507">
            <w:pPr>
              <w:pStyle w:val="Compact"/>
            </w:pPr>
            <w:r>
              <w:t>1.39</w:t>
            </w:r>
          </w:p>
        </w:tc>
        <w:tc>
          <w:tcPr>
            <w:tcW w:w="0" w:type="auto"/>
          </w:tcPr>
          <w:p w14:paraId="6457ACD8" w14:textId="77777777" w:rsidR="00420A5A" w:rsidRDefault="00BA2507">
            <w:pPr>
              <w:pStyle w:val="Compact"/>
            </w:pPr>
            <w:r>
              <w:t>0.69</w:t>
            </w:r>
          </w:p>
        </w:tc>
        <w:tc>
          <w:tcPr>
            <w:tcW w:w="0" w:type="auto"/>
          </w:tcPr>
          <w:p w14:paraId="128EBF8D" w14:textId="77777777" w:rsidR="00420A5A" w:rsidRDefault="00BA2507">
            <w:pPr>
              <w:pStyle w:val="Compact"/>
            </w:pPr>
            <w:r>
              <w:t>0.52</w:t>
            </w:r>
          </w:p>
        </w:tc>
      </w:tr>
    </w:tbl>
    <w:p w14:paraId="72317D7F" w14:textId="77777777" w:rsidR="00420A5A" w:rsidRDefault="00420A5A">
      <w:pPr>
        <w:pStyle w:val="BodyText"/>
      </w:pPr>
    </w:p>
    <w:p w14:paraId="6FA8778E" w14:textId="77777777" w:rsidR="00420A5A" w:rsidRDefault="00BA2507">
      <w:pPr>
        <w:pStyle w:val="Heading4"/>
      </w:pPr>
      <w:bookmarkStart w:id="24" w:name="hedging-risk-of-elasticities"/>
      <w:bookmarkEnd w:id="23"/>
      <w:r>
        <w:lastRenderedPageBreak/>
        <w:t>Hedging risk of elasticities</w:t>
      </w:r>
    </w:p>
    <w:p w14:paraId="2CFF7DB2" w14:textId="77777777" w:rsidR="00420A5A" w:rsidRDefault="00BA2507">
      <w:pPr>
        <w:pStyle w:val="Heading4"/>
      </w:pPr>
      <w:bookmarkStart w:id="25" w:name="optimization"/>
      <w:bookmarkEnd w:id="24"/>
      <w:r>
        <w:t>Optimization</w:t>
      </w:r>
    </w:p>
    <w:p w14:paraId="6085D9EC" w14:textId="77777777" w:rsidR="00420A5A" w:rsidRDefault="00BA2507">
      <w:pPr>
        <w:pStyle w:val="Heading4"/>
      </w:pPr>
      <w:bookmarkStart w:id="26" w:name="X307559b442129dfcdb77bacd43593bb3a0530e4"/>
      <w:bookmarkEnd w:id="25"/>
      <w:r>
        <w:t>Economic value-added of differing operations</w:t>
      </w:r>
    </w:p>
    <w:p w14:paraId="0A061EC9" w14:textId="77777777" w:rsidR="00420A5A" w:rsidRDefault="00BA2507">
      <w:pPr>
        <w:pStyle w:val="Heading2"/>
      </w:pPr>
      <w:bookmarkStart w:id="27" w:name="results-discussion"/>
      <w:bookmarkEnd w:id="8"/>
      <w:bookmarkEnd w:id="26"/>
      <w:r>
        <w:t>Results &amp; Discussion</w:t>
      </w:r>
    </w:p>
    <w:p w14:paraId="27D7B5A6" w14:textId="77777777" w:rsidR="00420A5A" w:rsidRDefault="00BA2507">
      <w:pPr>
        <w:pStyle w:val="Heading4"/>
      </w:pPr>
      <w:bookmarkStart w:id="28" w:name="log-log-model-breakdown"/>
      <w:r>
        <w:t>log-log model breakdown</w:t>
      </w:r>
    </w:p>
    <w:p w14:paraId="196076BA" w14:textId="77777777" w:rsidR="00420A5A" w:rsidRDefault="00BA2507">
      <w:pPr>
        <w:pStyle w:val="Heading4"/>
      </w:pPr>
      <w:bookmarkStart w:id="29" w:name="Xe4c541bf0034c28317dde2423a626e525b42e4f"/>
      <w:bookmarkEnd w:id="28"/>
      <w:r>
        <w:t>basis of theoretical model and application</w:t>
      </w:r>
    </w:p>
    <w:p w14:paraId="24B773BF" w14:textId="77777777" w:rsidR="00420A5A" w:rsidRDefault="00BA2507">
      <w:pPr>
        <w:pStyle w:val="Heading4"/>
      </w:pPr>
      <w:bookmarkStart w:id="30" w:name="discussion-of-ideal-inputs"/>
      <w:bookmarkEnd w:id="29"/>
      <w:r>
        <w:t>discussion of ideal inputs</w:t>
      </w:r>
    </w:p>
    <w:p w14:paraId="2CE02661" w14:textId="77777777" w:rsidR="00420A5A" w:rsidRDefault="00BA2507">
      <w:pPr>
        <w:pStyle w:val="Heading4"/>
      </w:pPr>
      <w:bookmarkStart w:id="31" w:name="X204bbb8b3c912f53343df81b649f3239fd6957e"/>
      <w:bookmarkEnd w:id="30"/>
      <w:r>
        <w:t>Diverse operations portfolio vs. allocation towards most profitable</w:t>
      </w:r>
    </w:p>
    <w:p w14:paraId="2E2D0F5C" w14:textId="77777777" w:rsidR="00420A5A" w:rsidRDefault="00BA2507">
      <w:pPr>
        <w:pStyle w:val="Heading2"/>
      </w:pPr>
      <w:bookmarkStart w:id="32" w:name="conclusion"/>
      <w:bookmarkEnd w:id="27"/>
      <w:bookmarkEnd w:id="31"/>
      <w:r>
        <w:t>Conclusion</w:t>
      </w:r>
    </w:p>
    <w:p w14:paraId="11B31823" w14:textId="77777777" w:rsidR="00420A5A" w:rsidRDefault="00BA2507">
      <w:pPr>
        <w:pStyle w:val="Heading4"/>
      </w:pPr>
      <w:bookmarkStart w:id="33" w:name="X79ec6f3f6721ce13679596a4b2fde1e39a72fd9"/>
      <w:r>
        <w:t>Summary of available options to mitigate risk</w:t>
      </w:r>
    </w:p>
    <w:p w14:paraId="1EB1B6C8" w14:textId="77777777" w:rsidR="00420A5A" w:rsidRDefault="00BA2507">
      <w:pPr>
        <w:pStyle w:val="Heading4"/>
      </w:pPr>
      <w:bookmarkStart w:id="34" w:name="X840ecf6f493731f4f16204ec13312ae564d0e4b"/>
      <w:bookmarkEnd w:id="33"/>
      <w:r>
        <w:t>How to maximize revenues given current conditions</w:t>
      </w:r>
    </w:p>
    <w:p w14:paraId="22BDD5BF" w14:textId="77777777" w:rsidR="00420A5A" w:rsidRDefault="00BA2507">
      <w:pPr>
        <w:pStyle w:val="Heading4"/>
      </w:pPr>
      <w:bookmarkStart w:id="35" w:name="X723972c84d93db85c99e130cc6049f941e6829e"/>
      <w:bookmarkEnd w:id="34"/>
      <w:r>
        <w:t>Discussion of variability outside of scope</w:t>
      </w:r>
      <w:bookmarkEnd w:id="0"/>
      <w:bookmarkEnd w:id="32"/>
      <w:bookmarkEnd w:id="35"/>
    </w:p>
    <w:sectPr w:rsidR="00420A5A">
      <w:head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44344" w14:textId="77777777" w:rsidR="00E1144B" w:rsidRDefault="00E1144B">
      <w:pPr>
        <w:spacing w:after="0"/>
      </w:pPr>
      <w:r>
        <w:separator/>
      </w:r>
    </w:p>
  </w:endnote>
  <w:endnote w:type="continuationSeparator" w:id="0">
    <w:p w14:paraId="276E4096" w14:textId="77777777" w:rsidR="00E1144B" w:rsidRDefault="00E114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79E6E" w14:textId="77777777" w:rsidR="00E1144B" w:rsidRDefault="00E1144B">
      <w:r>
        <w:separator/>
      </w:r>
    </w:p>
  </w:footnote>
  <w:footnote w:type="continuationSeparator" w:id="0">
    <w:p w14:paraId="4194962C" w14:textId="77777777" w:rsidR="00E1144B" w:rsidRDefault="00E11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58914"/>
      <w:docPartObj>
        <w:docPartGallery w:val="Page Numbers (Top of Page)"/>
        <w:docPartUnique/>
      </w:docPartObj>
    </w:sdtPr>
    <w:sdtEndPr>
      <w:rPr>
        <w:noProof/>
      </w:rPr>
    </w:sdtEndPr>
    <w:sdtContent>
      <w:p w14:paraId="253D95D1" w14:textId="77777777" w:rsidR="00997869" w:rsidRDefault="00BA25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A92FB1" w14:textId="77777777" w:rsidR="00997869" w:rsidRDefault="00E11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487A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6A15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163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8A3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187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86B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58D4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F2F7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EE5B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A6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204" w:allStyles="0" w:customStyles="0" w:latentStyles="1" w:stylesInUse="0" w:headingStyles="0" w:numberingStyles="0" w:tableStyles="0" w:directFormattingOnRuns="0" w:directFormattingOnParagraphs="1"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0A5A"/>
    <w:rsid w:val="004268EE"/>
    <w:rsid w:val="004E29B3"/>
    <w:rsid w:val="00590D07"/>
    <w:rsid w:val="00784D58"/>
    <w:rsid w:val="008D6863"/>
    <w:rsid w:val="00B86B75"/>
    <w:rsid w:val="00BA2507"/>
    <w:rsid w:val="00BC48D5"/>
    <w:rsid w:val="00C36279"/>
    <w:rsid w:val="00D61889"/>
    <w:rsid w:val="00E1144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6B8B"/>
  <w15:docId w15:val="{52C94205-20F1-48B0-B676-C20E49F2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889"/>
  </w:style>
  <w:style w:type="paragraph" w:styleId="Heading1">
    <w:name w:val="heading 1"/>
    <w:basedOn w:val="Normal"/>
    <w:next w:val="BodyText"/>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2668CA"/>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2668CA"/>
    <w:pPr>
      <w:keepNext/>
      <w:keepLines/>
      <w:spacing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0F2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AE0F2F"/>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Contemporary"/>
    <w:semiHidden/>
    <w:unhideWhenUsed/>
    <w:qFormat/>
    <w:rsid w:val="00D61889"/>
    <w:pPr>
      <w:jc w:val="right"/>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b/>
        <w:bCs/>
        <w:color w:val="auto"/>
      </w:rPr>
      <w:tblPr/>
      <w:tcPr>
        <w:tcBorders>
          <w:bottom w:val="single" w:sz="0" w:space="0" w:color="auto"/>
          <w:tl2br w:val="none" w:sz="0" w:space="0" w:color="auto"/>
          <w:tr2bl w:val="none" w:sz="0" w:space="0" w:color="auto"/>
        </w:tcBorders>
        <w:shd w:val="pct20" w:color="000000" w:fill="FFFFFF"/>
        <w:vAlign w:val="top"/>
      </w:tcPr>
    </w:tblStylePr>
    <w:tblStylePr w:type="firstCol">
      <w:pPr>
        <w:jc w:val="left"/>
      </w:pPr>
      <w:rPr>
        <w:b/>
      </w:r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E0F2F"/>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 w:type="table" w:styleId="TableContemporary">
    <w:name w:val="Table Contemporary"/>
    <w:basedOn w:val="TableNormal"/>
    <w:semiHidden/>
    <w:unhideWhenUsed/>
    <w:rsid w:val="00D618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1128-517C-4849-AA6E-08D97C5B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cp:lastModifiedBy>Shaun Harr</cp:lastModifiedBy>
  <cp:revision>2</cp:revision>
  <dcterms:created xsi:type="dcterms:W3CDTF">2021-04-10T05:07:00Z</dcterms:created>
  <dcterms:modified xsi:type="dcterms:W3CDTF">2021-04-10T05:07:00Z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