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Dutch</w:t>
      </w:r>
      <w:r>
        <w:t xml:space="preserve"> </w:t>
      </w:r>
      <w:r>
        <w:t xml:space="preserve">Shell:</w:t>
      </w:r>
    </w:p>
    <w:p>
      <w:pPr>
        <w:pStyle w:val="Subtitle"/>
      </w:pPr>
      <w:r>
        <w:t xml:space="preserve">A</w:t>
      </w:r>
      <w:r>
        <w:t xml:space="preserve"> </w:t>
      </w:r>
      <w:r>
        <w:t xml:space="preserve">Macroeconomic</w:t>
      </w:r>
      <w:r>
        <w:t xml:space="preserve"> </w:t>
      </w:r>
      <w:r>
        <w:t xml:space="preserve">Analysis</w:t>
      </w:r>
    </w:p>
    <w:p>
      <w:pPr>
        <w:pStyle w:val="Author"/>
      </w:pPr>
      <w:r>
        <w:t xml:space="preserve">Shaun</w:t>
      </w:r>
      <w:r>
        <w:t xml:space="preserve"> </w:t>
      </w:r>
      <w:r>
        <w:t xml:space="preserve">Harrington</w:t>
      </w:r>
    </w:p>
    <w:p>
      <w:pPr>
        <w:pStyle w:val="Date"/>
      </w:pPr>
      <w:r>
        <w:t xml:space="preserve">4/7/2021</w:t>
      </w:r>
    </w:p>
    <w:bookmarkStart w:id="46" w:name="X4f8ca2ee07206b8c41373a8a010433703293f71"/>
    <w:p>
      <w:pPr>
        <w:pStyle w:val="Heading1"/>
      </w:pPr>
      <w:r>
        <w:t xml:space="preserve">Royal Dutch Shell: A Macroeconomic Analysis</w:t>
      </w:r>
    </w:p>
    <w:bookmarkStart w:id="20" w:name="motivation"/>
    <w:p>
      <w:pPr>
        <w:pStyle w:val="Heading4"/>
      </w:pPr>
      <w:r>
        <w:t xml:space="preserve">Motivation</w:t>
      </w:r>
    </w:p>
    <w:p>
      <w:pPr>
        <w:pStyle w:val="FirstParagraph"/>
      </w:pPr>
      <w:r>
        <w:t xml:space="preserve">Royal Dutch Shell is a international company that spans the entire globe. As such, it is subject to several macroeconomic variables throughout numerous countries. Due to COVID-19, we have seen considerable fluctuations in the macroeconomy.</w:t>
      </w:r>
    </w:p>
    <w:p>
      <w:pPr>
        <w:pStyle w:val="BodyText"/>
      </w:pPr>
      <w:r>
        <w:t xml:space="preserve">[Insert discussion of change in macroeconomic indicators over past year]</w:t>
      </w:r>
    </w:p>
    <w:p>
      <w:pPr>
        <w:pStyle w:val="BodyText"/>
      </w:pPr>
      <w:r>
        <w:t xml:space="preserve">As numerous macroeconomic indicators are highly correlated with revenues, such as the price of a barrel of oil, the net financial impact is exposed to these uncontrollable variables. By understanding the impacts, measures can be taken to mitigate the impact of changes to the macroeconomy.</w:t>
      </w:r>
    </w:p>
    <w:p>
      <w:pPr>
        <w:pStyle w:val="BodyText"/>
      </w:pPr>
      <w:r>
        <w:t xml:space="preserve">Royal Dutch Shell (RDS) segments revenue streams by region. Those being the United States, Europe, Other Americas, and Asia/Oceania/Africa. In 2019, the distribution of revenues were: 24% in the US, 29% in Europe, 7% in Other Americas, and 41% in Asia/Oceania/Africa. See below for a table of revenues by region:</w:t>
      </w:r>
    </w:p>
    <w:p>
      <w:pPr>
        <w:pStyle w:val="BodyText"/>
      </w:pPr>
    </w:p>
    <w:tbl>
      <w:tblPr>
        <w:tblStyle w:val="Table"/>
        <w:tblW w:type="pct" w:w="4722.222222222222"/>
        <w:tblLook w:firstRow="1" w:lastRow="0" w:firstColumn="0" w:lastColumn="0" w:noHBand="0" w:noVBand="0" w:val="0020"/>
      </w:tblPr>
      <w:tblGrid>
        <w:gridCol w:w="770"/>
        <w:gridCol w:w="1870"/>
        <w:gridCol w:w="2420"/>
        <w:gridCol w:w="1210"/>
        <w:gridCol w:w="1210"/>
      </w:tblGrid>
      <w:tr>
        <w:tc>
          <w:p>
            <w:pPr>
              <w:pStyle w:val="Compact"/>
              <w:jc w:val="center"/>
            </w:pPr>
            <w:r>
              <w:t xml:space="preserve">Year</w:t>
            </w:r>
          </w:p>
        </w:tc>
        <w:tc>
          <w:p>
            <w:pPr>
              <w:pStyle w:val="Compact"/>
              <w:jc w:val="center"/>
            </w:pPr>
            <w:r>
              <w:t xml:space="preserve">Americas.Other</w:t>
            </w:r>
          </w:p>
        </w:tc>
        <w:tc>
          <w:p>
            <w:pPr>
              <w:pStyle w:val="Compact"/>
              <w:jc w:val="center"/>
            </w:pPr>
            <w:r>
              <w:t xml:space="preserve">Asia.Oceania.Africa</w:t>
            </w:r>
          </w:p>
        </w:tc>
        <w:tc>
          <w:p>
            <w:pPr>
              <w:pStyle w:val="Compact"/>
              <w:jc w:val="center"/>
            </w:pPr>
            <w:r>
              <w:t xml:space="preserve">Europe</w:t>
            </w:r>
          </w:p>
        </w:tc>
        <w:tc>
          <w:p>
            <w:pPr>
              <w:pStyle w:val="Compact"/>
              <w:jc w:val="center"/>
            </w:pPr>
            <w:r>
              <w:t xml:space="preserve">US</w:t>
            </w:r>
          </w:p>
        </w:tc>
      </w:tr>
      <w:tr>
        <w:tc>
          <w:p>
            <w:pPr>
              <w:pStyle w:val="Compact"/>
              <w:jc w:val="center"/>
            </w:pPr>
            <w:r>
              <w:t xml:space="preserve">2010</w:t>
            </w:r>
          </w:p>
        </w:tc>
        <w:tc>
          <w:p>
            <w:pPr>
              <w:pStyle w:val="Compact"/>
              <w:jc w:val="center"/>
            </w:pPr>
            <w:r>
              <w:t xml:space="preserve">$42,082</w:t>
            </w:r>
          </w:p>
        </w:tc>
        <w:tc>
          <w:p>
            <w:pPr>
              <w:pStyle w:val="Compact"/>
              <w:jc w:val="center"/>
            </w:pPr>
            <w:r>
              <w:t xml:space="preserve">$110,955</w:t>
            </w:r>
          </w:p>
        </w:tc>
        <w:tc>
          <w:p>
            <w:pPr>
              <w:pStyle w:val="Compact"/>
              <w:jc w:val="center"/>
            </w:pPr>
            <w:r>
              <w:t xml:space="preserve">$137,359</w:t>
            </w:r>
          </w:p>
        </w:tc>
        <w:tc>
          <w:p>
            <w:pPr>
              <w:pStyle w:val="Compact"/>
              <w:jc w:val="center"/>
            </w:pPr>
            <w:r>
              <w:t xml:space="preserve">$77,660</w:t>
            </w:r>
          </w:p>
        </w:tc>
      </w:tr>
      <w:tr>
        <w:tc>
          <w:p>
            <w:pPr>
              <w:pStyle w:val="Compact"/>
              <w:jc w:val="center"/>
            </w:pPr>
            <w:r>
              <w:t xml:space="preserve">2011</w:t>
            </w:r>
          </w:p>
        </w:tc>
        <w:tc>
          <w:p>
            <w:pPr>
              <w:pStyle w:val="Compact"/>
              <w:jc w:val="center"/>
            </w:pPr>
            <w:r>
              <w:t xml:space="preserve">$42,467</w:t>
            </w:r>
          </w:p>
        </w:tc>
        <w:tc>
          <w:p>
            <w:pPr>
              <w:pStyle w:val="Compact"/>
              <w:jc w:val="center"/>
            </w:pPr>
            <w:r>
              <w:t xml:space="preserve">$148,260</w:t>
            </w:r>
          </w:p>
        </w:tc>
        <w:tc>
          <w:p>
            <w:pPr>
              <w:pStyle w:val="Compact"/>
              <w:jc w:val="center"/>
            </w:pPr>
            <w:r>
              <w:t xml:space="preserve">$187,498</w:t>
            </w:r>
          </w:p>
        </w:tc>
        <w:tc>
          <w:p>
            <w:pPr>
              <w:pStyle w:val="Compact"/>
              <w:jc w:val="center"/>
            </w:pPr>
            <w:r>
              <w:t xml:space="preserve">$91,946</w:t>
            </w:r>
          </w:p>
        </w:tc>
      </w:tr>
      <w:tr>
        <w:tc>
          <w:p>
            <w:pPr>
              <w:pStyle w:val="Compact"/>
              <w:jc w:val="center"/>
            </w:pPr>
            <w:r>
              <w:t xml:space="preserve">2012</w:t>
            </w:r>
          </w:p>
        </w:tc>
        <w:tc>
          <w:p>
            <w:pPr>
              <w:pStyle w:val="Compact"/>
              <w:jc w:val="center"/>
            </w:pPr>
            <w:r>
              <w:t xml:space="preserve">$35,049</w:t>
            </w:r>
          </w:p>
        </w:tc>
        <w:tc>
          <w:p>
            <w:pPr>
              <w:pStyle w:val="Compact"/>
              <w:jc w:val="center"/>
            </w:pPr>
            <w:r>
              <w:t xml:space="preserve">$156,310</w:t>
            </w:r>
          </w:p>
        </w:tc>
        <w:tc>
          <w:p>
            <w:pPr>
              <w:pStyle w:val="Compact"/>
              <w:jc w:val="center"/>
            </w:pPr>
            <w:r>
              <w:t xml:space="preserve">$184,223</w:t>
            </w:r>
          </w:p>
        </w:tc>
        <w:tc>
          <w:p>
            <w:pPr>
              <w:pStyle w:val="Compact"/>
              <w:jc w:val="center"/>
            </w:pPr>
            <w:r>
              <w:t xml:space="preserve">$91,571</w:t>
            </w:r>
          </w:p>
        </w:tc>
      </w:tr>
      <w:tr>
        <w:tc>
          <w:p>
            <w:pPr>
              <w:pStyle w:val="Compact"/>
              <w:jc w:val="center"/>
            </w:pPr>
            <w:r>
              <w:t xml:space="preserve">2013</w:t>
            </w:r>
          </w:p>
        </w:tc>
        <w:tc>
          <w:p>
            <w:pPr>
              <w:pStyle w:val="Compact"/>
              <w:jc w:val="center"/>
            </w:pPr>
            <w:r>
              <w:t xml:space="preserve">$45,426</w:t>
            </w:r>
          </w:p>
        </w:tc>
        <w:tc>
          <w:p>
            <w:pPr>
              <w:pStyle w:val="Compact"/>
              <w:jc w:val="center"/>
            </w:pPr>
            <w:r>
              <w:t xml:space="preserve">$157,673</w:t>
            </w:r>
          </w:p>
        </w:tc>
        <w:tc>
          <w:p>
            <w:pPr>
              <w:pStyle w:val="Compact"/>
              <w:jc w:val="center"/>
            </w:pPr>
            <w:r>
              <w:t xml:space="preserve">$175,584</w:t>
            </w:r>
          </w:p>
        </w:tc>
        <w:tc>
          <w:p>
            <w:pPr>
              <w:pStyle w:val="Compact"/>
              <w:jc w:val="center"/>
            </w:pPr>
            <w:r>
              <w:t xml:space="preserve">$72,552</w:t>
            </w:r>
          </w:p>
        </w:tc>
      </w:tr>
      <w:tr>
        <w:tc>
          <w:p>
            <w:pPr>
              <w:pStyle w:val="Compact"/>
              <w:jc w:val="center"/>
            </w:pPr>
            <w:r>
              <w:t xml:space="preserve">2014</w:t>
            </w:r>
          </w:p>
        </w:tc>
        <w:tc>
          <w:p>
            <w:pPr>
              <w:pStyle w:val="Compact"/>
              <w:jc w:val="center"/>
            </w:pPr>
            <w:r>
              <w:t xml:space="preserve">$45,714</w:t>
            </w:r>
          </w:p>
        </w:tc>
        <w:tc>
          <w:p>
            <w:pPr>
              <w:pStyle w:val="Compact"/>
              <w:jc w:val="center"/>
            </w:pPr>
            <w:r>
              <w:t xml:space="preserve">$149,869</w:t>
            </w:r>
          </w:p>
        </w:tc>
        <w:tc>
          <w:p>
            <w:pPr>
              <w:pStyle w:val="Compact"/>
              <w:jc w:val="center"/>
            </w:pPr>
            <w:r>
              <w:t xml:space="preserve">$154,709</w:t>
            </w:r>
          </w:p>
        </w:tc>
        <w:tc>
          <w:p>
            <w:pPr>
              <w:pStyle w:val="Compact"/>
              <w:jc w:val="center"/>
            </w:pPr>
            <w:r>
              <w:t xml:space="preserve">$70,813</w:t>
            </w:r>
          </w:p>
        </w:tc>
      </w:tr>
      <w:tr>
        <w:tc>
          <w:p>
            <w:pPr>
              <w:pStyle w:val="Compact"/>
              <w:jc w:val="center"/>
            </w:pPr>
            <w:r>
              <w:t xml:space="preserve">2015</w:t>
            </w:r>
          </w:p>
        </w:tc>
        <w:tc>
          <w:p>
            <w:pPr>
              <w:pStyle w:val="Compact"/>
              <w:jc w:val="center"/>
            </w:pPr>
            <w:r>
              <w:t xml:space="preserve">$23,179</w:t>
            </w:r>
          </w:p>
        </w:tc>
        <w:tc>
          <w:p>
            <w:pPr>
              <w:pStyle w:val="Compact"/>
              <w:jc w:val="center"/>
            </w:pPr>
            <w:r>
              <w:t xml:space="preserve">$95,892</w:t>
            </w:r>
          </w:p>
        </w:tc>
        <w:tc>
          <w:p>
            <w:pPr>
              <w:pStyle w:val="Compact"/>
              <w:jc w:val="center"/>
            </w:pPr>
            <w:r>
              <w:t xml:space="preserve">$95,223</w:t>
            </w:r>
          </w:p>
        </w:tc>
        <w:tc>
          <w:p>
            <w:pPr>
              <w:pStyle w:val="Compact"/>
              <w:jc w:val="center"/>
            </w:pPr>
            <w:r>
              <w:t xml:space="preserve">$50,666</w:t>
            </w:r>
          </w:p>
        </w:tc>
      </w:tr>
      <w:tr>
        <w:tc>
          <w:p>
            <w:pPr>
              <w:pStyle w:val="Compact"/>
              <w:jc w:val="center"/>
            </w:pPr>
            <w:r>
              <w:t xml:space="preserve">2016</w:t>
            </w:r>
          </w:p>
        </w:tc>
        <w:tc>
          <w:p>
            <w:pPr>
              <w:pStyle w:val="Compact"/>
              <w:jc w:val="center"/>
            </w:pPr>
            <w:r>
              <w:t xml:space="preserve">$19,768</w:t>
            </w:r>
          </w:p>
        </w:tc>
        <w:tc>
          <w:p>
            <w:pPr>
              <w:pStyle w:val="Compact"/>
              <w:jc w:val="center"/>
            </w:pPr>
            <w:r>
              <w:t xml:space="preserve">$83,103</w:t>
            </w:r>
          </w:p>
        </w:tc>
        <w:tc>
          <w:p>
            <w:pPr>
              <w:pStyle w:val="Compact"/>
              <w:jc w:val="center"/>
            </w:pPr>
            <w:r>
              <w:t xml:space="preserve">$81,573</w:t>
            </w:r>
          </w:p>
        </w:tc>
        <w:tc>
          <w:p>
            <w:pPr>
              <w:pStyle w:val="Compact"/>
              <w:jc w:val="center"/>
            </w:pPr>
            <w:r>
              <w:t xml:space="preserve">$49,147</w:t>
            </w:r>
          </w:p>
        </w:tc>
      </w:tr>
      <w:tr>
        <w:tc>
          <w:p>
            <w:pPr>
              <w:pStyle w:val="Compact"/>
              <w:jc w:val="center"/>
            </w:pPr>
            <w:r>
              <w:t xml:space="preserve">2017</w:t>
            </w:r>
          </w:p>
        </w:tc>
        <w:tc>
          <w:p>
            <w:pPr>
              <w:pStyle w:val="Compact"/>
              <w:jc w:val="center"/>
            </w:pPr>
            <w:r>
              <w:t xml:space="preserve">$23,033</w:t>
            </w:r>
          </w:p>
        </w:tc>
        <w:tc>
          <w:p>
            <w:pPr>
              <w:pStyle w:val="Compact"/>
              <w:jc w:val="center"/>
            </w:pPr>
            <w:r>
              <w:t xml:space="preserve">$114,683</w:t>
            </w:r>
          </w:p>
        </w:tc>
        <w:tc>
          <w:p>
            <w:pPr>
              <w:pStyle w:val="Compact"/>
              <w:jc w:val="center"/>
            </w:pPr>
            <w:r>
              <w:t xml:space="preserve">$100,609</w:t>
            </w:r>
          </w:p>
        </w:tc>
        <w:tc>
          <w:p>
            <w:pPr>
              <w:pStyle w:val="Compact"/>
              <w:jc w:val="center"/>
            </w:pPr>
            <w:r>
              <w:t xml:space="preserve">$66,854</w:t>
            </w:r>
          </w:p>
        </w:tc>
      </w:tr>
      <w:tr>
        <w:tc>
          <w:p>
            <w:pPr>
              <w:pStyle w:val="Compact"/>
              <w:jc w:val="center"/>
            </w:pPr>
            <w:r>
              <w:t xml:space="preserve">2018</w:t>
            </w:r>
          </w:p>
        </w:tc>
        <w:tc>
          <w:p>
            <w:pPr>
              <w:pStyle w:val="Compact"/>
              <w:jc w:val="center"/>
            </w:pPr>
            <w:r>
              <w:t xml:space="preserve">$25,827</w:t>
            </w:r>
          </w:p>
        </w:tc>
        <w:tc>
          <w:p>
            <w:pPr>
              <w:pStyle w:val="Compact"/>
              <w:jc w:val="center"/>
            </w:pPr>
            <w:r>
              <w:t xml:space="preserve">$153,716</w:t>
            </w:r>
          </w:p>
        </w:tc>
        <w:tc>
          <w:p>
            <w:pPr>
              <w:pStyle w:val="Compact"/>
              <w:jc w:val="center"/>
            </w:pPr>
            <w:r>
              <w:t xml:space="preserve">$118,960</w:t>
            </w:r>
          </w:p>
        </w:tc>
        <w:tc>
          <w:p>
            <w:pPr>
              <w:pStyle w:val="Compact"/>
              <w:jc w:val="center"/>
            </w:pPr>
            <w:r>
              <w:t xml:space="preserve">$89,876</w:t>
            </w:r>
          </w:p>
        </w:tc>
      </w:tr>
      <w:tr>
        <w:tc>
          <w:p>
            <w:pPr>
              <w:pStyle w:val="Compact"/>
              <w:jc w:val="center"/>
            </w:pPr>
            <w:r>
              <w:t xml:space="preserve">2019</w:t>
            </w:r>
          </w:p>
        </w:tc>
        <w:tc>
          <w:p>
            <w:pPr>
              <w:pStyle w:val="Compact"/>
              <w:jc w:val="center"/>
            </w:pPr>
            <w:r>
              <w:t xml:space="preserve">$23,294</w:t>
            </w:r>
          </w:p>
        </w:tc>
        <w:tc>
          <w:p>
            <w:pPr>
              <w:pStyle w:val="Compact"/>
              <w:jc w:val="center"/>
            </w:pPr>
            <w:r>
              <w:t xml:space="preserve">$139,916</w:t>
            </w:r>
          </w:p>
        </w:tc>
        <w:tc>
          <w:p>
            <w:pPr>
              <w:pStyle w:val="Compact"/>
              <w:jc w:val="center"/>
            </w:pPr>
            <w:r>
              <w:t xml:space="preserve">$98,455</w:t>
            </w:r>
          </w:p>
        </w:tc>
        <w:tc>
          <w:p>
            <w:pPr>
              <w:pStyle w:val="Compact"/>
              <w:jc w:val="center"/>
            </w:pPr>
            <w:r>
              <w:t xml:space="preserve">$83,212</w:t>
            </w:r>
          </w:p>
        </w:tc>
      </w:tr>
    </w:tbl>
    <w:p>
      <w:pPr>
        <w:pStyle w:val="BodyText"/>
      </w:pPr>
    </w:p>
    <w:bookmarkEnd w:id="20"/>
    <w:bookmarkStart w:id="21" w:name="objectives"/>
    <w:p>
      <w:pPr>
        <w:pStyle w:val="Heading4"/>
      </w:pPr>
      <w:r>
        <w:t xml:space="preserve">Objectives</w:t>
      </w:r>
    </w:p>
    <w:p>
      <w:pPr>
        <w:pStyle w:val="FirstParagraph"/>
      </w:pPr>
      <w:r>
        <w:t xml:space="preserve">This report will cover the major macroeconomic indicators and how they impact Royal Dutch Shell. An analysis of specific measures to mitigate this risk will be compared with the goal of maximizing revenues. By evaluating the sensitivity, or elasticity, of these indicators, Royal Dutch shell will be able to quantify the risks of a changing macroeconomy. Using these elasticities, a strategy to mitigate these risks will be developed.</w:t>
      </w:r>
    </w:p>
    <w:bookmarkEnd w:id="21"/>
    <w:bookmarkStart w:id="26" w:name="literature-review"/>
    <w:p>
      <w:pPr>
        <w:pStyle w:val="Heading2"/>
      </w:pPr>
      <w:r>
        <w:t xml:space="preserve">Literature Review</w:t>
      </w:r>
    </w:p>
    <w:bookmarkStart w:id="22" w:name="X60e632af8ad95bc2206a534b11dbcc6702d9fec"/>
    <w:p>
      <w:pPr>
        <w:pStyle w:val="Heading4"/>
      </w:pPr>
      <w:r>
        <w:t xml:space="preserve">Determinants of price of oil and natural gas.</w:t>
      </w:r>
    </w:p>
    <w:bookmarkEnd w:id="22"/>
    <w:bookmarkStart w:id="23" w:name="X531c9bbd28edca86ab448502f905e0cb8d19031"/>
    <w:p>
      <w:pPr>
        <w:pStyle w:val="Heading4"/>
      </w:pPr>
      <w:r>
        <w:t xml:space="preserve">Correlation of price of oil/LNG with macroeconomic indicators.</w:t>
      </w:r>
    </w:p>
    <w:bookmarkEnd w:id="23"/>
    <w:bookmarkStart w:id="24" w:name="X79907107ae1d23e1028e338008cd2975e9fa9f9"/>
    <w:p>
      <w:pPr>
        <w:pStyle w:val="Heading4"/>
      </w:pPr>
      <w:r>
        <w:t xml:space="preserve">Limiting exchange rate risk of international corporations.</w:t>
      </w:r>
    </w:p>
    <w:bookmarkEnd w:id="24"/>
    <w:bookmarkStart w:id="25" w:name="Xc3b986e2324bf9a97597db428933cd04280f01b"/>
    <w:p>
      <w:pPr>
        <w:pStyle w:val="Heading4"/>
      </w:pPr>
      <w:r>
        <w:t xml:space="preserve">Microeconomics of Fossil Fuel industry to maximize revenues.</w:t>
      </w:r>
    </w:p>
    <w:bookmarkEnd w:id="25"/>
    <w:bookmarkEnd w:id="26"/>
    <w:bookmarkStart w:id="36" w:name="method-of-analysis"/>
    <w:p>
      <w:pPr>
        <w:pStyle w:val="Heading2"/>
      </w:pPr>
      <w:r>
        <w:t xml:space="preserve">Method of Analysis</w:t>
      </w:r>
    </w:p>
    <w:bookmarkStart w:id="27" w:name="scope"/>
    <w:p>
      <w:pPr>
        <w:pStyle w:val="Heading4"/>
      </w:pPr>
      <w:r>
        <w:t xml:space="preserve">Scope</w:t>
      </w:r>
    </w:p>
    <w:p>
      <w:pPr>
        <w:pStyle w:val="FirstParagraph"/>
      </w:pPr>
      <w:r>
        <w:t xml:space="preserve">By means of a log-log model with regional revenues as the dependent variable and macroeconomics indicators as the independent variables, the elasticities of each of these indicators can be evaluated. However, given that available revenue data only trace back to 2004, this approach is severely limited in the vigor necessary for some of the claims that must be met. As such, a laxed approach must be considered as long as the empirical results do not counter economic theory.</w:t>
      </w:r>
    </w:p>
    <w:p>
      <w:pPr>
        <w:pStyle w:val="BodyText"/>
      </w:pPr>
      <w:r>
        <w:t xml:space="preserve">The evaluated elasticities enable the ability to determine which macroeconomic variables impact revenues the greatest. Knowing these sensitivies will indicate where to allocate resources to hedge this risk.</w:t>
      </w:r>
    </w:p>
    <w:bookmarkEnd w:id="27"/>
    <w:bookmarkStart w:id="28" w:name="log-log-model-evaluation"/>
    <w:p>
      <w:pPr>
        <w:pStyle w:val="Heading4"/>
      </w:pPr>
      <w:r>
        <w:t xml:space="preserve">Log-Log model evaluation</w:t>
      </w:r>
    </w:p>
    <w:p>
      <w:pPr>
        <w:pStyle w:val="FirstParagraph"/>
      </w:pPr>
      <w:r>
        <w:t xml:space="preserve">The following tables are the output of this model for each region. The</w:t>
      </w:r>
      <w:r>
        <w:t xml:space="preserve"> </w:t>
      </w:r>
      <w:r>
        <w:t xml:space="preserve">“</w:t>
      </w:r>
      <w:r>
        <w:t xml:space="preserve">dlog()</w:t>
      </w:r>
      <w:r>
        <w:t xml:space="preserve">”</w:t>
      </w:r>
      <w:r>
        <w:t xml:space="preserve"> </w:t>
      </w:r>
      <w:r>
        <w:t xml:space="preserve">encapsulating each variable is a function that returns the first difference of the natural log of the variable.</w:t>
      </w:r>
    </w:p>
    <w:bookmarkEnd w:id="28"/>
    <w:bookmarkStart w:id="29" w:name="asiaoceaniaafrica"/>
    <w:p>
      <w:pPr>
        <w:pStyle w:val="Heading4"/>
      </w:pPr>
      <w:r>
        <w:t xml:space="preserve">Asia/Oceania/Africa:</w:t>
      </w:r>
    </w:p>
    <w:p>
      <w:pPr>
        <w:pStyle w:val="TableCaption"/>
      </w:pPr>
      <w:r>
        <w:t xml:space="preserve">Asia/Oceania/Africa Log-Log Model.</w:t>
      </w:r>
    </w:p>
    <w:tbl>
      <w:tblPr>
        <w:tblStyle w:val="Table"/>
        <w:tblW w:type="pct" w:w="0.0"/>
        <w:tblLook w:firstRow="1" w:lastRow="0" w:firstColumn="0" w:lastColumn="0" w:noHBand="0" w:noVBand="0" w:val="0020"/>
        <w:tblCaption w:val="Asia/Oceania/Africa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-0.35</w:t>
            </w:r>
          </w:p>
        </w:tc>
        <w:tc>
          <w:p>
            <w:pPr>
              <w:pStyle w:val="Compact"/>
              <w:jc w:val="right"/>
            </w:pPr>
            <w:r>
              <w:t xml:space="preserve">0.17</w:t>
            </w:r>
          </w:p>
        </w:tc>
        <w:tc>
          <w:p>
            <w:pPr>
              <w:pStyle w:val="Compact"/>
              <w:jc w:val="right"/>
            </w:pPr>
            <w:r>
              <w:t xml:space="preserve">-1.99</w:t>
            </w:r>
          </w:p>
        </w:tc>
        <w:tc>
          <w:p>
            <w:pPr>
              <w:pStyle w:val="Compact"/>
              <w:jc w:val="right"/>
            </w:pPr>
            <w:r>
              <w:t xml:space="preserve">0.10</w:t>
            </w:r>
          </w:p>
        </w:tc>
      </w:tr>
      <w:tr>
        <w:tc>
          <w:p>
            <w:pPr>
              <w:pStyle w:val="Compact"/>
              <w:jc w:val="left"/>
            </w:pPr>
            <w:r>
              <w:t xml:space="preserve">dlog(consumption)</w:t>
            </w:r>
          </w:p>
        </w:tc>
        <w:tc>
          <w:p>
            <w:pPr>
              <w:pStyle w:val="Compact"/>
              <w:jc w:val="right"/>
            </w:pPr>
            <w:r>
              <w:t xml:space="preserve">6.23</w:t>
            </w:r>
          </w:p>
        </w:tc>
        <w:tc>
          <w:p>
            <w:pPr>
              <w:pStyle w:val="Compact"/>
              <w:jc w:val="right"/>
            </w:pPr>
            <w:r>
              <w:t xml:space="preserve">5.24</w:t>
            </w:r>
          </w:p>
        </w:tc>
        <w:tc>
          <w:p>
            <w:pPr>
              <w:pStyle w:val="Compact"/>
              <w:jc w:val="right"/>
            </w:pPr>
            <w:r>
              <w:t xml:space="preserve">1.19</w:t>
            </w:r>
          </w:p>
        </w:tc>
        <w:tc>
          <w:p>
            <w:pPr>
              <w:pStyle w:val="Compact"/>
              <w:jc w:val="right"/>
            </w:pPr>
            <w:r>
              <w:t xml:space="preserve">0.29</w:t>
            </w:r>
          </w:p>
        </w:tc>
      </w:tr>
      <w:tr>
        <w:tc>
          <w:p>
            <w:pPr>
              <w:pStyle w:val="Compact"/>
              <w:jc w:val="left"/>
            </w:pPr>
            <w:r>
              <w:t xml:space="preserve">dlog(gdp)</w:t>
            </w:r>
          </w:p>
        </w:tc>
        <w:tc>
          <w:p>
            <w:pPr>
              <w:pStyle w:val="Compact"/>
              <w:jc w:val="right"/>
            </w:pPr>
            <w:r>
              <w:t xml:space="preserve">6.14</w:t>
            </w:r>
          </w:p>
        </w:tc>
        <w:tc>
          <w:p>
            <w:pPr>
              <w:pStyle w:val="Compact"/>
              <w:jc w:val="right"/>
            </w:pPr>
            <w:r>
              <w:t xml:space="preserve">5.00</w:t>
            </w:r>
          </w:p>
        </w:tc>
        <w:tc>
          <w:p>
            <w:pPr>
              <w:pStyle w:val="Compact"/>
              <w:jc w:val="right"/>
            </w:pPr>
            <w:r>
              <w:t xml:space="preserve">1.23</w:t>
            </w:r>
          </w:p>
        </w:tc>
        <w:tc>
          <w:p>
            <w:pPr>
              <w:pStyle w:val="Compact"/>
              <w:jc w:val="right"/>
            </w:pPr>
            <w:r>
              <w:t xml:space="preserve">0.27</w:t>
            </w:r>
          </w:p>
        </w:tc>
      </w:tr>
      <w:tr>
        <w:tc>
          <w:p>
            <w:pPr>
              <w:pStyle w:val="Compact"/>
              <w:jc w:val="left"/>
            </w:pPr>
            <w:r>
              <w:t xml:space="preserve">dlog(indust.production)</w:t>
            </w:r>
          </w:p>
        </w:tc>
        <w:tc>
          <w:p>
            <w:pPr>
              <w:pStyle w:val="Compact"/>
              <w:jc w:val="right"/>
            </w:pPr>
            <w:r>
              <w:t xml:space="preserve">-3.56</w:t>
            </w:r>
          </w:p>
        </w:tc>
        <w:tc>
          <w:p>
            <w:pPr>
              <w:pStyle w:val="Compact"/>
              <w:jc w:val="right"/>
            </w:pPr>
            <w:r>
              <w:t xml:space="preserve">1.98</w:t>
            </w:r>
          </w:p>
        </w:tc>
        <w:tc>
          <w:p>
            <w:pPr>
              <w:pStyle w:val="Compact"/>
              <w:jc w:val="right"/>
            </w:pPr>
            <w:r>
              <w:t xml:space="preserve">-1.80</w:t>
            </w:r>
          </w:p>
        </w:tc>
        <w:tc>
          <w:p>
            <w:pPr>
              <w:pStyle w:val="Compact"/>
              <w:jc w:val="right"/>
            </w:pPr>
            <w:r>
              <w:t xml:space="preserve">0.13</w:t>
            </w:r>
          </w:p>
        </w:tc>
      </w:tr>
      <w:tr>
        <w:tc>
          <w:p>
            <w:pPr>
              <w:pStyle w:val="Compact"/>
              <w:jc w:val="left"/>
            </w:pPr>
            <w:r>
              <w:t xml:space="preserve">dlog(cpi)</w:t>
            </w:r>
          </w:p>
        </w:tc>
        <w:tc>
          <w:p>
            <w:pPr>
              <w:pStyle w:val="Compact"/>
              <w:jc w:val="right"/>
            </w:pPr>
            <w:r>
              <w:t xml:space="preserve">-0.05</w:t>
            </w:r>
          </w:p>
        </w:tc>
        <w:tc>
          <w:p>
            <w:pPr>
              <w:pStyle w:val="Compact"/>
              <w:jc w:val="right"/>
            </w:pPr>
            <w:r>
              <w:t xml:space="preserve">0.33</w:t>
            </w:r>
          </w:p>
        </w:tc>
        <w:tc>
          <w:p>
            <w:pPr>
              <w:pStyle w:val="Compact"/>
              <w:jc w:val="right"/>
            </w:pPr>
            <w:r>
              <w:t xml:space="preserve">-0.16</w:t>
            </w:r>
          </w:p>
        </w:tc>
        <w:tc>
          <w:p>
            <w:pPr>
              <w:pStyle w:val="Compact"/>
              <w:jc w:val="right"/>
            </w:pPr>
            <w:r>
              <w:t xml:space="preserve">0.88</w:t>
            </w:r>
          </w:p>
        </w:tc>
      </w:tr>
      <w:tr>
        <w:tc>
          <w:p>
            <w:pPr>
              <w:pStyle w:val="Compact"/>
              <w:jc w:val="left"/>
            </w:pPr>
            <w:r>
              <w:t xml:space="preserve">diff(interest.nom)</w:t>
            </w:r>
          </w:p>
        </w:tc>
        <w:tc>
          <w:p>
            <w:pPr>
              <w:pStyle w:val="Compact"/>
              <w:jc w:val="right"/>
            </w:pPr>
            <w:r>
              <w:t xml:space="preserve">-0.02</w:t>
            </w:r>
          </w:p>
        </w:tc>
        <w:tc>
          <w:p>
            <w:pPr>
              <w:pStyle w:val="Compact"/>
              <w:jc w:val="right"/>
            </w:pPr>
            <w:r>
              <w:t xml:space="preserve">0.03</w:t>
            </w:r>
          </w:p>
        </w:tc>
        <w:tc>
          <w:p>
            <w:pPr>
              <w:pStyle w:val="Compact"/>
              <w:jc w:val="right"/>
            </w:pPr>
            <w:r>
              <w:t xml:space="preserve">-0.85</w:t>
            </w:r>
          </w:p>
        </w:tc>
        <w:tc>
          <w:p>
            <w:pPr>
              <w:pStyle w:val="Compact"/>
              <w:jc w:val="right"/>
            </w:pPr>
            <w:r>
              <w:t xml:space="preserve">0.44</w:t>
            </w:r>
          </w:p>
        </w:tc>
      </w:tr>
      <w:tr>
        <w:tc>
          <w:p>
            <w:pPr>
              <w:pStyle w:val="Compact"/>
              <w:jc w:val="left"/>
            </w:pPr>
            <w:r>
              <w:t xml:space="preserve">dlog(oil.price)</w:t>
            </w:r>
          </w:p>
        </w:tc>
        <w:tc>
          <w:p>
            <w:pPr>
              <w:pStyle w:val="Compact"/>
              <w:jc w:val="right"/>
            </w:pPr>
            <w:r>
              <w:t xml:space="preserve">0.71</w:t>
            </w:r>
          </w:p>
        </w:tc>
        <w:tc>
          <w:p>
            <w:pPr>
              <w:pStyle w:val="Compact"/>
              <w:jc w:val="right"/>
            </w:pPr>
            <w:r>
              <w:t xml:space="preserve">0.13</w:t>
            </w:r>
          </w:p>
        </w:tc>
        <w:tc>
          <w:p>
            <w:pPr>
              <w:pStyle w:val="Compact"/>
              <w:jc w:val="right"/>
            </w:pPr>
            <w:r>
              <w:t xml:space="preserve">5.53</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-0.52</w:t>
            </w:r>
          </w:p>
        </w:tc>
        <w:tc>
          <w:p>
            <w:pPr>
              <w:pStyle w:val="Compact"/>
              <w:jc w:val="right"/>
            </w:pPr>
            <w:r>
              <w:t xml:space="preserve">0.47</w:t>
            </w:r>
          </w:p>
        </w:tc>
        <w:tc>
          <w:p>
            <w:pPr>
              <w:pStyle w:val="Compact"/>
              <w:jc w:val="right"/>
            </w:pPr>
            <w:r>
              <w:t xml:space="preserve">-1.10</w:t>
            </w:r>
          </w:p>
        </w:tc>
        <w:tc>
          <w:p>
            <w:pPr>
              <w:pStyle w:val="Compact"/>
              <w:jc w:val="right"/>
            </w:pPr>
            <w:r>
              <w:t xml:space="preserve">0.32</w:t>
            </w:r>
          </w:p>
        </w:tc>
      </w:tr>
      <w:tr>
        <w:tc>
          <w:p>
            <w:pPr>
              <w:pStyle w:val="Compact"/>
              <w:jc w:val="left"/>
            </w:pPr>
            <w:r>
              <w:t xml:space="preserve">dlog(exchange.rate.index)</w:t>
            </w:r>
          </w:p>
        </w:tc>
        <w:tc>
          <w:p>
            <w:pPr>
              <w:pStyle w:val="Compact"/>
              <w:jc w:val="right"/>
            </w:pPr>
            <w:r>
              <w:t xml:space="preserve">0.47</w:t>
            </w:r>
          </w:p>
        </w:tc>
        <w:tc>
          <w:p>
            <w:pPr>
              <w:pStyle w:val="Compact"/>
              <w:jc w:val="right"/>
            </w:pPr>
            <w:r>
              <w:t xml:space="preserve">0.82</w:t>
            </w:r>
          </w:p>
        </w:tc>
        <w:tc>
          <w:p>
            <w:pPr>
              <w:pStyle w:val="Compact"/>
              <w:jc w:val="right"/>
            </w:pPr>
            <w:r>
              <w:t xml:space="preserve">0.57</w:t>
            </w:r>
          </w:p>
        </w:tc>
        <w:tc>
          <w:p>
            <w:pPr>
              <w:pStyle w:val="Compact"/>
              <w:jc w:val="right"/>
            </w:pPr>
            <w:r>
              <w:t xml:space="preserve">0.60</w:t>
            </w:r>
          </w:p>
        </w:tc>
      </w:tr>
    </w:tbl>
    <w:p>
      <w:pPr>
        <w:pStyle w:val="BodyText"/>
      </w:pPr>
    </w:p>
    <w:bookmarkEnd w:id="29"/>
    <w:bookmarkStart w:id="30" w:name="europe"/>
    <w:p>
      <w:pPr>
        <w:pStyle w:val="Heading4"/>
      </w:pPr>
      <w:r>
        <w:t xml:space="preserve">Europe:</w:t>
      </w:r>
    </w:p>
    <w:p>
      <w:pPr>
        <w:pStyle w:val="TableCaption"/>
      </w:pPr>
      <w:r>
        <w:t xml:space="preserve">Europe Log-Log Model.</w:t>
      </w:r>
    </w:p>
    <w:tbl>
      <w:tblPr>
        <w:tblStyle w:val="Table"/>
        <w:tblW w:type="pct" w:w="0.0"/>
        <w:tblLook w:firstRow="1" w:lastRow="0" w:firstColumn="0" w:lastColumn="0" w:noHBand="0" w:noVBand="0" w:val="0020"/>
        <w:tblCaption w:val="Europe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0.04</w:t>
            </w:r>
          </w:p>
        </w:tc>
        <w:tc>
          <w:p>
            <w:pPr>
              <w:pStyle w:val="Compact"/>
              <w:jc w:val="right"/>
            </w:pPr>
            <w:r>
              <w:t xml:space="preserve">0.06</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0.23</w:t>
            </w:r>
          </w:p>
        </w:tc>
        <w:tc>
          <w:p>
            <w:pPr>
              <w:pStyle w:val="Compact"/>
              <w:jc w:val="right"/>
            </w:pPr>
            <w:r>
              <w:t xml:space="preserve">0.16</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30"/>
    <w:bookmarkStart w:id="31" w:name="united-states"/>
    <w:p>
      <w:pPr>
        <w:pStyle w:val="Heading4"/>
      </w:pPr>
      <w:r>
        <w:t xml:space="preserve">United States:</w:t>
      </w:r>
    </w:p>
    <w:p>
      <w:pPr>
        <w:pStyle w:val="TableCaption"/>
      </w:pPr>
      <w:r>
        <w:t xml:space="preserve">US Log-Log Model.</w:t>
      </w:r>
    </w:p>
    <w:tbl>
      <w:tblPr>
        <w:tblStyle w:val="Table"/>
        <w:tblW w:type="pct" w:w="0.0"/>
        <w:tblLook w:firstRow="1" w:lastRow="0" w:firstColumn="0" w:lastColumn="0" w:noHBand="0" w:noVBand="0" w:val="0020"/>
        <w:tblCaption w:val="U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-0.16</w:t>
            </w:r>
          </w:p>
        </w:tc>
        <w:tc>
          <w:p>
            <w:pPr>
              <w:pStyle w:val="Compact"/>
              <w:jc w:val="right"/>
            </w:pPr>
            <w:r>
              <w:t xml:space="preserve">0.31</w:t>
            </w:r>
          </w:p>
        </w:tc>
        <w:tc>
          <w:p>
            <w:pPr>
              <w:pStyle w:val="Compact"/>
              <w:jc w:val="right"/>
            </w:pPr>
            <w:r>
              <w:t xml:space="preserve">-0.51</w:t>
            </w:r>
          </w:p>
        </w:tc>
        <w:tc>
          <w:p>
            <w:pPr>
              <w:pStyle w:val="Compact"/>
              <w:jc w:val="right"/>
            </w:pPr>
            <w:r>
              <w:t xml:space="preserve">0.63</w:t>
            </w:r>
          </w:p>
        </w:tc>
      </w:tr>
      <w:tr>
        <w:tc>
          <w:p>
            <w:pPr>
              <w:pStyle w:val="Compact"/>
              <w:jc w:val="left"/>
            </w:pPr>
            <w:r>
              <w:t xml:space="preserve">dlog(consumption)</w:t>
            </w:r>
          </w:p>
        </w:tc>
        <w:tc>
          <w:p>
            <w:pPr>
              <w:pStyle w:val="Compact"/>
              <w:jc w:val="right"/>
            </w:pPr>
            <w:r>
              <w:t xml:space="preserve">9.92</w:t>
            </w:r>
          </w:p>
        </w:tc>
        <w:tc>
          <w:p>
            <w:pPr>
              <w:pStyle w:val="Compact"/>
              <w:jc w:val="right"/>
            </w:pPr>
            <w:r>
              <w:t xml:space="preserve">17.03</w:t>
            </w:r>
          </w:p>
        </w:tc>
        <w:tc>
          <w:p>
            <w:pPr>
              <w:pStyle w:val="Compact"/>
              <w:jc w:val="right"/>
            </w:pPr>
            <w:r>
              <w:t xml:space="preserve">0.58</w:t>
            </w:r>
          </w:p>
        </w:tc>
        <w:tc>
          <w:p>
            <w:pPr>
              <w:pStyle w:val="Compact"/>
              <w:jc w:val="right"/>
            </w:pPr>
            <w:r>
              <w:t xml:space="preserve">0.59</w:t>
            </w:r>
          </w:p>
        </w:tc>
      </w:tr>
      <w:tr>
        <w:tc>
          <w:p>
            <w:pPr>
              <w:pStyle w:val="Compact"/>
              <w:jc w:val="left"/>
            </w:pPr>
            <w:r>
              <w:t xml:space="preserve">dlog(gdp)</w:t>
            </w:r>
          </w:p>
        </w:tc>
        <w:tc>
          <w:p>
            <w:pPr>
              <w:pStyle w:val="Compact"/>
              <w:jc w:val="right"/>
            </w:pPr>
            <w:r>
              <w:t xml:space="preserve">0.60</w:t>
            </w:r>
          </w:p>
        </w:tc>
        <w:tc>
          <w:p>
            <w:pPr>
              <w:pStyle w:val="Compact"/>
              <w:jc w:val="right"/>
            </w:pPr>
            <w:r>
              <w:t xml:space="preserve">16.36</w:t>
            </w:r>
          </w:p>
        </w:tc>
        <w:tc>
          <w:p>
            <w:pPr>
              <w:pStyle w:val="Compact"/>
              <w:jc w:val="right"/>
            </w:pPr>
            <w:r>
              <w:t xml:space="preserve">0.04</w:t>
            </w:r>
          </w:p>
        </w:tc>
        <w:tc>
          <w:p>
            <w:pPr>
              <w:pStyle w:val="Compact"/>
              <w:jc w:val="right"/>
            </w:pPr>
            <w:r>
              <w:t xml:space="preserve">0.97</w:t>
            </w:r>
          </w:p>
        </w:tc>
      </w:tr>
      <w:tr>
        <w:tc>
          <w:p>
            <w:pPr>
              <w:pStyle w:val="Compact"/>
              <w:jc w:val="left"/>
            </w:pPr>
            <w:r>
              <w:t xml:space="preserve">dlog(indust.production)</w:t>
            </w:r>
          </w:p>
        </w:tc>
        <w:tc>
          <w:p>
            <w:pPr>
              <w:pStyle w:val="Compact"/>
              <w:jc w:val="right"/>
            </w:pPr>
            <w:r>
              <w:t xml:space="preserve">0.01</w:t>
            </w:r>
          </w:p>
        </w:tc>
        <w:tc>
          <w:p>
            <w:pPr>
              <w:pStyle w:val="Compact"/>
              <w:jc w:val="right"/>
            </w:pPr>
            <w:r>
              <w:t xml:space="preserve">1.97</w:t>
            </w:r>
          </w:p>
        </w:tc>
        <w:tc>
          <w:p>
            <w:pPr>
              <w:pStyle w:val="Compact"/>
              <w:jc w:val="right"/>
            </w:pPr>
            <w:r>
              <w:t xml:space="preserve">0.00</w:t>
            </w:r>
          </w:p>
        </w:tc>
        <w:tc>
          <w:p>
            <w:pPr>
              <w:pStyle w:val="Compact"/>
              <w:jc w:val="right"/>
            </w:pPr>
            <w:r>
              <w:t xml:space="preserve">1.00</w:t>
            </w:r>
          </w:p>
        </w:tc>
      </w:tr>
      <w:tr>
        <w:tc>
          <w:p>
            <w:pPr>
              <w:pStyle w:val="Compact"/>
              <w:jc w:val="left"/>
            </w:pPr>
            <w:r>
              <w:t xml:space="preserve">dlog(cpi)</w:t>
            </w:r>
          </w:p>
        </w:tc>
        <w:tc>
          <w:p>
            <w:pPr>
              <w:pStyle w:val="Compact"/>
              <w:jc w:val="right"/>
            </w:pPr>
            <w:r>
              <w:t xml:space="preserve">-3.37</w:t>
            </w:r>
          </w:p>
        </w:tc>
        <w:tc>
          <w:p>
            <w:pPr>
              <w:pStyle w:val="Compact"/>
              <w:jc w:val="right"/>
            </w:pPr>
            <w:r>
              <w:t xml:space="preserve">15.50</w:t>
            </w:r>
          </w:p>
        </w:tc>
        <w:tc>
          <w:p>
            <w:pPr>
              <w:pStyle w:val="Compact"/>
              <w:jc w:val="right"/>
            </w:pPr>
            <w:r>
              <w:t xml:space="preserve">-0.22</w:t>
            </w:r>
          </w:p>
        </w:tc>
        <w:tc>
          <w:p>
            <w:pPr>
              <w:pStyle w:val="Compact"/>
              <w:jc w:val="right"/>
            </w:pPr>
            <w:r>
              <w:t xml:space="preserve">0.84</w:t>
            </w:r>
          </w:p>
        </w:tc>
      </w:tr>
      <w:tr>
        <w:tc>
          <w:p>
            <w:pPr>
              <w:pStyle w:val="Compact"/>
              <w:jc w:val="left"/>
            </w:pPr>
            <w:r>
              <w:t xml:space="preserve">diff(interest.nom)</w:t>
            </w:r>
          </w:p>
        </w:tc>
        <w:tc>
          <w:p>
            <w:pPr>
              <w:pStyle w:val="Compact"/>
              <w:jc w:val="right"/>
            </w:pPr>
            <w:r>
              <w:t xml:space="preserve">-0.13</w:t>
            </w:r>
          </w:p>
        </w:tc>
        <w:tc>
          <w:p>
            <w:pPr>
              <w:pStyle w:val="Compact"/>
              <w:jc w:val="right"/>
            </w:pPr>
            <w:r>
              <w:t xml:space="preserve">0.08</w:t>
            </w:r>
          </w:p>
        </w:tc>
        <w:tc>
          <w:p>
            <w:pPr>
              <w:pStyle w:val="Compact"/>
              <w:jc w:val="right"/>
            </w:pPr>
            <w:r>
              <w:t xml:space="preserve">-1.69</w:t>
            </w:r>
          </w:p>
        </w:tc>
        <w:tc>
          <w:p>
            <w:pPr>
              <w:pStyle w:val="Compact"/>
              <w:jc w:val="right"/>
            </w:pPr>
            <w:r>
              <w:t xml:space="preserve">0.15</w:t>
            </w:r>
          </w:p>
        </w:tc>
      </w:tr>
      <w:tr>
        <w:tc>
          <w:p>
            <w:pPr>
              <w:pStyle w:val="Compact"/>
              <w:jc w:val="left"/>
            </w:pPr>
            <w:r>
              <w:t xml:space="preserve">dlog(oil.price)</w:t>
            </w:r>
          </w:p>
        </w:tc>
        <w:tc>
          <w:p>
            <w:pPr>
              <w:pStyle w:val="Compact"/>
              <w:jc w:val="right"/>
            </w:pPr>
            <w:r>
              <w:t xml:space="preserve">0.03</w:t>
            </w:r>
          </w:p>
        </w:tc>
        <w:tc>
          <w:p>
            <w:pPr>
              <w:pStyle w:val="Compact"/>
              <w:jc w:val="right"/>
            </w:pPr>
            <w:r>
              <w:t xml:space="preserve">0.06</w:t>
            </w:r>
          </w:p>
        </w:tc>
        <w:tc>
          <w:p>
            <w:pPr>
              <w:pStyle w:val="Compact"/>
              <w:jc w:val="right"/>
            </w:pPr>
            <w:r>
              <w:t xml:space="preserve">0.42</w:t>
            </w:r>
          </w:p>
        </w:tc>
        <w:tc>
          <w:p>
            <w:pPr>
              <w:pStyle w:val="Compact"/>
              <w:jc w:val="right"/>
            </w:pPr>
            <w:r>
              <w:t xml:space="preserve">0.69</w:t>
            </w:r>
          </w:p>
        </w:tc>
      </w:tr>
      <w:tr>
        <w:tc>
          <w:p>
            <w:pPr>
              <w:pStyle w:val="Compact"/>
              <w:jc w:val="left"/>
            </w:pPr>
            <w:r>
              <w:t xml:space="preserve">diff(unemployment.rate)</w:t>
            </w:r>
          </w:p>
        </w:tc>
        <w:tc>
          <w:p>
            <w:pPr>
              <w:pStyle w:val="Compact"/>
              <w:jc w:val="right"/>
            </w:pPr>
            <w:r>
              <w:t xml:space="preserve">-0.09</w:t>
            </w:r>
          </w:p>
        </w:tc>
        <w:tc>
          <w:p>
            <w:pPr>
              <w:pStyle w:val="Compact"/>
              <w:jc w:val="right"/>
            </w:pPr>
            <w:r>
              <w:t xml:space="preserve">0.17</w:t>
            </w:r>
          </w:p>
        </w:tc>
        <w:tc>
          <w:p>
            <w:pPr>
              <w:pStyle w:val="Compact"/>
              <w:jc w:val="right"/>
            </w:pPr>
            <w:r>
              <w:t xml:space="preserve">-0.50</w:t>
            </w:r>
          </w:p>
        </w:tc>
        <w:tc>
          <w:p>
            <w:pPr>
              <w:pStyle w:val="Compact"/>
              <w:jc w:val="right"/>
            </w:pPr>
            <w:r>
              <w:t xml:space="preserve">0.64</w:t>
            </w:r>
          </w:p>
        </w:tc>
      </w:tr>
      <w:tr>
        <w:tc>
          <w:p>
            <w:pPr>
              <w:pStyle w:val="Compact"/>
              <w:jc w:val="left"/>
            </w:pPr>
            <w:r>
              <w:t xml:space="preserve">dlog(exchange.rate.index)</w:t>
            </w:r>
          </w:p>
        </w:tc>
        <w:tc>
          <w:p>
            <w:pPr>
              <w:pStyle w:val="Compact"/>
              <w:jc w:val="right"/>
            </w:pPr>
            <w:r>
              <w:t xml:space="preserve">-4.18</w:t>
            </w:r>
          </w:p>
        </w:tc>
        <w:tc>
          <w:p>
            <w:pPr>
              <w:pStyle w:val="Compact"/>
              <w:jc w:val="right"/>
            </w:pPr>
            <w:r>
              <w:t xml:space="preserve">4.80</w:t>
            </w:r>
          </w:p>
        </w:tc>
        <w:tc>
          <w:p>
            <w:pPr>
              <w:pStyle w:val="Compact"/>
              <w:jc w:val="right"/>
            </w:pPr>
            <w:r>
              <w:t xml:space="preserve">-0.87</w:t>
            </w:r>
          </w:p>
        </w:tc>
        <w:tc>
          <w:p>
            <w:pPr>
              <w:pStyle w:val="Compact"/>
              <w:jc w:val="right"/>
            </w:pPr>
            <w:r>
              <w:t xml:space="preserve">0.42</w:t>
            </w:r>
          </w:p>
        </w:tc>
      </w:tr>
    </w:tbl>
    <w:p>
      <w:pPr>
        <w:pStyle w:val="BodyText"/>
      </w:pPr>
    </w:p>
    <w:bookmarkEnd w:id="31"/>
    <w:bookmarkStart w:id="32" w:name="other-americas"/>
    <w:p>
      <w:pPr>
        <w:pStyle w:val="Heading4"/>
      </w:pPr>
      <w:r>
        <w:t xml:space="preserve">Other Americas:</w:t>
      </w:r>
    </w:p>
    <w:p>
      <w:pPr>
        <w:pStyle w:val="TableCaption"/>
      </w:pPr>
      <w:r>
        <w:t xml:space="preserve">Other Americas Log-Log Model.</w:t>
      </w:r>
    </w:p>
    <w:tbl>
      <w:tblPr>
        <w:tblStyle w:val="Table"/>
        <w:tblW w:type="pct" w:w="0.0"/>
        <w:tblLook w:firstRow="1" w:lastRow="0" w:firstColumn="0" w:lastColumn="0" w:noHBand="0" w:noVBand="0" w:val="0020"/>
        <w:tblCaption w:val="Other America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0.04</w:t>
            </w:r>
          </w:p>
        </w:tc>
        <w:tc>
          <w:p>
            <w:pPr>
              <w:pStyle w:val="Compact"/>
              <w:jc w:val="right"/>
            </w:pPr>
            <w:r>
              <w:t xml:space="preserve">0.06</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0.23</w:t>
            </w:r>
          </w:p>
        </w:tc>
        <w:tc>
          <w:p>
            <w:pPr>
              <w:pStyle w:val="Compact"/>
              <w:jc w:val="right"/>
            </w:pPr>
            <w:r>
              <w:t xml:space="preserve">0.16</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32"/>
    <w:bookmarkStart w:id="33" w:name="hedging-risk-of-elasticities"/>
    <w:p>
      <w:pPr>
        <w:pStyle w:val="Heading4"/>
      </w:pPr>
      <w:r>
        <w:t xml:space="preserve">Hedging risk of elasticities</w:t>
      </w:r>
    </w:p>
    <w:bookmarkEnd w:id="33"/>
    <w:bookmarkStart w:id="34" w:name="optimization"/>
    <w:p>
      <w:pPr>
        <w:pStyle w:val="Heading4"/>
      </w:pPr>
      <w:r>
        <w:t xml:space="preserve">Optimization</w:t>
      </w:r>
    </w:p>
    <w:bookmarkEnd w:id="34"/>
    <w:bookmarkStart w:id="35" w:name="X307559b442129dfcdb77bacd43593bb3a0530e4"/>
    <w:p>
      <w:pPr>
        <w:pStyle w:val="Heading4"/>
      </w:pPr>
      <w:r>
        <w:t xml:space="preserve">Economic value-added of differing operations</w:t>
      </w:r>
    </w:p>
    <w:bookmarkEnd w:id="35"/>
    <w:bookmarkEnd w:id="36"/>
    <w:bookmarkStart w:id="41" w:name="results-discussion"/>
    <w:p>
      <w:pPr>
        <w:pStyle w:val="Heading2"/>
      </w:pPr>
      <w:r>
        <w:t xml:space="preserve">Results &amp; Discussion</w:t>
      </w:r>
    </w:p>
    <w:bookmarkStart w:id="37" w:name="log-log-model-breakdown"/>
    <w:p>
      <w:pPr>
        <w:pStyle w:val="Heading4"/>
      </w:pPr>
      <w:r>
        <w:t xml:space="preserve">log-log model breakdown</w:t>
      </w:r>
    </w:p>
    <w:bookmarkEnd w:id="37"/>
    <w:bookmarkStart w:id="38" w:name="Xe4c541bf0034c28317dde2423a626e525b42e4f"/>
    <w:p>
      <w:pPr>
        <w:pStyle w:val="Heading4"/>
      </w:pPr>
      <w:r>
        <w:t xml:space="preserve">basis of theoretical model and application</w:t>
      </w:r>
    </w:p>
    <w:bookmarkEnd w:id="38"/>
    <w:bookmarkStart w:id="39" w:name="discussion-of-ideal-inputs"/>
    <w:p>
      <w:pPr>
        <w:pStyle w:val="Heading4"/>
      </w:pPr>
      <w:r>
        <w:t xml:space="preserve">discussion of ideal inputs</w:t>
      </w:r>
    </w:p>
    <w:bookmarkEnd w:id="39"/>
    <w:bookmarkStart w:id="40" w:name="X204bbb8b3c912f53343df81b649f3239fd6957e"/>
    <w:p>
      <w:pPr>
        <w:pStyle w:val="Heading4"/>
      </w:pPr>
      <w:r>
        <w:t xml:space="preserve">Diverse operations portfolio vs. allocation towards most profitable</w:t>
      </w:r>
    </w:p>
    <w:bookmarkEnd w:id="40"/>
    <w:bookmarkEnd w:id="41"/>
    <w:bookmarkStart w:id="45" w:name="conclusion"/>
    <w:p>
      <w:pPr>
        <w:pStyle w:val="Heading2"/>
      </w:pPr>
      <w:r>
        <w:t xml:space="preserve">Conclusion</w:t>
      </w:r>
    </w:p>
    <w:bookmarkStart w:id="42" w:name="X79ec6f3f6721ce13679596a4b2fde1e39a72fd9"/>
    <w:p>
      <w:pPr>
        <w:pStyle w:val="Heading4"/>
      </w:pPr>
      <w:r>
        <w:t xml:space="preserve">Summary of available options to mitigate risk</w:t>
      </w:r>
    </w:p>
    <w:bookmarkEnd w:id="42"/>
    <w:bookmarkStart w:id="43" w:name="X840ecf6f493731f4f16204ec13312ae564d0e4b"/>
    <w:p>
      <w:pPr>
        <w:pStyle w:val="Heading4"/>
      </w:pPr>
      <w:r>
        <w:t xml:space="preserve">How to maximize revenues given current conditions</w:t>
      </w:r>
    </w:p>
    <w:bookmarkEnd w:id="43"/>
    <w:bookmarkStart w:id="44" w:name="X723972c84d93db85c99e130cc6049f941e6829e"/>
    <w:p>
      <w:pPr>
        <w:pStyle w:val="Heading4"/>
      </w:pPr>
      <w:r>
        <w:t xml:space="preserve">Discussion of variability outside of scope</w:t>
      </w:r>
    </w:p>
    <w:bookmarkEnd w:id="44"/>
    <w:bookmarkEnd w:id="45"/>
    <w:bookmarkEnd w:id="46"/>
    <w:sectPr w:rsidR="00CA588A">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1CD2F08E" w14:textId="77777777" w:rsidR="00997869" w:rsidRDefault="00B74C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6347AF" w14:textId="77777777" w:rsidR="00997869" w:rsidRDefault="00B74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06AA5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8A0A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803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1EFE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F94DA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38A5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ECC7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E9C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2C62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681B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E83"/>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16C42"/>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C16C42"/>
    <w:pPr>
      <w:keepNext/>
      <w:keepLines/>
      <w:spacing w:beforeAutospacing="1"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16C42"/>
    <w:pPr>
      <w:spacing w:after="0" w:line="480" w:lineRule="auto"/>
    </w:pPr>
    <w:rPr>
      <w:rFonts w:ascii="Times New Roman" w:hAnsi="Times New Roman"/>
    </w:rPr>
  </w:style>
  <w:style w:type="paragraph" w:customStyle="1" w:styleId="FirstParagraph">
    <w:name w:val="First Paragraph"/>
    <w:basedOn w:val="BodyText"/>
    <w:next w:val="BodyText"/>
    <w:qFormat/>
    <w:rsid w:val="00C16C42"/>
    <w:pPr>
      <w:spacing w:after="100" w:afterAutospacing="1"/>
    </w:pPr>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C16C42"/>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dcterms:created xsi:type="dcterms:W3CDTF">2021-04-08T06:23:42Z</dcterms:created>
  <dcterms:modified xsi:type="dcterms:W3CDTF">2021-04-08T06:23:42Z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