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Performance Review: October 2025</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rPr>
              <w:t xml:space="preserve">Employee: </w:t>
            </w:r>
            <w:r>
              <w:t>David Chen</w:t>
            </w:r>
          </w:p>
        </w:tc>
        <w:tc>
          <w:tcPr>
            <w:tcW w:type="dxa" w:w="4320"/>
          </w:tcPr>
          <w:p>
            <w:r/>
            <w:r>
              <w:rPr>
                <w:b/>
              </w:rPr>
              <w:t xml:space="preserve">Role: </w:t>
            </w:r>
            <w:r>
              <w:t>HR Manager</w:t>
            </w:r>
          </w:p>
        </w:tc>
      </w:tr>
      <w:tr>
        <w:tc>
          <w:tcPr>
            <w:tcW w:type="dxa" w:w="4320"/>
          </w:tcPr>
          <w:p>
            <w:r/>
            <w:r>
              <w:rPr>
                <w:b/>
              </w:rPr>
              <w:t xml:space="preserve">Manager: </w:t>
            </w:r>
            <w:r>
              <w:t>Marcus Thorne</w:t>
            </w:r>
          </w:p>
        </w:tc>
        <w:tc>
          <w:tcPr>
            <w:tcW w:type="dxa" w:w="4320"/>
          </w:tcPr>
          <w:p>
            <w:r/>
            <w:r>
              <w:rPr>
                <w:b/>
              </w:rPr>
              <w:t xml:space="preserve">Review Cycle: </w:t>
            </w:r>
            <w:r>
              <w:t>Monthly</w:t>
            </w:r>
          </w:p>
        </w:tc>
      </w:tr>
    </w:tbl>
    <w:p/>
    <w:p>
      <w:pPr>
        <w:pStyle w:val="Heading1"/>
      </w:pPr>
      <w:r>
        <w:t>1. Executive Summary</w:t>
      </w:r>
    </w:p>
    <w:p>
      <w:r>
        <w:t>David is the heart of the office, and his conflict resolution skills are unmatched. However, the administrative side of the role is lagging. We are seeing delays in offer letters being sent out because David is resisting the move to the new HRIS system, preferring manual spreadsheets.</w:t>
      </w:r>
    </w:p>
    <w:p>
      <w:pPr>
        <w:pStyle w:val="Heading1"/>
      </w:pPr>
      <w:r>
        <w:t>2. Key Performance Indicators (KPIs)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Time to Hire</w:t>
            </w:r>
          </w:p>
        </w:tc>
        <w:tc>
          <w:tcPr>
            <w:tcW w:type="dxa" w:w="2160"/>
          </w:tcPr>
          <w:p>
            <w:r>
              <w:t>30 days</w:t>
            </w:r>
          </w:p>
        </w:tc>
        <w:tc>
          <w:tcPr>
            <w:tcW w:type="dxa" w:w="2160"/>
          </w:tcPr>
          <w:p>
            <w:r>
              <w:t>45 days</w:t>
            </w:r>
          </w:p>
        </w:tc>
        <w:tc>
          <w:tcPr>
            <w:tcW w:type="dxa" w:w="2160"/>
          </w:tcPr>
          <w:p>
            <w:r>
              <w:t>Missed</w:t>
            </w:r>
          </w:p>
        </w:tc>
      </w:tr>
      <w:tr>
        <w:tc>
          <w:tcPr>
            <w:tcW w:type="dxa" w:w="2160"/>
          </w:tcPr>
          <w:p>
            <w:r>
              <w:t>Employee Satisfaction</w:t>
            </w:r>
          </w:p>
        </w:tc>
        <w:tc>
          <w:tcPr>
            <w:tcW w:type="dxa" w:w="2160"/>
          </w:tcPr>
          <w:p>
            <w:r>
              <w:t>4.0</w:t>
            </w:r>
          </w:p>
        </w:tc>
        <w:tc>
          <w:tcPr>
            <w:tcW w:type="dxa" w:w="2160"/>
          </w:tcPr>
          <w:p>
            <w:r>
              <w:t>4.8</w:t>
            </w:r>
          </w:p>
        </w:tc>
        <w:tc>
          <w:tcPr>
            <w:tcW w:type="dxa" w:w="2160"/>
          </w:tcPr>
          <w:p>
            <w:r>
              <w:t>Exceeded</w:t>
            </w:r>
          </w:p>
        </w:tc>
      </w:tr>
      <w:tr>
        <w:tc>
          <w:tcPr>
            <w:tcW w:type="dxa" w:w="2160"/>
          </w:tcPr>
          <w:p>
            <w:r>
              <w:t>System Adoption</w:t>
            </w:r>
          </w:p>
        </w:tc>
        <w:tc>
          <w:tcPr>
            <w:tcW w:type="dxa" w:w="2160"/>
          </w:tcPr>
          <w:p>
            <w:r>
              <w:t>100%</w:t>
            </w:r>
          </w:p>
        </w:tc>
        <w:tc>
          <w:tcPr>
            <w:tcW w:type="dxa" w:w="2160"/>
          </w:tcPr>
          <w:p>
            <w:r>
              <w:t>40%</w:t>
            </w:r>
          </w:p>
        </w:tc>
        <w:tc>
          <w:tcPr>
            <w:tcW w:type="dxa" w:w="2160"/>
          </w:tcPr>
          <w:p>
            <w:r>
              <w:t>Critical Issue</w:t>
            </w:r>
          </w:p>
        </w:tc>
      </w:tr>
    </w:tbl>
    <w:p/>
    <w:p>
      <w:pPr>
        <w:pStyle w:val="Heading1"/>
      </w:pPr>
      <w:r>
        <w:t>3. Competency Evaluation</w:t>
      </w:r>
    </w:p>
    <w:p>
      <w:pPr>
        <w:pStyle w:val="ListBullet"/>
      </w:pPr>
      <w:r>
        <w:rPr>
          <w:b/>
        </w:rPr>
        <w:t>Empathy:</w:t>
      </w:r>
      <w:r>
        <w:t xml:space="preserve"> (Expert) Resolved a difficult dispute between Sales/Support.</w:t>
      </w:r>
    </w:p>
    <w:p>
      <w:pPr>
        <w:pStyle w:val="ListBullet"/>
      </w:pPr>
      <w:r>
        <w:rPr>
          <w:b/>
        </w:rPr>
        <w:t>Digital Fluency:</w:t>
      </w:r>
      <w:r>
        <w:t xml:space="preserve"> (Low) Refusal to use the new dashboard.</w:t>
      </w:r>
    </w:p>
    <w:p>
      <w:pPr>
        <w:pStyle w:val="Heading1"/>
      </w:pPr>
      <w:r>
        <w:t>4. Strengths &amp; Achievements</w:t>
      </w:r>
    </w:p>
    <w:p>
      <w:pPr>
        <w:pStyle w:val="ListBullet"/>
      </w:pPr>
      <w:r>
        <w:t>Interpersonal relationships.</w:t>
      </w:r>
    </w:p>
    <w:p>
      <w:pPr>
        <w:pStyle w:val="ListBullet"/>
      </w:pPr>
      <w:r>
        <w:t>Cultural advocacy.</w:t>
      </w:r>
    </w:p>
    <w:p>
      <w:pPr>
        <w:pStyle w:val="Heading1"/>
      </w:pPr>
      <w:r>
        <w:t>5. Areas for Development</w:t>
      </w:r>
    </w:p>
    <w:p>
      <w:pPr>
        <w:pStyle w:val="ListBullet"/>
      </w:pPr>
      <w:r>
        <w:t>Technical adaptability.</w:t>
      </w:r>
    </w:p>
    <w:p>
      <w:pPr>
        <w:pStyle w:val="ListBullet"/>
      </w:pPr>
      <w:r>
        <w:t>Process efficiency.</w:t>
      </w:r>
    </w:p>
    <w:p>
      <w:pPr>
        <w:pStyle w:val="Heading1"/>
      </w:pPr>
      <w:r>
        <w:t>6. Growth Plan &amp; Next Steps</w:t>
      </w:r>
    </w:p>
    <w:p>
      <w:pPr>
        <w:pStyle w:val="ListBullet"/>
      </w:pPr>
      <w:r>
        <w:t>Mandatory 1:1 training with the IT implementation lead.</w:t>
      </w:r>
    </w:p>
    <w:p>
      <w:pPr>
        <w:pStyle w:val="ListBullet"/>
      </w:pPr>
      <w:r>
        <w:t>Goal: Send 100% of offer letters via the new system in Nov.</w:t>
      </w:r>
    </w:p>
    <w:p/>
    <w:p/>
    <w:tbl>
      <w:tblPr>
        <w:tblW w:type="auto" w:w="0"/>
        <w:tblLook w:firstColumn="1" w:firstRow="1" w:lastColumn="0" w:lastRow="0" w:noHBand="0" w:noVBand="1" w:val="04A0"/>
      </w:tblPr>
      <w:tblGrid>
        <w:gridCol w:w="4320"/>
        <w:gridCol w:w="4320"/>
      </w:tblGrid>
      <w:tr>
        <w:tc>
          <w:tcPr>
            <w:tcW w:type="dxa" w:w="4320"/>
          </w:tcPr>
          <w:p>
            <w:pPr>
              <w:jc w:val="center"/>
            </w:pPr>
            <w:r>
              <w:t>_________________________</w:t>
              <w:br/>
              <w:t>Manager Signature</w:t>
            </w:r>
          </w:p>
        </w:tc>
        <w:tc>
          <w:tcPr>
            <w:tcW w:type="dxa" w:w="4320"/>
          </w:tcPr>
          <w:p>
            <w:pPr>
              <w:jc w:val="center"/>
            </w:pPr>
            <w:r>
              <w:t>_________________________</w:t>
              <w:br/>
              <w:t>Employee Signature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