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Performance Review: February 2026</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 xml:space="preserve">Employee: </w:t>
            </w:r>
            <w:r>
              <w:t>David Chen</w:t>
            </w:r>
          </w:p>
        </w:tc>
        <w:tc>
          <w:tcPr>
            <w:tcW w:type="dxa" w:w="4320"/>
          </w:tcPr>
          <w:p>
            <w:r/>
            <w:r>
              <w:rPr>
                <w:b/>
              </w:rPr>
              <w:t xml:space="preserve">Role: </w:t>
            </w:r>
            <w:r>
              <w:t>HR Manager</w:t>
            </w:r>
          </w:p>
        </w:tc>
      </w:tr>
      <w:tr>
        <w:tc>
          <w:tcPr>
            <w:tcW w:type="dxa" w:w="4320"/>
          </w:tcPr>
          <w:p>
            <w:r/>
            <w:r>
              <w:rPr>
                <w:b/>
              </w:rPr>
              <w:t xml:space="preserve">Manager: </w:t>
            </w:r>
            <w:r>
              <w:t>Marcus Thorne</w:t>
            </w:r>
          </w:p>
        </w:tc>
        <w:tc>
          <w:tcPr>
            <w:tcW w:type="dxa" w:w="4320"/>
          </w:tcPr>
          <w:p>
            <w:r/>
            <w:r>
              <w:rPr>
                <w:b/>
              </w:rPr>
              <w:t xml:space="preserve">Review Cycle: </w:t>
            </w:r>
            <w:r>
              <w:t>Monthly</w:t>
            </w:r>
          </w:p>
        </w:tc>
      </w:tr>
    </w:tbl>
    <w:p/>
    <w:p>
      <w:pPr>
        <w:pStyle w:val="Heading1"/>
      </w:pPr>
      <w:r>
        <w:t>1. Executive Summary</w:t>
      </w:r>
    </w:p>
    <w:p>
      <w:r>
        <w:t>David is now operating as a strategic partner rather than just an administrator. His presentation on 'Reducing Sales Turnover' was backed by data and offered concrete solutions. He has fully bridged the gap between his high EQ and the necessary operational rigour.</w:t>
      </w:r>
    </w:p>
    <w:p>
      <w:pPr>
        <w:pStyle w:val="Heading1"/>
      </w:pPr>
      <w:r>
        <w:t>2. Key Performance Indicators (KPIs)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Retention Rate</w:t>
            </w:r>
          </w:p>
        </w:tc>
        <w:tc>
          <w:tcPr>
            <w:tcW w:type="dxa" w:w="2160"/>
          </w:tcPr>
          <w:p>
            <w:r>
              <w:t>95%</w:t>
            </w:r>
          </w:p>
        </w:tc>
        <w:tc>
          <w:tcPr>
            <w:tcW w:type="dxa" w:w="2160"/>
          </w:tcPr>
          <w:p>
            <w:r>
              <w:t>98%</w:t>
            </w:r>
          </w:p>
        </w:tc>
        <w:tc>
          <w:tcPr>
            <w:tcW w:type="dxa" w:w="2160"/>
          </w:tcPr>
          <w:p>
            <w:r>
              <w:t>Exceeded</w:t>
            </w:r>
          </w:p>
        </w:tc>
      </w:tr>
      <w:tr>
        <w:tc>
          <w:tcPr>
            <w:tcW w:type="dxa" w:w="2160"/>
          </w:tcPr>
          <w:p>
            <w:r>
              <w:t>Strategic Projects</w:t>
            </w:r>
          </w:p>
        </w:tc>
        <w:tc>
          <w:tcPr>
            <w:tcW w:type="dxa" w:w="2160"/>
          </w:tcPr>
          <w:p>
            <w:r>
              <w:t>1</w:t>
            </w:r>
          </w:p>
        </w:tc>
        <w:tc>
          <w:tcPr>
            <w:tcW w:type="dxa" w:w="2160"/>
          </w:tcPr>
          <w:p>
            <w:r>
              <w:t>1</w:t>
            </w:r>
          </w:p>
        </w:tc>
        <w:tc>
          <w:tcPr>
            <w:tcW w:type="dxa" w:w="2160"/>
          </w:tcPr>
          <w:p>
            <w:r>
              <w:t>Met</w:t>
            </w:r>
          </w:p>
        </w:tc>
      </w:tr>
      <w:tr>
        <w:tc>
          <w:tcPr>
            <w:tcW w:type="dxa" w:w="2160"/>
          </w:tcPr>
          <w:p>
            <w:r>
              <w:t>Manager NPS</w:t>
            </w:r>
          </w:p>
        </w:tc>
        <w:tc>
          <w:tcPr>
            <w:tcW w:type="dxa" w:w="2160"/>
          </w:tcPr>
          <w:p>
            <w:r>
              <w:t>8</w:t>
            </w:r>
          </w:p>
        </w:tc>
        <w:tc>
          <w:tcPr>
            <w:tcW w:type="dxa" w:w="2160"/>
          </w:tcPr>
          <w:p>
            <w:r>
              <w:t>9</w:t>
            </w:r>
          </w:p>
        </w:tc>
        <w:tc>
          <w:tcPr>
            <w:tcW w:type="dxa" w:w="2160"/>
          </w:tcPr>
          <w:p>
            <w:r>
              <w:t>Exceeded</w:t>
            </w:r>
          </w:p>
        </w:tc>
      </w:tr>
    </w:tbl>
    <w:p/>
    <w:p>
      <w:pPr>
        <w:pStyle w:val="Heading1"/>
      </w:pPr>
      <w:r>
        <w:t>3. Competency Evaluation</w:t>
      </w:r>
    </w:p>
    <w:p>
      <w:pPr>
        <w:pStyle w:val="ListBullet"/>
      </w:pPr>
      <w:r>
        <w:rPr>
          <w:b/>
        </w:rPr>
        <w:t>Strategic HR:</w:t>
      </w:r>
      <w:r>
        <w:t xml:space="preserve"> (High) Moved from reactive to proactive.</w:t>
      </w:r>
    </w:p>
    <w:p>
      <w:pPr>
        <w:pStyle w:val="ListBullet"/>
      </w:pPr>
      <w:r>
        <w:rPr>
          <w:b/>
        </w:rPr>
        <w:t>Influence:</w:t>
      </w:r>
      <w:r>
        <w:t xml:space="preserve"> (High) Convinced Sales VP to change commission structure.</w:t>
      </w:r>
    </w:p>
    <w:p>
      <w:pPr>
        <w:pStyle w:val="Heading1"/>
      </w:pPr>
      <w:r>
        <w:t>4. Strengths &amp; Achievements</w:t>
      </w:r>
    </w:p>
    <w:p>
      <w:pPr>
        <w:pStyle w:val="ListBullet"/>
      </w:pPr>
      <w:r>
        <w:t>Data-driven storytelling.</w:t>
      </w:r>
    </w:p>
    <w:p>
      <w:pPr>
        <w:pStyle w:val="ListBullet"/>
      </w:pPr>
      <w:r>
        <w:t>Executive presence.</w:t>
      </w:r>
    </w:p>
    <w:p>
      <w:pPr>
        <w:pStyle w:val="Heading1"/>
      </w:pPr>
      <w:r>
        <w:t>5. Areas for Development</w:t>
      </w:r>
    </w:p>
    <w:p>
      <w:pPr>
        <w:pStyle w:val="ListBullet"/>
      </w:pPr>
      <w:r>
        <w:t>Public speaking polish (filler words).</w:t>
      </w:r>
    </w:p>
    <w:p>
      <w:pPr>
        <w:pStyle w:val="ListBullet"/>
      </w:pPr>
      <w:r>
        <w:t>Scalability of new retention programs.</w:t>
      </w:r>
    </w:p>
    <w:p>
      <w:pPr>
        <w:pStyle w:val="Heading1"/>
      </w:pPr>
      <w:r>
        <w:t>6. Growth Plan &amp; Next Steps</w:t>
      </w:r>
    </w:p>
    <w:p>
      <w:pPr>
        <w:pStyle w:val="ListBullet"/>
      </w:pPr>
      <w:r>
        <w:t>Lead the quarterly All-Hands HR update.</w:t>
      </w:r>
    </w:p>
    <w:p>
      <w:pPr>
        <w:pStyle w:val="ListBullet"/>
      </w:pPr>
      <w:r>
        <w:t>Design the Q2 internship program.</w:t>
      </w:r>
    </w:p>
    <w:p/>
    <w:p/>
    <w:tbl>
      <w:tblPr>
        <w:tblW w:type="auto" w:w="0"/>
        <w:tblLook w:firstColumn="1" w:firstRow="1" w:lastColumn="0" w:lastRow="0" w:noHBand="0" w:noVBand="1" w:val="04A0"/>
      </w:tblPr>
      <w:tblGrid>
        <w:gridCol w:w="4320"/>
        <w:gridCol w:w="4320"/>
      </w:tblGrid>
      <w:tr>
        <w:tc>
          <w:tcPr>
            <w:tcW w:type="dxa" w:w="4320"/>
          </w:tcPr>
          <w:p>
            <w:pPr>
              <w:jc w:val="center"/>
            </w:pPr>
            <w:r>
              <w:t>_________________________</w:t>
              <w:br/>
              <w:t>Manager Signature</w:t>
            </w:r>
          </w:p>
        </w:tc>
        <w:tc>
          <w:tcPr>
            <w:tcW w:type="dxa" w:w="4320"/>
          </w:tcPr>
          <w:p>
            <w:pPr>
              <w:jc w:val="center"/>
            </w:pPr>
            <w:r>
              <w:t>_________________________</w:t>
              <w:br/>
              <w:t>Employee Signature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