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Performance Review: December 2025</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rPr>
              <w:t xml:space="preserve">Employee: </w:t>
            </w:r>
            <w:r>
              <w:t>Maya Johnson</w:t>
            </w:r>
          </w:p>
        </w:tc>
        <w:tc>
          <w:tcPr>
            <w:tcW w:type="dxa" w:w="4320"/>
          </w:tcPr>
          <w:p>
            <w:r/>
            <w:r>
              <w:rPr>
                <w:b/>
              </w:rPr>
              <w:t xml:space="preserve">Role: </w:t>
            </w:r>
            <w:r>
              <w:t>IT Support Specialist (L1)</w:t>
            </w:r>
          </w:p>
        </w:tc>
      </w:tr>
      <w:tr>
        <w:tc>
          <w:tcPr>
            <w:tcW w:type="dxa" w:w="4320"/>
          </w:tcPr>
          <w:p>
            <w:r/>
            <w:r>
              <w:rPr>
                <w:b/>
              </w:rPr>
              <w:t xml:space="preserve">Manager: </w:t>
            </w:r>
            <w:r>
              <w:t>David Ross</w:t>
            </w:r>
          </w:p>
        </w:tc>
        <w:tc>
          <w:tcPr>
            <w:tcW w:type="dxa" w:w="4320"/>
          </w:tcPr>
          <w:p>
            <w:r/>
            <w:r>
              <w:rPr>
                <w:b/>
              </w:rPr>
              <w:t xml:space="preserve">Review Cycle: </w:t>
            </w:r>
            <w:r>
              <w:t>Monthly</w:t>
            </w:r>
          </w:p>
        </w:tc>
      </w:tr>
    </w:tbl>
    <w:p/>
    <w:p>
      <w:pPr>
        <w:pStyle w:val="Heading1"/>
      </w:pPr>
      <w:r>
        <w:t>1. Executive Summary</w:t>
      </w:r>
    </w:p>
    <w:p>
      <w:r>
        <w:t>The 'Holiday VPN Crisis'. When the VPN server flaked out, Maya fielded 50 calls in one day. She remained calm while users were panicking. She didn't fix the server (L3 job), but she kept the workforce calm. Her stress management is excellent.</w:t>
      </w:r>
    </w:p>
    <w:p>
      <w:pPr>
        <w:pStyle w:val="Heading1"/>
      </w:pPr>
      <w:r>
        <w:t>2. Key Performance Indicators (KPIs)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Target</w:t>
            </w:r>
          </w:p>
        </w:tc>
        <w:tc>
          <w:tcPr>
            <w:tcW w:type="dxa" w:w="2160"/>
          </w:tcPr>
          <w:p>
            <w:r>
              <w:t>Actual</w:t>
            </w:r>
          </w:p>
        </w:tc>
        <w:tc>
          <w:tcPr>
            <w:tcW w:type="dxa" w:w="2160"/>
          </w:tcPr>
          <w:p>
            <w:r>
              <w:t>Status</w:t>
            </w:r>
          </w:p>
        </w:tc>
      </w:tr>
      <w:tr>
        <w:tc>
          <w:tcPr>
            <w:tcW w:type="dxa" w:w="2160"/>
          </w:tcPr>
          <w:p>
            <w:r>
              <w:t>Call Volume</w:t>
            </w:r>
          </w:p>
        </w:tc>
        <w:tc>
          <w:tcPr>
            <w:tcW w:type="dxa" w:w="2160"/>
          </w:tcPr>
          <w:p>
            <w:r>
              <w:t>30</w:t>
            </w:r>
          </w:p>
        </w:tc>
        <w:tc>
          <w:tcPr>
            <w:tcW w:type="dxa" w:w="2160"/>
          </w:tcPr>
          <w:p>
            <w:r>
              <w:t>55</w:t>
            </w:r>
          </w:p>
        </w:tc>
        <w:tc>
          <w:tcPr>
            <w:tcW w:type="dxa" w:w="2160"/>
          </w:tcPr>
          <w:p>
            <w:r>
              <w:t>Exceeded</w:t>
            </w:r>
          </w:p>
        </w:tc>
      </w:tr>
      <w:tr>
        <w:tc>
          <w:tcPr>
            <w:tcW w:type="dxa" w:w="2160"/>
          </w:tcPr>
          <w:p>
            <w:r>
              <w:t>User Complaints</w:t>
            </w:r>
          </w:p>
        </w:tc>
        <w:tc>
          <w:tcPr>
            <w:tcW w:type="dxa" w:w="2160"/>
          </w:tcPr>
          <w:p>
            <w:r>
              <w:t>0</w:t>
            </w:r>
          </w:p>
        </w:tc>
        <w:tc>
          <w:tcPr>
            <w:tcW w:type="dxa" w:w="2160"/>
          </w:tcPr>
          <w:p>
            <w:r>
              <w:t>0</w:t>
            </w:r>
          </w:p>
        </w:tc>
        <w:tc>
          <w:tcPr>
            <w:tcW w:type="dxa" w:w="2160"/>
          </w:tcPr>
          <w:p>
            <w:r>
              <w:t>Met</w:t>
            </w:r>
          </w:p>
        </w:tc>
      </w:tr>
      <w:tr>
        <w:tc>
          <w:tcPr>
            <w:tcW w:type="dxa" w:w="2160"/>
          </w:tcPr>
          <w:p>
            <w:r>
              <w:t>Attendance</w:t>
            </w:r>
          </w:p>
        </w:tc>
        <w:tc>
          <w:tcPr>
            <w:tcW w:type="dxa" w:w="2160"/>
          </w:tcPr>
          <w:p>
            <w:r>
              <w:t>100%</w:t>
            </w:r>
          </w:p>
        </w:tc>
        <w:tc>
          <w:tcPr>
            <w:tcW w:type="dxa" w:w="2160"/>
          </w:tcPr>
          <w:p>
            <w:r>
              <w:t>100%</w:t>
            </w:r>
          </w:p>
        </w:tc>
        <w:tc>
          <w:tcPr>
            <w:tcW w:type="dxa" w:w="2160"/>
          </w:tcPr>
          <w:p>
            <w:r>
              <w:t>Met</w:t>
            </w:r>
          </w:p>
        </w:tc>
      </w:tr>
    </w:tbl>
    <w:p/>
    <w:p>
      <w:pPr>
        <w:pStyle w:val="Heading1"/>
      </w:pPr>
      <w:r>
        <w:t>3. Competency Evaluation</w:t>
      </w:r>
    </w:p>
    <w:p>
      <w:pPr>
        <w:pStyle w:val="ListBullet"/>
      </w:pPr>
      <w:r>
        <w:rPr>
          <w:b/>
        </w:rPr>
        <w:t>Crisis Management:</w:t>
      </w:r>
      <w:r>
        <w:t xml:space="preserve"> (High) Calm under fire.</w:t>
      </w:r>
    </w:p>
    <w:p>
      <w:pPr>
        <w:pStyle w:val="ListBullet"/>
      </w:pPr>
      <w:r>
        <w:rPr>
          <w:b/>
        </w:rPr>
        <w:t>Communication:</w:t>
      </w:r>
      <w:r>
        <w:t xml:space="preserve"> (High) Explained the outage clearly to non-techs.</w:t>
      </w:r>
    </w:p>
    <w:p>
      <w:pPr>
        <w:pStyle w:val="Heading1"/>
      </w:pPr>
      <w:r>
        <w:t>4. Strengths &amp; Achievements</w:t>
      </w:r>
    </w:p>
    <w:p>
      <w:pPr>
        <w:pStyle w:val="ListBullet"/>
      </w:pPr>
      <w:r>
        <w:t>Resilience.</w:t>
      </w:r>
    </w:p>
    <w:p>
      <w:pPr>
        <w:pStyle w:val="ListBullet"/>
      </w:pPr>
      <w:r>
        <w:t>Clear communication.</w:t>
      </w:r>
    </w:p>
    <w:p>
      <w:pPr>
        <w:pStyle w:val="Heading1"/>
      </w:pPr>
      <w:r>
        <w:t>5. Areas for Development</w:t>
      </w:r>
    </w:p>
    <w:p>
      <w:pPr>
        <w:pStyle w:val="ListBullet"/>
      </w:pPr>
      <w:r>
        <w:t>Deep technical understanding of VPNs.</w:t>
      </w:r>
    </w:p>
    <w:p>
      <w:pPr>
        <w:pStyle w:val="ListBullet"/>
      </w:pPr>
      <w:r>
        <w:t>Multi-tasking during high volume.</w:t>
      </w:r>
    </w:p>
    <w:p>
      <w:pPr>
        <w:pStyle w:val="Heading1"/>
      </w:pPr>
      <w:r>
        <w:t>6. Growth Plan &amp; Next Steps</w:t>
      </w:r>
    </w:p>
    <w:p>
      <w:pPr>
        <w:pStyle w:val="ListBullet"/>
      </w:pPr>
      <w:r>
        <w:t>Read the network topology documentation.</w:t>
      </w:r>
    </w:p>
    <w:p>
      <w:pPr>
        <w:pStyle w:val="ListBullet"/>
      </w:pPr>
      <w:r>
        <w:t>Take a comp day for the holiday effort.</w:t>
      </w:r>
    </w:p>
    <w:p/>
    <w:p/>
    <w:tbl>
      <w:tblPr>
        <w:tblW w:type="auto" w:w="0"/>
        <w:tblLook w:firstColumn="1" w:firstRow="1" w:lastColumn="0" w:lastRow="0" w:noHBand="0" w:noVBand="1" w:val="04A0"/>
      </w:tblPr>
      <w:tblGrid>
        <w:gridCol w:w="4320"/>
        <w:gridCol w:w="4320"/>
      </w:tblGrid>
      <w:tr>
        <w:tc>
          <w:tcPr>
            <w:tcW w:type="dxa" w:w="4320"/>
          </w:tcPr>
          <w:p>
            <w:pPr>
              <w:jc w:val="center"/>
            </w:pPr>
            <w:r>
              <w:t>_________________________</w:t>
              <w:br/>
              <w:t>Manager Signature</w:t>
            </w:r>
          </w:p>
        </w:tc>
        <w:tc>
          <w:tcPr>
            <w:tcW w:type="dxa" w:w="4320"/>
          </w:tcPr>
          <w:p>
            <w:pPr>
              <w:jc w:val="center"/>
            </w:pPr>
            <w:r>
              <w:t>_________________________</w:t>
              <w:br/>
              <w:t>Employee Signature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