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January 2026</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Sarah Jenkins</w:t>
            </w:r>
          </w:p>
        </w:tc>
        <w:tc>
          <w:tcPr>
            <w:tcW w:type="dxa" w:w="4320"/>
          </w:tcPr>
          <w:p>
            <w:r/>
            <w:r>
              <w:rPr>
                <w:b/>
              </w:rPr>
              <w:t xml:space="preserve">Role: </w:t>
            </w:r>
            <w:r>
              <w:t>Junior Marketing Associate</w:t>
            </w:r>
          </w:p>
        </w:tc>
      </w:tr>
      <w:tr>
        <w:tc>
          <w:tcPr>
            <w:tcW w:type="dxa" w:w="4320"/>
          </w:tcPr>
          <w:p>
            <w:r/>
            <w:r>
              <w:rPr>
                <w:b/>
              </w:rPr>
              <w:t xml:space="preserve">Manager: </w:t>
            </w:r>
            <w:r>
              <w:t>Elena Rodriguez</w:t>
            </w:r>
          </w:p>
        </w:tc>
        <w:tc>
          <w:tcPr>
            <w:tcW w:type="dxa" w:w="4320"/>
          </w:tcPr>
          <w:p>
            <w:r/>
            <w:r>
              <w:rPr>
                <w:b/>
              </w:rPr>
              <w:t xml:space="preserve">Review Cycle: </w:t>
            </w:r>
            <w:r>
              <w:t>Monthly</w:t>
            </w:r>
          </w:p>
        </w:tc>
      </w:tr>
    </w:tbl>
    <w:p/>
    <w:p>
      <w:pPr>
        <w:pStyle w:val="Heading1"/>
      </w:pPr>
      <w:r>
        <w:t>1. Executive Summary</w:t>
      </w:r>
    </w:p>
    <w:p>
      <w:r>
        <w:t>Post-viral stabilization. Engagement has normalized. Sarah is working on converting those new followers into leads. She is now much more comfortable with data, correctly identifying that our new audience prefers educational content over sales content.</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Lead Conversion</w:t>
            </w:r>
          </w:p>
        </w:tc>
        <w:tc>
          <w:tcPr>
            <w:tcW w:type="dxa" w:w="2160"/>
          </w:tcPr>
          <w:p>
            <w:r>
              <w:t>1.0%</w:t>
            </w:r>
          </w:p>
        </w:tc>
        <w:tc>
          <w:tcPr>
            <w:tcW w:type="dxa" w:w="2160"/>
          </w:tcPr>
          <w:p>
            <w:r>
              <w:t>0.8%</w:t>
            </w:r>
          </w:p>
        </w:tc>
        <w:tc>
          <w:tcPr>
            <w:tcW w:type="dxa" w:w="2160"/>
          </w:tcPr>
          <w:p>
            <w:r>
              <w:t>Near Target</w:t>
            </w:r>
          </w:p>
        </w:tc>
      </w:tr>
      <w:tr>
        <w:tc>
          <w:tcPr>
            <w:tcW w:type="dxa" w:w="2160"/>
          </w:tcPr>
          <w:p>
            <w:r>
              <w:t>Posts</w:t>
            </w:r>
          </w:p>
        </w:tc>
        <w:tc>
          <w:tcPr>
            <w:tcW w:type="dxa" w:w="2160"/>
          </w:tcPr>
          <w:p>
            <w:r>
              <w:t>20</w:t>
            </w:r>
          </w:p>
        </w:tc>
        <w:tc>
          <w:tcPr>
            <w:tcW w:type="dxa" w:w="2160"/>
          </w:tcPr>
          <w:p>
            <w:r>
              <w:t>20</w:t>
            </w:r>
          </w:p>
        </w:tc>
        <w:tc>
          <w:tcPr>
            <w:tcW w:type="dxa" w:w="2160"/>
          </w:tcPr>
          <w:p>
            <w:r>
              <w:t>Met</w:t>
            </w:r>
          </w:p>
        </w:tc>
      </w:tr>
      <w:tr>
        <w:tc>
          <w:tcPr>
            <w:tcW w:type="dxa" w:w="2160"/>
          </w:tcPr>
          <w:p>
            <w:r>
              <w:t>Report Quality</w:t>
            </w:r>
          </w:p>
        </w:tc>
        <w:tc>
          <w:tcPr>
            <w:tcW w:type="dxa" w:w="2160"/>
          </w:tcPr>
          <w:p>
            <w:r>
              <w:t>3/5</w:t>
            </w:r>
          </w:p>
        </w:tc>
        <w:tc>
          <w:tcPr>
            <w:tcW w:type="dxa" w:w="2160"/>
          </w:tcPr>
          <w:p>
            <w:r>
              <w:t>4/5</w:t>
            </w:r>
          </w:p>
        </w:tc>
        <w:tc>
          <w:tcPr>
            <w:tcW w:type="dxa" w:w="2160"/>
          </w:tcPr>
          <w:p>
            <w:r>
              <w:t>Improved</w:t>
            </w:r>
          </w:p>
        </w:tc>
      </w:tr>
    </w:tbl>
    <w:p/>
    <w:p>
      <w:pPr>
        <w:pStyle w:val="Heading1"/>
      </w:pPr>
      <w:r>
        <w:t>3. Competency Evaluation</w:t>
      </w:r>
    </w:p>
    <w:p>
      <w:pPr>
        <w:pStyle w:val="ListBullet"/>
      </w:pPr>
      <w:r>
        <w:rPr>
          <w:b/>
        </w:rPr>
        <w:t>Strategic Insight:</w:t>
      </w:r>
      <w:r>
        <w:t xml:space="preserve"> (Improved) Connected content types to conversion rates.</w:t>
      </w:r>
    </w:p>
    <w:p>
      <w:pPr>
        <w:pStyle w:val="ListBullet"/>
      </w:pPr>
      <w:r>
        <w:rPr>
          <w:b/>
        </w:rPr>
        <w:t>Resilience:</w:t>
      </w:r>
      <w:r>
        <w:t xml:space="preserve"> (High) Handled the drop in views post-viral well.</w:t>
      </w:r>
    </w:p>
    <w:p>
      <w:pPr>
        <w:pStyle w:val="Heading1"/>
      </w:pPr>
      <w:r>
        <w:t>4. Strengths &amp; Achievements</w:t>
      </w:r>
    </w:p>
    <w:p>
      <w:pPr>
        <w:pStyle w:val="ListBullet"/>
      </w:pPr>
      <w:r>
        <w:t>Data-backed decision making.</w:t>
      </w:r>
    </w:p>
    <w:p>
      <w:pPr>
        <w:pStyle w:val="ListBullet"/>
      </w:pPr>
      <w:r>
        <w:t>Audience engagement.</w:t>
      </w:r>
    </w:p>
    <w:p>
      <w:pPr>
        <w:pStyle w:val="Heading1"/>
      </w:pPr>
      <w:r>
        <w:t>5. Areas for Development</w:t>
      </w:r>
    </w:p>
    <w:p>
      <w:pPr>
        <w:pStyle w:val="ListBullet"/>
      </w:pPr>
      <w:r>
        <w:t>Copywriting for conversion (sales focus).</w:t>
      </w:r>
    </w:p>
    <w:p>
      <w:pPr>
        <w:pStyle w:val="ListBullet"/>
      </w:pPr>
      <w:r>
        <w:t>Email marketing integration.</w:t>
      </w:r>
    </w:p>
    <w:p>
      <w:pPr>
        <w:pStyle w:val="Heading1"/>
      </w:pPr>
      <w:r>
        <w:t>6. Growth Plan &amp; Next Steps</w:t>
      </w:r>
    </w:p>
    <w:p>
      <w:pPr>
        <w:pStyle w:val="ListBullet"/>
      </w:pPr>
      <w:r>
        <w:t>A/B test call-to-action buttons on next 5 posts.</w:t>
      </w:r>
    </w:p>
    <w:p>
      <w:pPr>
        <w:pStyle w:val="ListBullet"/>
      </w:pPr>
      <w:r>
        <w:t>Collaborate with Sales team to understand customer pain points.</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