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3DC2A">
      <w:pPr>
        <w:ind w:left="2400" w:hanging="2400" w:hangingChars="1200"/>
        <w:rPr>
          <w:rFonts w:hint="default"/>
          <w:lang w:val="en-US"/>
        </w:rPr>
      </w:pPr>
      <w:r>
        <w:rPr>
          <w:rFonts w:hint="default"/>
          <w:lang w:val="en-US"/>
        </w:rPr>
        <w:t xml:space="preserve">             A DESCRIPTIVE STUDY ON ETHICAL DILEMMAS RELATED TO PATIENT’S CONFIDENTIALITY AMONG NURSING STUDENTS</w:t>
      </w:r>
    </w:p>
    <w:p w14:paraId="6F886FA3">
      <w:pPr>
        <w:rPr>
          <w:rFonts w:hint="default"/>
          <w:lang w:val="en-US"/>
        </w:rPr>
      </w:pPr>
    </w:p>
    <w:p w14:paraId="5AF3C8E1">
      <w:pPr>
        <w:rPr>
          <w:rFonts w:hint="default"/>
          <w:lang w:val="en-US"/>
        </w:rPr>
      </w:pPr>
    </w:p>
    <w:p w14:paraId="230A609F">
      <w:pPr>
        <w:rPr>
          <w:rFonts w:hint="default"/>
          <w:lang w:val="en-US"/>
        </w:rPr>
      </w:pPr>
    </w:p>
    <w:p w14:paraId="439EF24E">
      <w:pPr>
        <w:rPr>
          <w:rFonts w:hint="default"/>
          <w:lang w:val="en-US"/>
        </w:rPr>
      </w:pPr>
    </w:p>
    <w:p w14:paraId="60F2E509">
      <w:pPr>
        <w:numPr>
          <w:ilvl w:val="0"/>
          <w:numId w:val="1"/>
        </w:numPr>
        <w:rPr>
          <w:rFonts w:hint="default"/>
          <w:lang w:val="en-US"/>
        </w:rPr>
      </w:pPr>
      <w:r>
        <w:rPr>
          <w:rFonts w:hint="default"/>
          <w:lang w:val="en-US"/>
        </w:rPr>
        <w:t>TO IDENTIFY THE LEVEL OF AWARENESS AND UNDERSTANDING AMONG NURSING STUDENTS</w:t>
      </w:r>
    </w:p>
    <w:p w14:paraId="64BEF0BC">
      <w:pPr>
        <w:ind w:firstLine="100" w:firstLineChars="50"/>
        <w:rPr>
          <w:rFonts w:hint="default"/>
          <w:lang w:val="en-US"/>
        </w:rPr>
      </w:pPr>
      <w:r>
        <w:rPr>
          <w:rFonts w:hint="default"/>
          <w:lang w:val="en-US"/>
        </w:rPr>
        <w:t>REGARDING ETHICAL PRINCIPALS OF PATIENT CONFIDNTIALITY.</w:t>
      </w:r>
    </w:p>
    <w:p w14:paraId="706046F1">
      <w:pPr>
        <w:rPr>
          <w:rFonts w:hint="default"/>
          <w:lang w:val="en-US"/>
        </w:rPr>
      </w:pPr>
    </w:p>
    <w:p w14:paraId="007D13A5">
      <w:pPr>
        <w:numPr>
          <w:ilvl w:val="0"/>
          <w:numId w:val="1"/>
        </w:numPr>
        <w:ind w:left="0" w:leftChars="0" w:firstLine="0" w:firstLineChars="0"/>
        <w:rPr>
          <w:rFonts w:hint="default"/>
          <w:lang w:val="en-US"/>
        </w:rPr>
      </w:pPr>
      <w:r>
        <w:rPr>
          <w:rFonts w:hint="default"/>
          <w:lang w:val="en-US"/>
        </w:rPr>
        <w:t xml:space="preserve">TO DETERMINE   THE NEED FOR ETHICAL GUIDANCE RELATED TO CONFIDENTIALITY IN NURSING. </w:t>
      </w:r>
    </w:p>
    <w:p w14:paraId="6F7C0D39">
      <w:pPr>
        <w:rPr>
          <w:rFonts w:hint="default"/>
          <w:lang w:val="en-US"/>
        </w:rPr>
      </w:pPr>
    </w:p>
    <w:p w14:paraId="4D7EF156">
      <w:pPr>
        <w:numPr>
          <w:ilvl w:val="0"/>
          <w:numId w:val="1"/>
        </w:numPr>
        <w:ind w:left="0" w:leftChars="0" w:firstLine="0" w:firstLineChars="0"/>
        <w:rPr>
          <w:rFonts w:hint="default"/>
          <w:lang w:val="en-US"/>
        </w:rPr>
      </w:pPr>
      <w:r>
        <w:rPr>
          <w:rFonts w:hint="default"/>
          <w:lang w:val="en-US"/>
        </w:rPr>
        <w:t>TO EVALUATE OR ASSESS THE DECISIN  MAKING PROCESS WHEN FACED SITUATION OF DILEMMA</w:t>
      </w:r>
    </w:p>
    <w:p w14:paraId="37648364">
      <w:pPr>
        <w:ind w:firstLine="100" w:firstLineChars="50"/>
        <w:rPr>
          <w:rFonts w:hint="default"/>
          <w:lang w:val="en-US"/>
        </w:rPr>
      </w:pPr>
      <w:r>
        <w:rPr>
          <w:rFonts w:hint="default"/>
          <w:lang w:val="en-US"/>
        </w:rPr>
        <w:t>INCLUDING PATIENT PRIVACY AND INFORMATION SHARING</w:t>
      </w:r>
    </w:p>
    <w:p w14:paraId="55F76FEE">
      <w:pPr>
        <w:ind w:firstLine="100" w:firstLineChars="50"/>
        <w:rPr>
          <w:rFonts w:hint="default"/>
          <w:lang w:val="en-US"/>
        </w:rPr>
      </w:pPr>
    </w:p>
    <w:p w14:paraId="42096C4E">
      <w:pPr>
        <w:rPr>
          <w:rFonts w:hint="default" w:ascii="Arial Narrow" w:hAnsi="Arial Narrow" w:cs="Arial Narrow"/>
          <w:lang w:val="en-US"/>
        </w:rPr>
      </w:pPr>
    </w:p>
    <w:p w14:paraId="195D7400">
      <w:pPr>
        <w:rPr>
          <w:rFonts w:hint="default" w:ascii="Arial Narrow" w:hAnsi="Arial Narrow" w:cs="Arial Narrow"/>
          <w:lang w:val="en-US"/>
        </w:rPr>
      </w:pPr>
      <w:r>
        <w:rPr>
          <w:rFonts w:hint="default" w:ascii="Arial Narrow" w:hAnsi="Arial Narrow" w:cs="Arial Narrow"/>
          <w:lang w:val="en-US"/>
        </w:rPr>
        <w:t>AUTHOR                                    TITLE                                                     REVIEW OF LITERATURE</w:t>
      </w:r>
    </w:p>
    <w:tbl>
      <w:tblPr>
        <w:tblStyle w:val="8"/>
        <w:tblpPr w:leftFromText="180" w:rightFromText="180" w:vertAnchor="text" w:horzAnchor="page" w:tblpX="763" w:tblpY="35"/>
        <w:tblOverlap w:val="never"/>
        <w:tblW w:w="11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5"/>
        <w:gridCol w:w="2132"/>
        <w:gridCol w:w="6552"/>
      </w:tblGrid>
      <w:tr w14:paraId="0206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8" w:hRule="atLeast"/>
        </w:trPr>
        <w:tc>
          <w:tcPr>
            <w:tcW w:w="2525" w:type="dxa"/>
          </w:tcPr>
          <w:p w14:paraId="17753A13">
            <w:pPr>
              <w:pStyle w:val="6"/>
              <w:keepNext w:val="0"/>
              <w:keepLines w:val="0"/>
              <w:widowControl/>
              <w:suppressLineNumbers w:val="0"/>
              <w:ind w:firstLine="100" w:firstLineChars="5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Style w:val="7"/>
                <w:rFonts w:hint="default" w:ascii="Times New Roman" w:hAnsi="Times New Roman" w:cs="Times New Roman"/>
                <w:sz w:val="20"/>
                <w:szCs w:val="20"/>
              </w:rPr>
              <w:t>J. Sinclair</w:t>
            </w:r>
          </w:p>
          <w:p w14:paraId="10FE5D6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Style w:val="7"/>
                <w:rFonts w:hint="default" w:ascii="Times New Roman" w:hAnsi="Times New Roman" w:cs="Times New Roman"/>
                <w:sz w:val="20"/>
                <w:szCs w:val="20"/>
              </w:rPr>
              <w:t>E. Papps</w:t>
            </w:r>
          </w:p>
          <w:p w14:paraId="7C694422">
            <w:pPr>
              <w:pStyle w:val="6"/>
              <w:keepNext w:val="0"/>
              <w:keepLines w:val="0"/>
              <w:widowControl/>
              <w:numPr>
                <w:ilvl w:val="0"/>
                <w:numId w:val="0"/>
              </w:numPr>
              <w:suppressLineNumbers w:val="0"/>
              <w:ind w:right="0" w:right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   </w:t>
            </w:r>
            <w:r>
              <w:rPr>
                <w:rStyle w:val="7"/>
                <w:rFonts w:hint="default" w:ascii="Times New Roman" w:hAnsi="Times New Roman" w:cs="Times New Roman"/>
                <w:sz w:val="20"/>
                <w:szCs w:val="20"/>
              </w:rPr>
              <w:t>B. Marshall</w:t>
            </w:r>
            <w:r>
              <w:rPr>
                <w:rFonts w:hint="default" w:ascii="Times New Roman" w:hAnsi="Times New Roman" w:eastAsia="SimSun" w:cs="Times New Roman"/>
                <w:sz w:val="20"/>
                <w:szCs w:val="20"/>
              </w:rPr>
              <w:t xml:space="preserve"> </w:t>
            </w:r>
          </w:p>
          <w:p w14:paraId="0F5A68CB">
            <w:pPr>
              <w:pStyle w:val="6"/>
              <w:keepNext w:val="0"/>
              <w:keepLines w:val="0"/>
              <w:widowControl/>
              <w:numPr>
                <w:ilvl w:val="0"/>
                <w:numId w:val="0"/>
              </w:numPr>
              <w:suppressLineNumbers w:val="0"/>
              <w:ind w:right="0" w:rightChars="0" w:firstLine="300" w:firstLineChars="150"/>
              <w:rPr>
                <w:rFonts w:hint="default" w:ascii="Times New Roman" w:hAnsi="Times New Roman" w:cs="Times New Roman"/>
                <w:sz w:val="20"/>
                <w:szCs w:val="20"/>
                <w:lang w:val="en-US"/>
              </w:rPr>
            </w:pPr>
            <w:r>
              <w:rPr>
                <w:rFonts w:hint="default" w:ascii="Times New Roman" w:hAnsi="Times New Roman" w:cs="Times New Roman"/>
                <w:sz w:val="20"/>
                <w:szCs w:val="20"/>
                <w:lang w:val="en-US"/>
              </w:rPr>
              <w:t>(MARCH 2016)</w:t>
            </w:r>
          </w:p>
          <w:p w14:paraId="275DCBD4">
            <w:pPr>
              <w:widowControl w:val="0"/>
              <w:jc w:val="both"/>
              <w:rPr>
                <w:rFonts w:hint="default"/>
                <w:lang w:val="en-US"/>
              </w:rPr>
            </w:pPr>
          </w:p>
          <w:p w14:paraId="06FBE643">
            <w:pPr>
              <w:pStyle w:val="6"/>
              <w:keepNext w:val="0"/>
              <w:keepLines w:val="0"/>
              <w:widowControl/>
              <w:suppressLineNumbers w:val="0"/>
              <w:rPr>
                <w:rFonts w:hint="default"/>
                <w:vertAlign w:val="baseline"/>
                <w:lang w:val="en-US"/>
              </w:rPr>
            </w:pPr>
          </w:p>
        </w:tc>
        <w:tc>
          <w:tcPr>
            <w:tcW w:w="2132" w:type="dxa"/>
          </w:tcPr>
          <w:p w14:paraId="02F12399">
            <w:pPr>
              <w:pStyle w:val="6"/>
              <w:keepNext w:val="0"/>
              <w:keepLines w:val="0"/>
              <w:widowControl/>
              <w:numPr>
                <w:ilvl w:val="0"/>
                <w:numId w:val="0"/>
              </w:numPr>
              <w:suppressLineNumbers w:val="0"/>
              <w:ind w:right="0" w:rightChars="0"/>
              <w:rPr>
                <w:rFonts w:hint="default"/>
                <w:vertAlign w:val="baseline"/>
                <w:lang w:val="en-US"/>
              </w:rPr>
            </w:pPr>
            <w:r>
              <w:rPr>
                <w:rFonts w:ascii="SimSun" w:hAnsi="SimSun" w:eastAsia="SimSun" w:cs="SimSun"/>
                <w:sz w:val="24"/>
                <w:szCs w:val="24"/>
              </w:rPr>
              <w:t>Nursing students' experiences of ethical issues in clinical practice: A New Zealand study"</w:t>
            </w:r>
          </w:p>
        </w:tc>
        <w:tc>
          <w:tcPr>
            <w:tcW w:w="6552" w:type="dxa"/>
          </w:tcPr>
          <w:p w14:paraId="4ED529C9">
            <w:pPr>
              <w:pStyle w:val="2"/>
              <w:keepNext w:val="0"/>
              <w:keepLines w:val="0"/>
              <w:widowControl/>
              <w:suppressLineNumbers w:val="0"/>
            </w:pPr>
            <w:r>
              <w:rPr>
                <w:rStyle w:val="7"/>
                <w:b/>
                <w:bCs/>
              </w:rPr>
              <w:t>Research Findings:</w:t>
            </w:r>
          </w:p>
          <w:p w14:paraId="1B352939">
            <w:pPr>
              <w:pStyle w:val="6"/>
              <w:keepNext w:val="0"/>
              <w:keepLines w:val="0"/>
              <w:widowControl/>
              <w:suppressLineNumbers w:val="0"/>
            </w:pPr>
            <w:r>
              <w:rPr>
                <w:rStyle w:val="7"/>
              </w:rPr>
              <w:t>Conclusion:</w:t>
            </w:r>
          </w:p>
          <w:p w14:paraId="6BB0AF34">
            <w:pPr>
              <w:pStyle w:val="6"/>
              <w:keepNext w:val="0"/>
              <w:keepLines w:val="0"/>
              <w:widowControl/>
              <w:suppressLineNumbers w:val="0"/>
            </w:pPr>
            <w:r>
              <w:t>This study highlights the frequent and emotionally distressing ethical challenges faced by undergraduate nursing students in New Zealand. A significant proportion reported breaches of patient rights and exposure to unsafe working environments, with patient safety concerns ranking as the most distressing. Qualitative responses further revealed systemic issues such as lack of supervision, bullying, and complex end-of-life care dilemmas. Notably, while final-year students encountered ethical issues more frequently, their lower distress levels suggest either greater coping capacity or potential desensitization. These findings underscore a critical gap between classroom-based ethics education and the complex realities of clinical practice. Strengthening clinical support systems and integrating real-world ethical problem-solving into nursing curricula are essential to better prepare students for the moral complexities of healthcare settings.</w:t>
            </w:r>
          </w:p>
          <w:p w14:paraId="704B948C">
            <w:pPr>
              <w:pStyle w:val="6"/>
              <w:keepNext w:val="0"/>
              <w:keepLines w:val="0"/>
              <w:widowControl/>
              <w:suppressLineNumbers w:val="0"/>
              <w:rPr>
                <w:sz w:val="15"/>
                <w:szCs w:val="15"/>
              </w:rPr>
            </w:pPr>
          </w:p>
          <w:p w14:paraId="615704D0">
            <w:pPr>
              <w:keepNext w:val="0"/>
              <w:keepLines w:val="0"/>
              <w:widowControl/>
              <w:numPr>
                <w:ilvl w:val="0"/>
                <w:numId w:val="0"/>
              </w:numPr>
              <w:suppressLineNumbers w:val="0"/>
              <w:spacing w:before="0" w:beforeAutospacing="1" w:after="0" w:afterAutospacing="1"/>
              <w:ind w:left="2522" w:leftChars="0"/>
              <w:jc w:val="both"/>
            </w:pPr>
          </w:p>
          <w:p w14:paraId="3B9B889C">
            <w:pPr>
              <w:pStyle w:val="6"/>
              <w:keepNext w:val="0"/>
              <w:keepLines w:val="0"/>
              <w:widowControl/>
              <w:suppressLineNumbers w:val="0"/>
              <w:rPr>
                <w:sz w:val="13"/>
                <w:szCs w:val="13"/>
              </w:rPr>
            </w:pPr>
            <w:r>
              <w:rPr>
                <w:sz w:val="13"/>
                <w:szCs w:val="13"/>
              </w:rPr>
              <w:t>.</w:t>
            </w:r>
          </w:p>
          <w:p w14:paraId="31852BEF">
            <w:pPr>
              <w:keepNext w:val="0"/>
              <w:keepLines w:val="0"/>
              <w:widowControl/>
              <w:numPr>
                <w:ilvl w:val="0"/>
                <w:numId w:val="0"/>
              </w:numPr>
              <w:suppressLineNumbers w:val="0"/>
              <w:spacing w:before="0" w:beforeAutospacing="1" w:after="0" w:afterAutospacing="1"/>
              <w:ind w:left="1080" w:leftChars="0"/>
              <w:jc w:val="both"/>
            </w:pPr>
          </w:p>
          <w:p w14:paraId="71DB35D3">
            <w:pPr>
              <w:pStyle w:val="6"/>
              <w:keepNext w:val="0"/>
              <w:keepLines w:val="0"/>
              <w:widowControl/>
              <w:suppressLineNumbers w:val="0"/>
              <w:rPr>
                <w:rStyle w:val="7"/>
                <w:sz w:val="13"/>
                <w:szCs w:val="13"/>
              </w:rPr>
            </w:pPr>
          </w:p>
          <w:p w14:paraId="4552A4D9">
            <w:pPr>
              <w:keepNext w:val="0"/>
              <w:keepLines w:val="0"/>
              <w:widowControl/>
              <w:numPr>
                <w:ilvl w:val="0"/>
                <w:numId w:val="0"/>
              </w:numPr>
              <w:suppressLineNumbers w:val="0"/>
              <w:spacing w:before="0" w:beforeAutospacing="1" w:after="0" w:afterAutospacing="1"/>
              <w:jc w:val="both"/>
            </w:pPr>
          </w:p>
          <w:p w14:paraId="0F41C856">
            <w:pPr>
              <w:keepNext w:val="0"/>
              <w:keepLines w:val="0"/>
              <w:widowControl/>
              <w:numPr>
                <w:ilvl w:val="0"/>
                <w:numId w:val="0"/>
              </w:numPr>
              <w:suppressLineNumbers w:val="0"/>
              <w:spacing w:before="0" w:beforeAutospacing="1" w:after="0" w:afterAutospacing="1"/>
              <w:ind w:left="1080" w:leftChars="0"/>
              <w:jc w:val="both"/>
            </w:pPr>
          </w:p>
          <w:p w14:paraId="4E3B4F82">
            <w:pPr>
              <w:keepNext w:val="0"/>
              <w:keepLines w:val="0"/>
              <w:widowControl/>
              <w:numPr>
                <w:ilvl w:val="0"/>
                <w:numId w:val="0"/>
              </w:numPr>
              <w:suppressLineNumbers w:val="0"/>
              <w:spacing w:before="0" w:beforeAutospacing="1" w:after="0" w:afterAutospacing="1"/>
              <w:jc w:val="both"/>
            </w:pPr>
          </w:p>
          <w:p w14:paraId="7BE04655">
            <w:pPr>
              <w:pStyle w:val="6"/>
              <w:keepNext w:val="0"/>
              <w:keepLines w:val="0"/>
              <w:widowControl/>
              <w:numPr>
                <w:ilvl w:val="0"/>
                <w:numId w:val="0"/>
              </w:numPr>
              <w:suppressLineNumbers w:val="0"/>
              <w:ind w:right="0" w:rightChars="0"/>
              <w:rPr>
                <w:rFonts w:hint="default"/>
                <w:vertAlign w:val="baseline"/>
                <w:lang w:val="en-US"/>
              </w:rPr>
            </w:pPr>
          </w:p>
        </w:tc>
      </w:tr>
      <w:tr w14:paraId="2A06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trPr>
        <w:tc>
          <w:tcPr>
            <w:tcW w:w="2525" w:type="dxa"/>
          </w:tcPr>
          <w:p w14:paraId="55A2EC22">
            <w:pPr>
              <w:pStyle w:val="6"/>
              <w:keepNext w:val="0"/>
              <w:keepLines w:val="0"/>
              <w:widowControl/>
              <w:suppressLineNumbers w:val="0"/>
              <w:rPr>
                <w:rStyle w:val="7"/>
                <w:sz w:val="20"/>
                <w:szCs w:val="20"/>
              </w:rPr>
            </w:pPr>
            <w:r>
              <w:rPr>
                <w:rFonts w:hint="eastAsia" w:ascii="SimSun" w:hAnsi="SimSun" w:eastAsia="SimSun" w:cs="SimSun"/>
                <w:sz w:val="24"/>
              </w:rPr>
              <w:t xml:space="preserve"> </w:t>
            </w:r>
            <w:r>
              <w:rPr>
                <w:rStyle w:val="7"/>
                <w:sz w:val="20"/>
                <w:szCs w:val="20"/>
              </w:rPr>
              <w:t>Anita Haahr</w:t>
            </w:r>
          </w:p>
          <w:p w14:paraId="43794577">
            <w:pPr>
              <w:pStyle w:val="6"/>
              <w:keepNext w:val="0"/>
              <w:keepLines w:val="0"/>
              <w:widowControl/>
              <w:suppressLineNumbers w:val="0"/>
              <w:rPr>
                <w:sz w:val="20"/>
                <w:szCs w:val="20"/>
              </w:rPr>
            </w:pPr>
            <w:r>
              <w:rPr>
                <w:rFonts w:hint="eastAsia" w:ascii="SimSun" w:hAnsi="SimSun" w:eastAsia="SimSun" w:cs="SimSun"/>
                <w:sz w:val="20"/>
                <w:szCs w:val="20"/>
              </w:rPr>
              <w:t xml:space="preserve"> </w:t>
            </w:r>
            <w:r>
              <w:rPr>
                <w:rStyle w:val="7"/>
                <w:sz w:val="20"/>
                <w:szCs w:val="20"/>
              </w:rPr>
              <w:t>Annelise Norlyk</w:t>
            </w:r>
          </w:p>
          <w:p w14:paraId="1D42A54C">
            <w:pPr>
              <w:pStyle w:val="6"/>
              <w:keepNext w:val="0"/>
              <w:keepLines w:val="0"/>
              <w:widowControl/>
              <w:suppressLineNumbers w:val="0"/>
              <w:rPr>
                <w:rStyle w:val="7"/>
                <w:sz w:val="20"/>
                <w:szCs w:val="20"/>
              </w:rPr>
            </w:pPr>
            <w:r>
              <w:rPr>
                <w:rFonts w:hint="eastAsia" w:ascii="SimSun" w:hAnsi="SimSun" w:eastAsia="SimSun" w:cs="SimSun"/>
                <w:sz w:val="20"/>
                <w:szCs w:val="20"/>
              </w:rPr>
              <w:t xml:space="preserve"> </w:t>
            </w:r>
            <w:r>
              <w:rPr>
                <w:rStyle w:val="7"/>
                <w:sz w:val="20"/>
                <w:szCs w:val="20"/>
              </w:rPr>
              <w:t>Pia Dreyer</w:t>
            </w:r>
          </w:p>
          <w:p w14:paraId="48B09117">
            <w:pPr>
              <w:pStyle w:val="6"/>
              <w:keepNext w:val="0"/>
              <w:keepLines w:val="0"/>
              <w:widowControl/>
              <w:suppressLineNumbers w:val="0"/>
              <w:rPr>
                <w:rStyle w:val="7"/>
                <w:rFonts w:hint="default"/>
                <w:lang w:val="en-US"/>
              </w:rPr>
            </w:pPr>
            <w:r>
              <w:rPr>
                <w:rStyle w:val="7"/>
                <w:rFonts w:hint="default"/>
                <w:sz w:val="20"/>
                <w:szCs w:val="20"/>
                <w:lang w:val="en-US"/>
              </w:rPr>
              <w:t>(APRIL2019)</w:t>
            </w:r>
          </w:p>
        </w:tc>
        <w:tc>
          <w:tcPr>
            <w:tcW w:w="2132" w:type="dxa"/>
          </w:tcPr>
          <w:p w14:paraId="3C5BCB81">
            <w:pPr>
              <w:pStyle w:val="6"/>
              <w:keepNext w:val="0"/>
              <w:keepLines w:val="0"/>
              <w:widowControl/>
              <w:numPr>
                <w:ilvl w:val="0"/>
                <w:numId w:val="0"/>
              </w:numPr>
              <w:suppressLineNumbers w:val="0"/>
              <w:ind w:right="0" w:rightChars="0"/>
              <w:rPr>
                <w:rFonts w:hint="default"/>
                <w:vertAlign w:val="baseline"/>
                <w:lang w:val="en-US"/>
              </w:rPr>
            </w:pPr>
            <w:r>
              <w:rPr>
                <w:rFonts w:ascii="SimSun" w:hAnsi="SimSun" w:eastAsia="SimSun" w:cs="SimSun"/>
                <w:sz w:val="20"/>
                <w:szCs w:val="20"/>
              </w:rPr>
              <w:t>Nurses’ experiences of ethical dilemmas: A review"</w:t>
            </w:r>
          </w:p>
        </w:tc>
        <w:tc>
          <w:tcPr>
            <w:tcW w:w="6552" w:type="dxa"/>
          </w:tcPr>
          <w:p w14:paraId="000912ED">
            <w:pPr>
              <w:pStyle w:val="6"/>
              <w:keepNext w:val="0"/>
              <w:keepLines w:val="0"/>
              <w:widowControl/>
              <w:suppressLineNumbers w:val="0"/>
            </w:pPr>
            <w:r>
              <w:rPr>
                <w:rStyle w:val="7"/>
              </w:rPr>
              <w:t>Conclusion:</w:t>
            </w:r>
          </w:p>
          <w:p w14:paraId="54AC05C1">
            <w:pPr>
              <w:pStyle w:val="6"/>
              <w:keepNext w:val="0"/>
              <w:keepLines w:val="0"/>
              <w:widowControl/>
              <w:suppressLineNumbers w:val="0"/>
            </w:pPr>
            <w:r>
              <w:t>This literature review reveals that ethical dilemmas are a pervasive and deeply rooted aspect of modern nursing practice, shaped by the tension between professional values and organizational demands. Nurses frequently struggle to balance harm prevention with compassionate care, manage high workloads, and navigate interprofessional conflicts, all of which challenge their ethical integrity. These dilemmas are not confined to specific clinical settings but span the entire healthcare spectrum, highlighting the universal nature of ethical tension in nursing. Organizational constraints further exacerbate these issues by limiting ethical autonomy and forcing compromises on core values such as dignity and holistic care. Consequently, many nurses experience moral distress, ethical desensitization, and burnout. To safeguard both ethical standards and nurse well-being, it is essential to foster environments that promote ethical reflection, provide institutional support, and actively address systemic barriers to ethical practice.</w:t>
            </w:r>
          </w:p>
          <w:p w14:paraId="36D8D458">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p>
          <w:p w14:paraId="137F95DE">
            <w:pPr>
              <w:widowControl w:val="0"/>
              <w:jc w:val="both"/>
              <w:rPr>
                <w:rFonts w:hint="default" w:ascii="Times New Roman" w:hAnsi="Times New Roman" w:cs="Times New Roman"/>
              </w:rPr>
            </w:pPr>
          </w:p>
          <w:p w14:paraId="12A2A6A3">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651EA9D7">
            <w:pPr>
              <w:pStyle w:val="6"/>
              <w:keepNext w:val="0"/>
              <w:keepLines w:val="0"/>
              <w:widowControl/>
              <w:suppressLineNumbers w:val="0"/>
              <w:rPr>
                <w:rFonts w:hint="default" w:ascii="Times New Roman" w:hAnsi="Times New Roman" w:cs="Times New Roman"/>
                <w:sz w:val="15"/>
                <w:szCs w:val="15"/>
              </w:rPr>
            </w:pPr>
          </w:p>
          <w:p w14:paraId="12061377">
            <w:pPr>
              <w:pStyle w:val="6"/>
              <w:keepNext w:val="0"/>
              <w:keepLines w:val="0"/>
              <w:widowControl/>
              <w:numPr>
                <w:ilvl w:val="0"/>
                <w:numId w:val="0"/>
              </w:numPr>
              <w:suppressLineNumbers w:val="0"/>
              <w:ind w:right="0" w:rightChars="0"/>
              <w:rPr>
                <w:rFonts w:hint="default" w:ascii="Times New Roman" w:hAnsi="Times New Roman" w:eastAsia="SimSun" w:cs="Times New Roman"/>
                <w:sz w:val="15"/>
                <w:szCs w:val="15"/>
              </w:rPr>
            </w:pPr>
          </w:p>
          <w:p w14:paraId="332E5D7A">
            <w:pPr>
              <w:keepNext w:val="0"/>
              <w:keepLines w:val="0"/>
              <w:widowControl/>
              <w:numPr>
                <w:ilvl w:val="0"/>
                <w:numId w:val="0"/>
              </w:numPr>
              <w:suppressLineNumbers w:val="0"/>
              <w:spacing w:before="0" w:beforeAutospacing="1" w:after="0" w:afterAutospacing="1"/>
              <w:jc w:val="both"/>
            </w:pPr>
          </w:p>
          <w:p w14:paraId="6A3A105B">
            <w:pPr>
              <w:pStyle w:val="6"/>
              <w:keepNext w:val="0"/>
              <w:keepLines w:val="0"/>
              <w:widowControl/>
              <w:numPr>
                <w:ilvl w:val="0"/>
                <w:numId w:val="0"/>
              </w:numPr>
              <w:suppressLineNumbers w:val="0"/>
              <w:ind w:right="0" w:rightChars="0"/>
              <w:rPr>
                <w:rFonts w:hint="default" w:ascii="Times New Roman" w:hAnsi="Times New Roman" w:eastAsia="SimSun" w:cs="Times New Roman"/>
                <w:sz w:val="15"/>
                <w:szCs w:val="15"/>
                <w:lang w:val="en-US"/>
              </w:rPr>
            </w:pPr>
          </w:p>
        </w:tc>
      </w:tr>
      <w:tr w14:paraId="1AA7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8" w:hRule="atLeast"/>
        </w:trPr>
        <w:tc>
          <w:tcPr>
            <w:tcW w:w="2525" w:type="dxa"/>
          </w:tcPr>
          <w:p w14:paraId="13172ADB">
            <w:pPr>
              <w:pStyle w:val="6"/>
              <w:keepNext w:val="0"/>
              <w:keepLines w:val="0"/>
              <w:widowControl/>
              <w:suppressLineNumbers w:val="0"/>
              <w:rPr>
                <w:rStyle w:val="7"/>
                <w:sz w:val="16"/>
                <w:szCs w:val="16"/>
              </w:rPr>
            </w:pPr>
            <w:r>
              <w:rPr>
                <w:rStyle w:val="7"/>
                <w:sz w:val="16"/>
                <w:szCs w:val="16"/>
              </w:rPr>
              <w:t>Jacoline Sommer Albert</w:t>
            </w:r>
          </w:p>
          <w:p w14:paraId="0625CA49">
            <w:pPr>
              <w:pStyle w:val="6"/>
              <w:keepNext w:val="0"/>
              <w:keepLines w:val="0"/>
              <w:widowControl/>
              <w:suppressLineNumbers w:val="0"/>
              <w:rPr>
                <w:sz w:val="16"/>
                <w:szCs w:val="16"/>
              </w:rPr>
            </w:pPr>
            <w:r>
              <w:rPr>
                <w:rStyle w:val="7"/>
                <w:sz w:val="16"/>
                <w:szCs w:val="16"/>
              </w:rPr>
              <w:t>Ahtisham Younas</w:t>
            </w:r>
          </w:p>
          <w:p w14:paraId="14177BD0">
            <w:pPr>
              <w:pStyle w:val="6"/>
              <w:keepNext w:val="0"/>
              <w:keepLines w:val="0"/>
              <w:widowControl/>
              <w:suppressLineNumbers w:val="0"/>
              <w:rPr>
                <w:rStyle w:val="7"/>
                <w:sz w:val="16"/>
                <w:szCs w:val="16"/>
              </w:rPr>
            </w:pPr>
            <w:r>
              <w:rPr>
                <w:rStyle w:val="7"/>
                <w:sz w:val="16"/>
                <w:szCs w:val="16"/>
              </w:rPr>
              <w:t>Sedira Sana</w:t>
            </w:r>
          </w:p>
          <w:p w14:paraId="1A009D50">
            <w:pPr>
              <w:pStyle w:val="6"/>
              <w:keepNext w:val="0"/>
              <w:keepLines w:val="0"/>
              <w:widowControl/>
              <w:suppressLineNumbers w:val="0"/>
              <w:rPr>
                <w:sz w:val="16"/>
                <w:szCs w:val="16"/>
              </w:rPr>
            </w:pPr>
            <w:r>
              <w:rPr>
                <w:rStyle w:val="7"/>
                <w:sz w:val="16"/>
                <w:szCs w:val="16"/>
              </w:rPr>
              <w:t>Year of Publication:2020</w:t>
            </w:r>
          </w:p>
          <w:p w14:paraId="74B18D8E">
            <w:pPr>
              <w:keepNext w:val="0"/>
              <w:keepLines w:val="0"/>
              <w:widowControl/>
              <w:numPr>
                <w:ilvl w:val="0"/>
                <w:numId w:val="0"/>
              </w:numPr>
              <w:suppressLineNumbers w:val="0"/>
              <w:spacing w:before="0" w:beforeAutospacing="1" w:after="0" w:afterAutospacing="1"/>
              <w:jc w:val="both"/>
            </w:pPr>
          </w:p>
          <w:p w14:paraId="4D6274E0">
            <w:pPr>
              <w:pStyle w:val="6"/>
              <w:keepNext w:val="0"/>
              <w:keepLines w:val="0"/>
              <w:widowControl/>
              <w:suppressLineNumbers w:val="0"/>
              <w:rPr>
                <w:rFonts w:hint="default"/>
                <w:sz w:val="20"/>
                <w:szCs w:val="20"/>
                <w:lang w:val="en-US"/>
              </w:rPr>
            </w:pPr>
          </w:p>
          <w:p w14:paraId="3637B12A">
            <w:pPr>
              <w:pStyle w:val="6"/>
              <w:keepNext w:val="0"/>
              <w:keepLines w:val="0"/>
              <w:widowControl/>
              <w:numPr>
                <w:ilvl w:val="0"/>
                <w:numId w:val="0"/>
              </w:numPr>
              <w:suppressLineNumbers w:val="0"/>
              <w:ind w:right="0" w:rightChars="0"/>
              <w:rPr>
                <w:rFonts w:hint="default"/>
                <w:vertAlign w:val="baseline"/>
                <w:lang w:val="en-US"/>
              </w:rPr>
            </w:pPr>
          </w:p>
        </w:tc>
        <w:tc>
          <w:tcPr>
            <w:tcW w:w="2132" w:type="dxa"/>
          </w:tcPr>
          <w:p w14:paraId="2F29FEFC">
            <w:pPr>
              <w:pStyle w:val="6"/>
              <w:keepNext w:val="0"/>
              <w:keepLines w:val="0"/>
              <w:widowControl/>
              <w:numPr>
                <w:ilvl w:val="0"/>
                <w:numId w:val="0"/>
              </w:numPr>
              <w:suppressLineNumbers w:val="0"/>
              <w:ind w:right="0" w:rightChars="0"/>
              <w:rPr>
                <w:rFonts w:hint="default"/>
                <w:vertAlign w:val="baseline"/>
                <w:lang w:val="en-US"/>
              </w:rPr>
            </w:pPr>
            <w:r>
              <w:rPr>
                <w:rFonts w:ascii="SimSun" w:hAnsi="SimSun" w:eastAsia="SimSun" w:cs="SimSun"/>
                <w:sz w:val="24"/>
                <w:szCs w:val="24"/>
              </w:rPr>
              <w:t>"N</w:t>
            </w:r>
            <w:r>
              <w:rPr>
                <w:rFonts w:hint="default" w:ascii="SimSun" w:hAnsi="SimSun" w:cs="SimSun"/>
                <w:sz w:val="24"/>
                <w:szCs w:val="24"/>
                <w:lang w:val="en-US"/>
              </w:rPr>
              <w:t xml:space="preserve">egative effects of ethical dilemmas on nursing </w:t>
            </w:r>
            <w:r>
              <w:rPr>
                <w:rFonts w:ascii="SimSun" w:hAnsi="SimSun" w:eastAsia="SimSun" w:cs="SimSun"/>
                <w:sz w:val="24"/>
                <w:szCs w:val="24"/>
              </w:rPr>
              <w:t>students' regarding patient care: An integrative review"</w:t>
            </w:r>
          </w:p>
        </w:tc>
        <w:tc>
          <w:tcPr>
            <w:tcW w:w="6552" w:type="dxa"/>
          </w:tcPr>
          <w:p w14:paraId="589756D9">
            <w:pPr>
              <w:pStyle w:val="6"/>
              <w:keepNext w:val="0"/>
              <w:keepLines w:val="0"/>
              <w:widowControl/>
              <w:suppressLineNumbers w:val="0"/>
            </w:pPr>
            <w:r>
              <w:rPr>
                <w:rStyle w:val="7"/>
              </w:rPr>
              <w:t>Conclusion:</w:t>
            </w:r>
          </w:p>
          <w:p w14:paraId="5C1B3A7D">
            <w:pPr>
              <w:pStyle w:val="6"/>
              <w:keepNext w:val="0"/>
              <w:keepLines w:val="0"/>
              <w:widowControl/>
              <w:suppressLineNumbers w:val="0"/>
            </w:pPr>
            <w:r>
              <w:t>This  review highlights the complex ethical dilemmas nursing students face in clinical settings, often caught between upholding ethical principles and conforming to established but questionable practices. Students frequently encounter situations that challenge their values, such as witnessing unethical care, lacking decision-making autonomy, and fearing repercussions for speaking out. These experiences contribute</w:t>
            </w:r>
            <w:r>
              <w:rPr>
                <w:rFonts w:hint="default"/>
                <w:lang w:val="en-US"/>
              </w:rPr>
              <w:t xml:space="preserve"> negatively and may lead</w:t>
            </w:r>
            <w:bookmarkStart w:id="0" w:name="_GoBack"/>
            <w:bookmarkEnd w:id="0"/>
            <w:r>
              <w:t xml:space="preserve"> to emotional distress and hinder the development of ethical competence. To address these challenges, nursing education must go beyond theoretical instruction and actively prepare students to navigate ethical conflicts. Structured programs that foster ethical reasoning, moral courage, and supportive mentorship are essential to empower students to respond confidently and ethically within the realities of clinical practice.</w:t>
            </w:r>
          </w:p>
          <w:p w14:paraId="52C0953E">
            <w:pPr>
              <w:pStyle w:val="6"/>
              <w:keepNext w:val="0"/>
              <w:keepLines w:val="0"/>
              <w:widowControl/>
              <w:suppressLineNumbers w:val="0"/>
            </w:pPr>
          </w:p>
          <w:p w14:paraId="59B3B6AA">
            <w:pPr>
              <w:pStyle w:val="6"/>
              <w:keepNext w:val="0"/>
              <w:keepLines w:val="0"/>
              <w:widowControl/>
              <w:suppressLineNumbers w:val="0"/>
            </w:pPr>
          </w:p>
          <w:p w14:paraId="2636F47A">
            <w:pPr>
              <w:keepNext w:val="0"/>
              <w:keepLines w:val="0"/>
              <w:widowControl/>
              <w:numPr>
                <w:ilvl w:val="0"/>
                <w:numId w:val="0"/>
              </w:numPr>
              <w:suppressLineNumbers w:val="0"/>
              <w:spacing w:before="0" w:beforeAutospacing="1" w:after="0" w:afterAutospacing="1"/>
              <w:jc w:val="both"/>
              <w:rPr>
                <w:rFonts w:hint="default" w:ascii="Times New Roman" w:hAnsi="Times New Roman" w:eastAsia="SimSun" w:cs="Times New Roman"/>
                <w:sz w:val="15"/>
                <w:szCs w:val="15"/>
                <w:lang w:val="en-US"/>
              </w:rPr>
            </w:pPr>
          </w:p>
        </w:tc>
      </w:tr>
    </w:tbl>
    <w:p w14:paraId="1D0A99DD">
      <w:pPr>
        <w:pStyle w:val="6"/>
        <w:keepNext w:val="0"/>
        <w:keepLines w:val="0"/>
        <w:widowControl/>
        <w:numPr>
          <w:ilvl w:val="0"/>
          <w:numId w:val="0"/>
        </w:numPr>
        <w:suppressLineNumbers w:val="0"/>
        <w:ind w:leftChars="-1450" w:right="0" w:rightChars="0"/>
        <w:rPr>
          <w:rStyle w:val="7"/>
          <w:rFonts w:hint="default" w:ascii="Arial Narrow" w:hAnsi="Arial Narrow" w:cs="Arial Narrow"/>
          <w:lang w:val="en-US"/>
        </w:rPr>
      </w:pPr>
      <w:r>
        <w:rPr>
          <w:rStyle w:val="7"/>
          <w:rFonts w:hint="default" w:ascii="Arial Narrow" w:hAnsi="Arial Narrow" w:cs="Arial Narrow"/>
        </w:rPr>
        <w:t>Sinclair</w:t>
      </w:r>
      <w:r>
        <w:rPr>
          <w:rStyle w:val="7"/>
          <w:rFonts w:hint="default" w:ascii="Arial Narrow" w:hAnsi="Arial Narrow" w:cs="Arial Narrow"/>
          <w:lang w:val="en-US"/>
        </w:rPr>
        <w:t xml:space="preserve">                             </w:t>
      </w:r>
    </w:p>
    <w:p w14:paraId="4ABBF594">
      <w:pPr>
        <w:rPr>
          <w:rFonts w:hint="default"/>
          <w:lang w:val="en-US"/>
        </w:rPr>
      </w:pPr>
    </w:p>
    <w:p w14:paraId="5D109E4F">
      <w:pPr>
        <w:rPr>
          <w:rFonts w:hint="default"/>
          <w:lang w:val="en-US"/>
        </w:rPr>
      </w:pPr>
    </w:p>
    <w:p w14:paraId="6EA03C08">
      <w:pPr>
        <w:rPr>
          <w:rFonts w:hint="default"/>
          <w:lang w:val="en-US"/>
        </w:rPr>
      </w:pPr>
    </w:p>
    <w:p w14:paraId="4E5D2CEE">
      <w:pPr>
        <w:rPr>
          <w:rFonts w:hint="default" w:ascii="Arial Narrow" w:hAnsi="Arial Narrow" w:cs="Arial Narrow"/>
          <w:lang w:val="en-US"/>
        </w:rPr>
      </w:pPr>
    </w:p>
    <w:p w14:paraId="75CBA9D4">
      <w:pPr>
        <w:pStyle w:val="6"/>
        <w:keepNext w:val="0"/>
        <w:keepLines w:val="0"/>
        <w:widowControl/>
        <w:numPr>
          <w:ilvl w:val="0"/>
          <w:numId w:val="0"/>
        </w:numPr>
        <w:suppressLineNumbers w:val="0"/>
        <w:ind w:leftChars="-1450" w:right="0" w:rightChars="0"/>
        <w:rPr>
          <w:rStyle w:val="7"/>
          <w:rFonts w:hint="default" w:ascii="Arial Narrow" w:hAnsi="Arial Narrow" w:cs="Arial Narrow"/>
          <w:lang w:val="en-US"/>
        </w:rPr>
      </w:pPr>
      <w:r>
        <w:rPr>
          <w:rStyle w:val="7"/>
          <w:rFonts w:hint="default" w:ascii="Arial Narrow" w:hAnsi="Arial Narrow" w:cs="Arial Narrow"/>
        </w:rPr>
        <w:t>Sinclair</w:t>
      </w:r>
      <w:r>
        <w:rPr>
          <w:rStyle w:val="7"/>
          <w:rFonts w:hint="default" w:ascii="Arial Narrow" w:hAnsi="Arial Narrow" w:cs="Arial Narrow"/>
          <w:lang w:val="en-US"/>
        </w:rPr>
        <w:t xml:space="preserve">                             </w:t>
      </w:r>
    </w:p>
    <w:p w14:paraId="5D4A0B60">
      <w:pPr>
        <w:rPr>
          <w:rFonts w:hint="default"/>
          <w:lang w:val="en-US"/>
        </w:rPr>
      </w:pPr>
    </w:p>
    <w:p w14:paraId="4EBDF3AC">
      <w:pPr>
        <w:rPr>
          <w:rFonts w:hint="default"/>
          <w:lang w:val="en-US"/>
        </w:rPr>
      </w:pPr>
    </w:p>
    <w:p w14:paraId="239BEED5">
      <w:pPr>
        <w:rPr>
          <w:rFonts w:hint="default"/>
          <w:lang w:val="en-US"/>
        </w:rPr>
      </w:pPr>
    </w:p>
    <w:sectPr>
      <w:pgSz w:w="11906" w:h="16838"/>
      <w:pgMar w:top="1440" w:right="1800" w:bottom="1440" w:left="1800" w:header="720" w:footer="720"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1998B"/>
    <w:multiLevelType w:val="singleLevel"/>
    <w:tmpl w:val="9791998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402057"/>
    <w:rsid w:val="05AD3E06"/>
    <w:rsid w:val="0A402057"/>
    <w:rsid w:val="29E76B55"/>
    <w:rsid w:val="31CA1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173</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2025-05-27T14:02:00Z</dcterms:created>
  <dc:creator>Shaarun Joseph</dc:creator>
  <cp:lastModifiedBy>Sharun Joseph</cp:lastModifiedBy>
  <dcterms:modified xsi:type="dcterms:W3CDTF">2025-05-31T16:53:06Z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7216E3DE09304C61A771F3CF41815EE6_11</vt:lpwstr>
  </property>
</Properties>
</file>