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3rd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line="240" w:lineRule="auto"/>
        <w:ind w:left="0" w:firstLine="0"/>
        <w:rPr>
          <w:sz w:val="26"/>
          <w:szCs w:val="26"/>
        </w:rPr>
      </w:pPr>
      <w:bookmarkStart w:colFirst="0" w:colLast="0" w:name="_heading=h.yingohvwgii7" w:id="0"/>
      <w:bookmarkEnd w:id="0"/>
      <w:r w:rsidDel="00000000" w:rsidR="00000000" w:rsidRPr="00000000">
        <w:rPr>
          <w:sz w:val="26"/>
          <w:szCs w:val="26"/>
          <w:rtl w:val="0"/>
        </w:rPr>
        <w:t xml:space="preserve">Solution Architecture Description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solution is implemented within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ServiceNow Incident Management platform</w:t>
      </w:r>
      <w:r w:rsidDel="00000000" w:rsidR="00000000" w:rsidRPr="00000000">
        <w:rPr>
          <w:sz w:val="24"/>
          <w:szCs w:val="24"/>
          <w:rtl w:val="0"/>
        </w:rPr>
        <w:t xml:space="preserve">. When a user creates or updates an Incident, the Incident form interacts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Scripts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 Policies</w:t>
      </w:r>
      <w:r w:rsidDel="00000000" w:rsidR="00000000" w:rsidRPr="00000000">
        <w:rPr>
          <w:sz w:val="24"/>
          <w:szCs w:val="24"/>
          <w:rtl w:val="0"/>
        </w:rPr>
        <w:t xml:space="preserve"> to dynamically control fields and validate user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CmxIuDGay51j2B1aXRVo23P2Q==">CgMxLjAyDmgueWluZ29odndnaWk3OAByITFIcXEzRHFhOHZrYmxpdEFlVWtPS25nWmVhMXVTSmRhZg==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